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58658">
      <w:pPr>
        <w:jc w:val="center"/>
        <w:rPr>
          <w:rFonts w:hint="eastAsia" w:ascii="宋体" w:hAnsi="宋体"/>
          <w:b/>
          <w:color w:val="auto"/>
          <w:sz w:val="48"/>
          <w:szCs w:val="48"/>
          <w:highlight w:val="none"/>
        </w:rPr>
      </w:pPr>
      <w:r>
        <w:rPr>
          <w:rFonts w:hint="eastAsia" w:ascii="宋体" w:hAnsi="宋体"/>
          <w:b/>
          <w:color w:val="auto"/>
          <w:sz w:val="48"/>
          <w:szCs w:val="48"/>
          <w:highlight w:val="none"/>
        </w:rPr>
        <w:t>项目组任命书</w:t>
      </w:r>
    </w:p>
    <w:p w14:paraId="378610CD">
      <w:pPr>
        <w:spacing w:line="360" w:lineRule="auto"/>
        <w:ind w:left="1" w:right="-42" w:rightChars="-20" w:firstLine="669" w:firstLineChars="239"/>
        <w:rPr>
          <w:rFonts w:hint="eastAsia" w:ascii="宋体" w:hAnsi="宋体"/>
          <w:color w:val="auto"/>
          <w:sz w:val="28"/>
          <w:szCs w:val="28"/>
          <w:highlight w:val="none"/>
        </w:rPr>
      </w:pPr>
    </w:p>
    <w:p w14:paraId="0938A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" w:right="-42" w:rightChars="-20" w:firstLine="669" w:firstLineChars="239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根据本机构过程控制手册的工作程序与授权办法，现对开展本项目工作的负责人进行任命及授权。</w:t>
      </w:r>
    </w:p>
    <w:p w14:paraId="77BD952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42" w:rightChars="-20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任命</w:t>
      </w:r>
    </w:p>
    <w:p w14:paraId="4D1C9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42" w:rightChars="-20" w:firstLine="669" w:firstLineChars="239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现任命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李毅雄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 同志，担任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</w:rPr>
        <w:t xml:space="preserve"> </w:t>
      </w:r>
      <w:r>
        <w:rPr>
          <w:rFonts w:hint="eastAsia" w:ascii="宋体" w:hAnsi="宋体" w:cs="Times New Roman"/>
          <w:sz w:val="28"/>
          <w:szCs w:val="28"/>
          <w:u w:val="single"/>
          <w:lang w:eastAsia="zh-CN"/>
        </w:rPr>
        <w:t>禄丰县金山镇好运来砖厂</w:t>
      </w:r>
      <w:r>
        <w:rPr>
          <w:rFonts w:hint="eastAsia" w:ascii="宋体" w:hAnsi="宋体" w:eastAsia="宋体" w:cs="Times New Roman"/>
          <w:sz w:val="28"/>
          <w:szCs w:val="28"/>
          <w:u w:val="single"/>
          <w:lang w:eastAsia="zh-CN"/>
        </w:rPr>
        <w:t>安全</w:t>
      </w:r>
      <w:r>
        <w:rPr>
          <w:rFonts w:hint="eastAsia" w:ascii="宋体" w:hAnsi="宋体" w:cs="Times New Roman"/>
          <w:sz w:val="28"/>
          <w:szCs w:val="28"/>
          <w:u w:val="single"/>
          <w:lang w:val="en-US" w:eastAsia="zh-CN"/>
        </w:rPr>
        <w:t>现状</w:t>
      </w:r>
      <w:r>
        <w:rPr>
          <w:rFonts w:hint="eastAsia" w:ascii="宋体" w:hAnsi="宋体" w:eastAsia="宋体" w:cs="Times New Roman"/>
          <w:sz w:val="28"/>
          <w:szCs w:val="28"/>
          <w:u w:val="single"/>
          <w:lang w:eastAsia="zh-CN"/>
        </w:rPr>
        <w:t>评价报告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项目组长。</w:t>
      </w:r>
    </w:p>
    <w:p w14:paraId="1F80C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42" w:rightChars="-20" w:firstLine="669" w:firstLineChars="239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二、项目组长授权范围</w:t>
      </w:r>
    </w:p>
    <w:p w14:paraId="18F34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" w:right="-42" w:rightChars="-20" w:firstLine="669" w:firstLineChars="239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负责主持该项目小组的组建及工作开展，行使组内人员配置、任务安排、资金使用、设备使用及管理权。</w:t>
      </w:r>
    </w:p>
    <w:p w14:paraId="6CBD3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" w:right="-42" w:rightChars="-20" w:firstLine="669" w:firstLineChars="239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负责制定项目工作计划，对服务项目作出开展、暂停、终止的意见。涉及重大隐患的及时向机构报告，并提出小组倾向意见。</w:t>
      </w:r>
    </w:p>
    <w:p w14:paraId="4059C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" w:right="-42" w:rightChars="-20" w:firstLine="669" w:firstLineChars="239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3.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负责安排对项目委托单位的意见交换、咨询、提供对策措施等服务工作。</w:t>
      </w:r>
    </w:p>
    <w:p w14:paraId="0DD59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" w:right="-42" w:rightChars="-20" w:firstLine="669" w:firstLineChars="239"/>
        <w:textAlignment w:val="auto"/>
        <w:rPr>
          <w:rFonts w:hint="eastAsia"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4.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负责对项目组提交的报告给出总体结论及对策措施与建议。</w:t>
      </w:r>
    </w:p>
    <w:tbl>
      <w:tblPr>
        <w:tblStyle w:val="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6"/>
        <w:gridCol w:w="1516"/>
        <w:gridCol w:w="1530"/>
        <w:gridCol w:w="2730"/>
      </w:tblGrid>
      <w:tr w14:paraId="5C19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4" w:type="dxa"/>
            <w:gridSpan w:val="4"/>
            <w:noWrap w:val="0"/>
            <w:vAlign w:val="top"/>
          </w:tcPr>
          <w:p w14:paraId="5B78D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jc w:val="center"/>
              <w:textAlignment w:val="auto"/>
              <w:rPr>
                <w:rFonts w:hint="eastAsia" w:ascii="宋体" w:hAnsi="宋体" w:eastAsia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  <w:lang w:val="en-US" w:eastAsia="zh-CN"/>
              </w:rPr>
              <w:t>项目组成员一览表</w:t>
            </w:r>
          </w:p>
        </w:tc>
      </w:tr>
      <w:tr w14:paraId="13B8F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888" w:type="dxa"/>
            <w:noWrap w:val="0"/>
            <w:vAlign w:val="top"/>
          </w:tcPr>
          <w:p w14:paraId="6FE70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jc w:val="center"/>
              <w:textAlignment w:val="auto"/>
              <w:rPr>
                <w:rFonts w:hint="eastAsia" w:ascii="宋体" w:hAnsi="宋体" w:eastAsia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专业能力</w:t>
            </w:r>
          </w:p>
        </w:tc>
        <w:tc>
          <w:tcPr>
            <w:tcW w:w="1584" w:type="dxa"/>
            <w:noWrap w:val="0"/>
            <w:vAlign w:val="top"/>
          </w:tcPr>
          <w:p w14:paraId="288EA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jc w:val="center"/>
              <w:textAlignment w:val="auto"/>
              <w:rPr>
                <w:rFonts w:hint="eastAsia" w:ascii="宋体" w:hAnsi="宋体" w:eastAsia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599" w:type="dxa"/>
            <w:noWrap w:val="0"/>
            <w:vAlign w:val="top"/>
          </w:tcPr>
          <w:p w14:paraId="76AFF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jc w:val="center"/>
              <w:textAlignment w:val="auto"/>
              <w:rPr>
                <w:rFonts w:hint="eastAsia" w:ascii="宋体" w:hAnsi="宋体" w:eastAsia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专业能力</w:t>
            </w:r>
          </w:p>
        </w:tc>
        <w:tc>
          <w:tcPr>
            <w:tcW w:w="2873" w:type="dxa"/>
            <w:noWrap w:val="0"/>
            <w:vAlign w:val="top"/>
          </w:tcPr>
          <w:p w14:paraId="332DC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jc w:val="center"/>
              <w:textAlignment w:val="auto"/>
              <w:rPr>
                <w:rFonts w:hint="eastAsia" w:ascii="宋体" w:hAnsi="宋体" w:eastAsia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</w:tr>
      <w:tr w14:paraId="6D25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888" w:type="dxa"/>
            <w:noWrap w:val="0"/>
            <w:vAlign w:val="center"/>
          </w:tcPr>
          <w:p w14:paraId="43AFA545"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冶金机械</w:t>
            </w:r>
          </w:p>
        </w:tc>
        <w:tc>
          <w:tcPr>
            <w:tcW w:w="1584" w:type="dxa"/>
            <w:noWrap w:val="0"/>
            <w:vAlign w:val="top"/>
          </w:tcPr>
          <w:p w14:paraId="21BFD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李毅雄</w:t>
            </w:r>
          </w:p>
        </w:tc>
        <w:tc>
          <w:tcPr>
            <w:tcW w:w="1599" w:type="dxa"/>
            <w:noWrap w:val="0"/>
            <w:vAlign w:val="top"/>
          </w:tcPr>
          <w:p w14:paraId="14BD7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873" w:type="dxa"/>
            <w:noWrap w:val="0"/>
            <w:vAlign w:val="top"/>
          </w:tcPr>
          <w:p w14:paraId="490FF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17A5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888" w:type="dxa"/>
            <w:noWrap w:val="0"/>
            <w:vAlign w:val="center"/>
          </w:tcPr>
          <w:p w14:paraId="48D87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化工</w:t>
            </w:r>
          </w:p>
        </w:tc>
        <w:tc>
          <w:tcPr>
            <w:tcW w:w="1584" w:type="dxa"/>
            <w:noWrap w:val="0"/>
            <w:vAlign w:val="top"/>
          </w:tcPr>
          <w:p w14:paraId="7D1A6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李晓达</w:t>
            </w:r>
          </w:p>
        </w:tc>
        <w:tc>
          <w:tcPr>
            <w:tcW w:w="1599" w:type="dxa"/>
            <w:noWrap w:val="0"/>
            <w:vAlign w:val="top"/>
          </w:tcPr>
          <w:p w14:paraId="0B2D0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873" w:type="dxa"/>
            <w:noWrap w:val="0"/>
            <w:vAlign w:val="top"/>
          </w:tcPr>
          <w:p w14:paraId="76569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1A31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888" w:type="dxa"/>
            <w:noWrap w:val="0"/>
            <w:vAlign w:val="center"/>
          </w:tcPr>
          <w:p w14:paraId="4A4B8553"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机械设计制造及其自动化</w:t>
            </w:r>
          </w:p>
        </w:tc>
        <w:tc>
          <w:tcPr>
            <w:tcW w:w="1584" w:type="dxa"/>
            <w:noWrap w:val="0"/>
            <w:vAlign w:val="top"/>
          </w:tcPr>
          <w:p w14:paraId="637CE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陈恭文</w:t>
            </w:r>
          </w:p>
        </w:tc>
        <w:tc>
          <w:tcPr>
            <w:tcW w:w="1599" w:type="dxa"/>
            <w:noWrap w:val="0"/>
            <w:vAlign w:val="top"/>
          </w:tcPr>
          <w:p w14:paraId="5A24E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873" w:type="dxa"/>
            <w:noWrap w:val="0"/>
            <w:vAlign w:val="top"/>
          </w:tcPr>
          <w:p w14:paraId="2484E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25CC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888" w:type="dxa"/>
            <w:noWrap w:val="0"/>
            <w:vAlign w:val="center"/>
          </w:tcPr>
          <w:p w14:paraId="21B7C6A4"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电气自动化技术</w:t>
            </w:r>
          </w:p>
        </w:tc>
        <w:tc>
          <w:tcPr>
            <w:tcW w:w="1584" w:type="dxa"/>
            <w:noWrap w:val="0"/>
            <w:vAlign w:val="top"/>
          </w:tcPr>
          <w:p w14:paraId="76D36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毛卫旭</w:t>
            </w:r>
          </w:p>
        </w:tc>
        <w:tc>
          <w:tcPr>
            <w:tcW w:w="1599" w:type="dxa"/>
            <w:noWrap w:val="0"/>
            <w:vAlign w:val="top"/>
          </w:tcPr>
          <w:p w14:paraId="7C862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873" w:type="dxa"/>
            <w:noWrap w:val="0"/>
            <w:vAlign w:val="top"/>
          </w:tcPr>
          <w:p w14:paraId="76E72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2A62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888" w:type="dxa"/>
            <w:noWrap w:val="0"/>
            <w:vAlign w:val="center"/>
          </w:tcPr>
          <w:p w14:paraId="10D09928"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安全工程</w:t>
            </w:r>
          </w:p>
        </w:tc>
        <w:tc>
          <w:tcPr>
            <w:tcW w:w="1584" w:type="dxa"/>
            <w:noWrap w:val="0"/>
            <w:vAlign w:val="top"/>
          </w:tcPr>
          <w:p w14:paraId="3A4E7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崔巍</w:t>
            </w:r>
          </w:p>
        </w:tc>
        <w:tc>
          <w:tcPr>
            <w:tcW w:w="1599" w:type="dxa"/>
            <w:noWrap w:val="0"/>
            <w:vAlign w:val="top"/>
          </w:tcPr>
          <w:p w14:paraId="6ACF1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873" w:type="dxa"/>
            <w:noWrap w:val="0"/>
            <w:vAlign w:val="top"/>
          </w:tcPr>
          <w:p w14:paraId="4B117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-42" w:rightChars="-20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4989C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42" w:rightChars="-20" w:firstLine="984" w:firstLineChars="350"/>
        <w:textAlignment w:val="auto"/>
        <w:rPr>
          <w:rFonts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此任命</w:t>
      </w:r>
    </w:p>
    <w:p w14:paraId="6F3AF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42" w:rightChars="-20" w:firstLine="3907" w:firstLineChars="1390"/>
        <w:textAlignment w:val="auto"/>
        <w:rPr>
          <w:rFonts w:hint="eastAsia"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 xml:space="preserve">       </w:t>
      </w:r>
    </w:p>
    <w:p w14:paraId="29C5E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42" w:rightChars="-20" w:firstLine="3907" w:firstLineChars="1390"/>
        <w:textAlignment w:val="auto"/>
        <w:rPr>
          <w:rFonts w:hint="eastAsia"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 xml:space="preserve">       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 xml:space="preserve"> 年</w:t>
      </w:r>
      <w:r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 xml:space="preserve">  月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  <w:t>15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 xml:space="preserve"> 日</w:t>
      </w:r>
    </w:p>
    <w:p w14:paraId="0A7C8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-42" w:rightChars="-20"/>
        <w:jc w:val="center"/>
        <w:textAlignment w:val="auto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  基本情况记录表</w:t>
      </w:r>
    </w:p>
    <w:p w14:paraId="3AA7BF2A">
      <w:pPr>
        <w:pStyle w:val="2"/>
        <w:spacing w:before="0" w:after="0" w:line="360" w:lineRule="auto"/>
        <w:rPr>
          <w:rFonts w:hint="eastAsia" w:ascii="宋体" w:hAnsi="宋体"/>
          <w:sz w:val="28"/>
          <w:szCs w:val="28"/>
        </w:rPr>
      </w:pPr>
      <w:bookmarkStart w:id="0" w:name="_Toc256599748"/>
      <w:bookmarkStart w:id="1" w:name="_Toc132776019"/>
      <w:r>
        <w:rPr>
          <w:rFonts w:hint="eastAsia" w:ascii="宋体" w:hAnsi="宋体"/>
          <w:sz w:val="28"/>
          <w:szCs w:val="32"/>
        </w:rPr>
        <w:t>企业</w:t>
      </w:r>
      <w:r>
        <w:rPr>
          <w:rFonts w:hint="eastAsia" w:ascii="宋体" w:hAnsi="宋体"/>
          <w:sz w:val="28"/>
          <w:szCs w:val="28"/>
        </w:rPr>
        <w:t>概况</w:t>
      </w:r>
      <w:bookmarkEnd w:id="0"/>
      <w:bookmarkEnd w:id="1"/>
    </w:p>
    <w:p w14:paraId="6795E5BB">
      <w:pPr>
        <w:ind w:right="-42" w:rightChars="-20"/>
        <w:jc w:val="center"/>
        <w:outlineLvl w:val="9"/>
        <w:rPr>
          <w:rFonts w:ascii="宋体" w:hAnsi="宋体"/>
          <w:b/>
          <w:color w:val="auto"/>
          <w:sz w:val="28"/>
          <w:szCs w:val="28"/>
          <w:highlight w:val="none"/>
        </w:rPr>
      </w:pPr>
      <w:bookmarkStart w:id="2" w:name="_Toc235850795"/>
      <w:bookmarkStart w:id="3" w:name="_Toc256599749"/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一  基本情况记录表（根据实际情况选择使用）</w:t>
      </w:r>
    </w:p>
    <w:p w14:paraId="720FAF84">
      <w:pPr>
        <w:bidi w:val="0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bookmarkStart w:id="4" w:name="_Toc83289117"/>
      <w:bookmarkStart w:id="5" w:name="_Toc85075282"/>
      <w:bookmarkStart w:id="6" w:name="_Toc89333783"/>
      <w:bookmarkStart w:id="7" w:name="_Toc89337118"/>
      <w:bookmarkStart w:id="8" w:name="_Toc124926607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1</w:t>
      </w:r>
      <w:bookmarkEnd w:id="4"/>
      <w:bookmarkEnd w:id="5"/>
      <w:bookmarkEnd w:id="6"/>
      <w:bookmarkEnd w:id="7"/>
      <w:bookmarkEnd w:id="8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企业概况</w:t>
      </w:r>
    </w:p>
    <w:p w14:paraId="79C3A42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项目名称：</w:t>
      </w:r>
      <w:r>
        <w:rPr>
          <w:rFonts w:hint="eastAsia" w:ascii="宋体" w:hAnsi="宋体"/>
          <w:color w:val="auto"/>
          <w:sz w:val="36"/>
          <w:szCs w:val="36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0"/>
          <w:szCs w:val="20"/>
          <w:highlight w:val="none"/>
          <w:u w:val="single"/>
          <w:lang w:eastAsia="zh-CN"/>
        </w:rPr>
        <w:t>禄丰县金山镇好运来砖厂</w:t>
      </w:r>
      <w:r>
        <w:rPr>
          <w:rFonts w:hint="eastAsia" w:ascii="宋体" w:hAnsi="宋体"/>
          <w:color w:val="auto"/>
          <w:sz w:val="20"/>
          <w:szCs w:val="20"/>
          <w:highlight w:val="none"/>
          <w:u w:val="single"/>
          <w:lang w:val="en-US" w:eastAsia="zh-CN"/>
        </w:rPr>
        <w:t>安全现状评价</w:t>
      </w:r>
      <w:r>
        <w:rPr>
          <w:rFonts w:hint="eastAsia" w:ascii="宋体" w:hAnsi="宋体"/>
          <w:color w:val="auto"/>
          <w:sz w:val="36"/>
          <w:szCs w:val="36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     </w:t>
      </w:r>
    </w:p>
    <w:p w14:paraId="7B56EE3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项目类型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：    </w:t>
      </w:r>
      <w:r>
        <w:rPr>
          <w:rFonts w:hint="eastAsia" w:ascii="宋体" w:hAnsi="宋体"/>
          <w:color w:val="auto"/>
          <w:sz w:val="22"/>
          <w:szCs w:val="22"/>
          <w:highlight w:val="none"/>
          <w:u w:val="single"/>
        </w:rPr>
        <w:t>安全</w:t>
      </w:r>
      <w:r>
        <w:rPr>
          <w:rFonts w:hint="eastAsia" w:ascii="宋体" w:hAnsi="宋体"/>
          <w:color w:val="auto"/>
          <w:sz w:val="22"/>
          <w:szCs w:val="22"/>
          <w:highlight w:val="none"/>
          <w:u w:val="single"/>
          <w:lang w:val="en-US" w:eastAsia="zh-CN"/>
        </w:rPr>
        <w:t>现状</w:t>
      </w:r>
      <w:r>
        <w:rPr>
          <w:rFonts w:hint="eastAsia" w:ascii="宋体" w:hAnsi="宋体"/>
          <w:color w:val="auto"/>
          <w:sz w:val="22"/>
          <w:szCs w:val="22"/>
          <w:highlight w:val="none"/>
          <w:u w:val="single"/>
        </w:rPr>
        <w:t>评价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企业性质：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个体工商户                    </w:t>
      </w:r>
    </w:p>
    <w:p w14:paraId="6D3AA20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投资金额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： 10万元人民币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法定代表人：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eastAsia="zh-CN"/>
        </w:rPr>
        <w:t>陈贵平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</w:t>
      </w:r>
    </w:p>
    <w:p w14:paraId="309ECDD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住所：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  <w:u w:val="single"/>
          <w:lang w:val="en-US" w:eastAsia="zh-CN"/>
        </w:rPr>
        <w:t>禄丰县金山镇杨家庄新坝村</w:t>
      </w:r>
      <w:r>
        <w:rPr>
          <w:rFonts w:hint="eastAsia" w:ascii="宋体" w:hAnsi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</w:t>
      </w:r>
    </w:p>
    <w:p w14:paraId="3F07049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筹建或建成投产时间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eastAsia="zh-CN"/>
        </w:rPr>
        <w:t>20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08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>年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月                                   </w:t>
      </w:r>
    </w:p>
    <w:p w14:paraId="2C5E656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生产经营类型：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生产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</w:t>
      </w:r>
    </w:p>
    <w:p w14:paraId="1014A3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生产能力或设计规模：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年产烧结页岩红砖8000万块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</w:t>
      </w:r>
    </w:p>
    <w:p w14:paraId="1C1B119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生产经营的主要产品、物料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烧结页岩红砖                            </w:t>
      </w:r>
    </w:p>
    <w:p w14:paraId="2491CC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59" w:leftChars="266" w:firstLine="0" w:firstLineChars="0"/>
        <w:textAlignment w:val="auto"/>
        <w:rPr>
          <w:rFonts w:hint="eastAsia" w:ascii="宋体" w:hAnsi="宋体" w:cs="Times New Roman"/>
          <w:sz w:val="22"/>
          <w:szCs w:val="22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证照或核准情况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：   </w:t>
      </w:r>
      <w:r>
        <w:rPr>
          <w:rFonts w:hint="eastAsia" w:ascii="宋体" w:hAnsi="宋体"/>
          <w:sz w:val="22"/>
          <w:szCs w:val="22"/>
          <w:u w:val="single"/>
        </w:rPr>
        <w:t>营</w:t>
      </w:r>
      <w:r>
        <w:rPr>
          <w:rFonts w:hint="eastAsia" w:ascii="宋体" w:hAnsi="宋体" w:eastAsia="宋体" w:cs="Times New Roman"/>
          <w:sz w:val="22"/>
          <w:szCs w:val="22"/>
          <w:u w:val="single"/>
        </w:rPr>
        <w:t>业执照</w:t>
      </w:r>
      <w:r>
        <w:rPr>
          <w:rFonts w:hint="eastAsia" w:ascii="宋体" w:hAnsi="宋体" w:cs="Times New Roman"/>
          <w:sz w:val="22"/>
          <w:szCs w:val="22"/>
          <w:u w:val="single"/>
          <w:lang w:val="en-US" w:eastAsia="zh-CN"/>
        </w:rPr>
        <w:t xml:space="preserve">                                          </w:t>
      </w:r>
    </w:p>
    <w:p w14:paraId="42648105">
      <w:pPr>
        <w:pStyle w:val="13"/>
        <w:rPr>
          <w:rFonts w:hint="default"/>
          <w:lang w:val="en-US" w:eastAsia="zh-CN"/>
        </w:rPr>
      </w:pPr>
      <w:r>
        <w:rPr>
          <w:rFonts w:hint="eastAsia" w:ascii="宋体" w:hAnsi="宋体" w:cs="Times New Roman"/>
          <w:sz w:val="22"/>
          <w:szCs w:val="22"/>
          <w:u w:val="single"/>
          <w:lang w:val="en-US" w:eastAsia="zh-CN"/>
        </w:rPr>
        <w:t xml:space="preserve">                                                                               </w:t>
      </w:r>
    </w:p>
    <w:p w14:paraId="37E0DC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</w:t>
      </w:r>
    </w:p>
    <w:p w14:paraId="229CA80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每年最大生产时间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300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天，每天工作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班（8小时）。人员编制：管理人员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人、生产人员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15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人。</w:t>
      </w:r>
    </w:p>
    <w:p w14:paraId="1800CC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专职安全员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0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人，兼职安全员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人。</w:t>
      </w:r>
    </w:p>
    <w:p w14:paraId="71AD1489">
      <w:pPr>
        <w:bidi w:val="0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2地理位置及交通</w:t>
      </w:r>
    </w:p>
    <w:p w14:paraId="16B149A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41" w:leftChars="67" w:right="-92" w:rightChars="-44"/>
        <w:jc w:val="left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   项目所在地距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禄丰市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城市约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12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公里，位于（</w:t>
      </w:r>
      <w:r>
        <w:rPr>
          <w:rFonts w:hint="eastAsia" w:ascii="宋体" w:hAnsi="宋体"/>
          <w:color w:val="auto"/>
          <w:sz w:val="15"/>
          <w:szCs w:val="28"/>
          <w:highlight w:val="none"/>
        </w:rPr>
        <w:t>要求细化到小地名或社区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禄丰县金山镇杨家庄新坝村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 。</w:t>
      </w:r>
    </w:p>
    <w:p w14:paraId="6D7DD30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41" w:leftChars="67" w:right="-92" w:rightChars="-44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地理坐标：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东经102°06'57.0312"，北纬25°02'05.6436"                                             </w:t>
      </w:r>
    </w:p>
    <w:p w14:paraId="02648C5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41" w:leftChars="67" w:right="-92" w:rightChars="-44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交通：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砖厂南侧出入场道路与腰站乡至G320新干线县道连接，可通行大中型货运车辆，道路交通十分便利。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</w:t>
      </w:r>
    </w:p>
    <w:bookmarkEnd w:id="2"/>
    <w:bookmarkEnd w:id="3"/>
    <w:p w14:paraId="18D93CA4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</w:t>
      </w:r>
    </w:p>
    <w:tbl>
      <w:tblPr>
        <w:tblStyle w:val="23"/>
        <w:tblW w:w="0" w:type="auto"/>
        <w:tblInd w:w="4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5"/>
      </w:tblGrid>
      <w:tr w14:paraId="41EA4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3" w:hRule="atLeast"/>
        </w:trPr>
        <w:tc>
          <w:tcPr>
            <w:tcW w:w="7835" w:type="dxa"/>
            <w:noWrap w:val="0"/>
            <w:vAlign w:val="top"/>
          </w:tcPr>
          <w:p w14:paraId="36265D05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交通位置示意图</w:t>
            </w:r>
          </w:p>
          <w:p w14:paraId="49C047FA">
            <w:pPr>
              <w:rPr>
                <w:rFonts w:hint="eastAsia" w:ascii="宋体" w:hAnsi="宋体"/>
                <w:sz w:val="28"/>
                <w:szCs w:val="28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31115</wp:posOffset>
                  </wp:positionV>
                  <wp:extent cx="4658360" cy="3266440"/>
                  <wp:effectExtent l="0" t="0" r="5080" b="10160"/>
                  <wp:wrapTopAndBottom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8360" cy="326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sz w:val="13"/>
                <w:szCs w:val="28"/>
              </w:rPr>
              <w:t>注：为便于分析周边区域的情况、项目周边交通关系，手工绘出较小范围内的交通位置示意图，同时要求标出相对距离</w:t>
            </w:r>
          </w:p>
        </w:tc>
      </w:tr>
    </w:tbl>
    <w:p w14:paraId="4BAA5FA6">
      <w:pPr>
        <w:bidi w:val="0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3  自然地理</w:t>
      </w:r>
    </w:p>
    <w:p w14:paraId="3659D6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color w:val="auto"/>
          <w:sz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highlight w:val="none"/>
        </w:rPr>
        <w:t>地形地貌：</w:t>
      </w:r>
      <w:r>
        <w:rPr>
          <w:rFonts w:hint="eastAsia" w:ascii="宋体" w:hAnsi="宋体"/>
          <w:color w:val="auto"/>
          <w:sz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是否提供了相关资料？（是</w:t>
      </w:r>
      <w:r>
        <w:rPr>
          <w:rFonts w:hint="eastAsia" w:ascii="宋体" w:hAnsi="宋体"/>
          <w:color w:val="auto"/>
          <w:sz w:val="18"/>
          <w:highlight w:val="none"/>
          <w:lang w:eastAsia="zh-CN"/>
        </w:rPr>
        <w:t>□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、否</w:t>
      </w:r>
      <w:r>
        <w:rPr>
          <w:rFonts w:hint="eastAsia" w:ascii="宋体" w:hAnsi="宋体"/>
          <w:color w:val="auto"/>
          <w:sz w:val="18"/>
          <w:highlight w:val="none"/>
          <w:lang w:eastAsia="zh-CN"/>
        </w:rPr>
        <w:t>☑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） 是否有现场踏勘后或收集</w:t>
      </w:r>
      <w:r>
        <w:rPr>
          <w:rFonts w:hint="eastAsia" w:ascii="宋体" w:hAnsi="宋体"/>
          <w:color w:val="auto"/>
          <w:sz w:val="18"/>
          <w:highlight w:val="none"/>
          <w:u w:val="single"/>
          <w:lang w:eastAsia="zh-CN"/>
        </w:rPr>
        <w:t>的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补充记录（是</w:t>
      </w:r>
      <w:r>
        <w:rPr>
          <w:rFonts w:hint="eastAsia" w:ascii="宋体" w:hAnsi="宋体"/>
          <w:color w:val="auto"/>
          <w:sz w:val="18"/>
          <w:highlight w:val="none"/>
          <w:lang w:eastAsia="zh-CN"/>
        </w:rPr>
        <w:t>☑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、否</w:t>
      </w:r>
      <w:r>
        <w:rPr>
          <w:rFonts w:hint="eastAsia" w:ascii="宋体" w:hAnsi="宋体"/>
          <w:color w:val="auto"/>
          <w:sz w:val="18"/>
          <w:highlight w:val="none"/>
        </w:rPr>
        <w:t>□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 xml:space="preserve">） </w:t>
      </w:r>
      <w:r>
        <w:rPr>
          <w:rFonts w:hint="eastAsia" w:ascii="宋体" w:hAnsi="宋体"/>
          <w:color w:val="auto"/>
          <w:sz w:val="28"/>
          <w:highlight w:val="none"/>
          <w:u w:val="single"/>
        </w:rPr>
        <w:t>。</w:t>
      </w:r>
    </w:p>
    <w:p w14:paraId="08AE974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/>
          <w:color w:val="auto"/>
          <w:sz w:val="28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8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Times New Roman"/>
          <w:sz w:val="20"/>
          <w:szCs w:val="13"/>
          <w:u w:val="single"/>
          <w:lang w:val="en-US" w:eastAsia="zh-CN"/>
        </w:rPr>
        <w:t xml:space="preserve">项目位于山体中下部，总体地势北高南低，东高西低。项目区场边已平整。北部为原采土场。历年开采形成人工斜坡，采场自然坡度10-35º。  </w:t>
      </w:r>
      <w:r>
        <w:rPr>
          <w:rFonts w:hint="eastAsia" w:ascii="宋体" w:hAnsi="宋体"/>
          <w:color w:val="auto"/>
          <w:sz w:val="28"/>
          <w:highlight w:val="none"/>
          <w:u w:val="single"/>
          <w:lang w:val="en-US" w:eastAsia="zh-CN"/>
        </w:rPr>
        <w:t xml:space="preserve">                                                        </w:t>
      </w:r>
    </w:p>
    <w:p w14:paraId="2D70C2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highlight w:val="none"/>
          <w:u w:val="single"/>
        </w:rPr>
        <w:t xml:space="preserve">          </w:t>
      </w:r>
      <w:r>
        <w:rPr>
          <w:rFonts w:hint="eastAsia" w:ascii="宋体" w:hAnsi="宋体"/>
          <w:color w:val="auto"/>
          <w:sz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auto"/>
          <w:sz w:val="28"/>
          <w:highlight w:val="none"/>
          <w:u w:val="single"/>
        </w:rPr>
        <w:t xml:space="preserve">                                       </w:t>
      </w:r>
      <w:r>
        <w:rPr>
          <w:rFonts w:hint="eastAsia" w:ascii="宋体" w:hAnsi="宋体"/>
          <w:color w:val="auto"/>
          <w:sz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auto"/>
          <w:sz w:val="28"/>
          <w:highlight w:val="none"/>
          <w:u w:val="single"/>
        </w:rPr>
        <w:t xml:space="preserve">         </w:t>
      </w:r>
    </w:p>
    <w:p w14:paraId="5D29ED7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highlight w:val="none"/>
        </w:rPr>
        <w:t xml:space="preserve"> 气象条件：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 xml:space="preserve"> 是否提供了相关资料？（是</w:t>
      </w:r>
      <w:r>
        <w:rPr>
          <w:rFonts w:hint="eastAsia" w:ascii="宋体" w:hAnsi="宋体"/>
          <w:color w:val="auto"/>
          <w:sz w:val="18"/>
          <w:highlight w:val="none"/>
          <w:lang w:eastAsia="zh-CN"/>
        </w:rPr>
        <w:t>□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、否</w:t>
      </w:r>
      <w:r>
        <w:rPr>
          <w:rFonts w:hint="eastAsia" w:ascii="宋体" w:hAnsi="宋体"/>
          <w:color w:val="auto"/>
          <w:sz w:val="18"/>
          <w:highlight w:val="none"/>
          <w:lang w:eastAsia="zh-CN"/>
        </w:rPr>
        <w:t>☑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） 是否有现场踏勘后或收集</w:t>
      </w:r>
      <w:r>
        <w:rPr>
          <w:rFonts w:hint="eastAsia" w:ascii="宋体" w:hAnsi="宋体"/>
          <w:color w:val="auto"/>
          <w:sz w:val="18"/>
          <w:highlight w:val="none"/>
          <w:u w:val="single"/>
          <w:lang w:eastAsia="zh-CN"/>
        </w:rPr>
        <w:t>的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补充记录（是</w:t>
      </w:r>
      <w:r>
        <w:rPr>
          <w:rFonts w:hint="eastAsia" w:ascii="宋体" w:hAnsi="宋体"/>
          <w:color w:val="auto"/>
          <w:sz w:val="18"/>
          <w:highlight w:val="none"/>
          <w:lang w:eastAsia="zh-CN"/>
        </w:rPr>
        <w:t>☑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、否</w:t>
      </w:r>
      <w:r>
        <w:rPr>
          <w:rFonts w:hint="eastAsia" w:ascii="宋体" w:hAnsi="宋体"/>
          <w:color w:val="auto"/>
          <w:sz w:val="18"/>
          <w:highlight w:val="none"/>
        </w:rPr>
        <w:t>□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） 。</w:t>
      </w:r>
      <w:r>
        <w:rPr>
          <w:rFonts w:hint="eastAsia" w:ascii="宋体" w:hAnsi="宋体"/>
          <w:color w:val="auto"/>
          <w:sz w:val="28"/>
          <w:highlight w:val="none"/>
          <w:u w:val="single"/>
        </w:rPr>
        <w:t xml:space="preserve">     </w:t>
      </w:r>
      <w:r>
        <w:rPr>
          <w:rFonts w:hint="eastAsia" w:ascii="宋体" w:hAnsi="宋体"/>
          <w:sz w:val="20"/>
          <w:szCs w:val="13"/>
          <w:u w:val="single"/>
          <w:lang w:val="en-US" w:eastAsia="zh-CN"/>
        </w:rPr>
        <w:t>该区气候属亚热带高原季风气候，冬干夏湿，气候温和，夏无酷暑，冬无严寒，四季如春。年平均气温16.2°。1月最冷，平均气温8.4°。极端最低气温零下4.5°，6月最热，平均气温21.7°，极端最高气温为36.1℃。多年平均降雨量为915.5mm。年平均降雨日128.5天。平均年雷暴日天数67d/a。</w:t>
      </w:r>
    </w:p>
    <w:p w14:paraId="777541A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bookmarkStart w:id="9" w:name="_Toc235850798"/>
      <w:bookmarkStart w:id="10" w:name="_Toc256599752"/>
      <w:r>
        <w:rPr>
          <w:rFonts w:hint="eastAsia" w:ascii="宋体" w:hAnsi="宋体"/>
          <w:color w:val="auto"/>
          <w:sz w:val="28"/>
          <w:szCs w:val="32"/>
          <w:highlight w:val="none"/>
        </w:rPr>
        <w:t>3.1  项目地层</w:t>
      </w:r>
      <w:bookmarkEnd w:id="9"/>
      <w:bookmarkEnd w:id="10"/>
      <w:r>
        <w:rPr>
          <w:rFonts w:hint="eastAsia" w:ascii="宋体" w:hAnsi="宋体"/>
          <w:color w:val="auto"/>
          <w:sz w:val="28"/>
          <w:szCs w:val="32"/>
          <w:highlight w:val="none"/>
        </w:rPr>
        <w:t xml:space="preserve">、构造简况 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是否提供了相关资料？（是</w:t>
      </w:r>
      <w:r>
        <w:rPr>
          <w:rFonts w:hint="eastAsia" w:ascii="宋体" w:hAnsi="宋体"/>
          <w:color w:val="auto"/>
          <w:sz w:val="18"/>
          <w:highlight w:val="none"/>
          <w:lang w:eastAsia="zh-CN"/>
        </w:rPr>
        <w:t>□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、否</w:t>
      </w:r>
      <w:r>
        <w:rPr>
          <w:rFonts w:hint="eastAsia" w:ascii="宋体" w:hAnsi="宋体"/>
          <w:color w:val="auto"/>
          <w:sz w:val="18"/>
          <w:highlight w:val="none"/>
          <w:lang w:eastAsia="zh-CN"/>
        </w:rPr>
        <w:t>☑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） 是否有现场踏勘后或收集</w:t>
      </w:r>
      <w:r>
        <w:rPr>
          <w:rFonts w:hint="eastAsia" w:ascii="宋体" w:hAnsi="宋体"/>
          <w:color w:val="auto"/>
          <w:sz w:val="18"/>
          <w:highlight w:val="none"/>
          <w:u w:val="single"/>
          <w:lang w:eastAsia="zh-CN"/>
        </w:rPr>
        <w:t>的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补充记录（是</w:t>
      </w:r>
      <w:r>
        <w:rPr>
          <w:rFonts w:hint="eastAsia" w:ascii="宋体" w:hAnsi="宋体"/>
          <w:color w:val="auto"/>
          <w:sz w:val="18"/>
          <w:highlight w:val="none"/>
          <w:lang w:eastAsia="zh-CN"/>
        </w:rPr>
        <w:t>□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、否</w:t>
      </w:r>
      <w:r>
        <w:rPr>
          <w:rFonts w:hint="eastAsia" w:ascii="宋体" w:hAnsi="宋体"/>
          <w:color w:val="auto"/>
          <w:sz w:val="18"/>
          <w:highlight w:val="none"/>
        </w:rPr>
        <w:t>□</w:t>
      </w:r>
      <w:r>
        <w:rPr>
          <w:rFonts w:hint="eastAsia" w:ascii="宋体" w:hAnsi="宋体"/>
          <w:color w:val="auto"/>
          <w:sz w:val="18"/>
          <w:highlight w:val="none"/>
          <w:u w:val="single"/>
        </w:rPr>
        <w:t>） 。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   </w:t>
      </w:r>
    </w:p>
    <w:p w14:paraId="52AA11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>1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地层                                                           </w:t>
      </w:r>
    </w:p>
    <w:p w14:paraId="30B366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>2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构造                                                     </w:t>
      </w:r>
    </w:p>
    <w:p w14:paraId="624C00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>3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地质特征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       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</w:t>
      </w:r>
    </w:p>
    <w:p w14:paraId="5379D410">
      <w:pPr>
        <w:bidi w:val="0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</w:pPr>
      <w:bookmarkStart w:id="11" w:name="_Toc235850802"/>
      <w:bookmarkStart w:id="12" w:name="_Toc256599756"/>
      <w:bookmarkStart w:id="13" w:name="_Toc212885237"/>
      <w:bookmarkStart w:id="14" w:name="_Toc180570117"/>
      <w:bookmarkStart w:id="15" w:name="_Toc235432047"/>
      <w:bookmarkStart w:id="16" w:name="_Toc90952520"/>
      <w:bookmarkStart w:id="17" w:name="_Toc235432216"/>
    </w:p>
    <w:p w14:paraId="3F1CAF53">
      <w:pPr>
        <w:bidi w:val="0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3.2   水文地质条件</w:t>
      </w:r>
      <w:bookmarkEnd w:id="11"/>
      <w:bookmarkEnd w:id="12"/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是否提供了相关资料？（是</w:t>
      </w:r>
      <w:r>
        <w:rPr>
          <w:rFonts w:hint="eastAsia" w:cs="Times New Roman"/>
          <w:b/>
          <w:bCs/>
          <w:color w:val="auto"/>
          <w:sz w:val="24"/>
          <w:szCs w:val="22"/>
          <w:highlight w:val="none"/>
          <w:lang w:eastAsia="zh-CN"/>
        </w:rPr>
        <w:t>□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、否</w:t>
      </w:r>
      <w:r>
        <w:rPr>
          <w:rFonts w:hint="eastAsia" w:cs="Times New Roman"/>
          <w:b/>
          <w:bCs/>
          <w:color w:val="auto"/>
          <w:sz w:val="24"/>
          <w:szCs w:val="22"/>
          <w:highlight w:val="none"/>
          <w:lang w:eastAsia="zh-CN"/>
        </w:rPr>
        <w:t>☑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） 是否有现场踏勘后或收集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  <w:lang w:eastAsia="zh-CN"/>
        </w:rPr>
        <w:t>的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补充记录（是</w:t>
      </w:r>
      <w:r>
        <w:rPr>
          <w:rFonts w:hint="eastAsia" w:cs="Times New Roman"/>
          <w:b/>
          <w:bCs/>
          <w:color w:val="auto"/>
          <w:sz w:val="24"/>
          <w:szCs w:val="22"/>
          <w:highlight w:val="none"/>
          <w:lang w:eastAsia="zh-CN"/>
        </w:rPr>
        <w:t>☑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、否□） 。</w:t>
      </w:r>
    </w:p>
    <w:bookmarkEnd w:id="13"/>
    <w:bookmarkEnd w:id="14"/>
    <w:bookmarkEnd w:id="15"/>
    <w:bookmarkEnd w:id="16"/>
    <w:bookmarkEnd w:id="17"/>
    <w:p w14:paraId="1CCF8C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bookmarkStart w:id="18" w:name="_Toc90952521"/>
      <w:bookmarkStart w:id="19" w:name="_Toc180570118"/>
      <w:bookmarkStart w:id="20" w:name="_Toc235850803"/>
      <w:bookmarkStart w:id="21" w:name="_Toc235432048"/>
      <w:bookmarkStart w:id="22" w:name="_Toc212885238"/>
      <w:bookmarkStart w:id="23" w:name="_Toc235432217"/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1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孔隙水赋存：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      </w:t>
      </w:r>
    </w:p>
    <w:p w14:paraId="2A5D35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2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岩溶水赋存：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         </w:t>
      </w:r>
    </w:p>
    <w:p w14:paraId="059CD9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3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地表水体：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 </w:t>
      </w:r>
    </w:p>
    <w:p w14:paraId="2028268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4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水文条件类型：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                    </w:t>
      </w:r>
    </w:p>
    <w:bookmarkEnd w:id="18"/>
    <w:bookmarkEnd w:id="19"/>
    <w:bookmarkEnd w:id="20"/>
    <w:bookmarkEnd w:id="21"/>
    <w:bookmarkEnd w:id="22"/>
    <w:bookmarkEnd w:id="23"/>
    <w:p w14:paraId="69925CCF">
      <w:pPr>
        <w:bidi w:val="0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</w:pPr>
      <w:bookmarkStart w:id="24" w:name="_Toc180570119"/>
      <w:bookmarkStart w:id="25" w:name="_Toc235432049"/>
      <w:bookmarkStart w:id="26" w:name="_Toc256599758"/>
      <w:bookmarkStart w:id="27" w:name="_Toc235850804"/>
      <w:bookmarkStart w:id="28" w:name="_Toc212885239"/>
      <w:bookmarkStart w:id="29" w:name="_Toc90952522"/>
      <w:bookmarkStart w:id="30" w:name="_Toc235432218"/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3.3  工程地质简况：是否提供了相关资料？（是□、否</w:t>
      </w:r>
      <w:r>
        <w:rPr>
          <w:rFonts w:hint="eastAsia" w:cs="Times New Roman"/>
          <w:b/>
          <w:bCs/>
          <w:color w:val="auto"/>
          <w:sz w:val="24"/>
          <w:szCs w:val="22"/>
          <w:highlight w:val="none"/>
          <w:lang w:eastAsia="zh-CN"/>
        </w:rPr>
        <w:t>☑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） 是否有现场踏勘后或收集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  <w:lang w:eastAsia="zh-CN"/>
        </w:rPr>
        <w:t>的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补充记录（是□、否</w:t>
      </w:r>
      <w:r>
        <w:rPr>
          <w:rFonts w:hint="eastAsia" w:cs="Times New Roman"/>
          <w:b/>
          <w:bCs/>
          <w:color w:val="auto"/>
          <w:sz w:val="24"/>
          <w:szCs w:val="22"/>
          <w:highlight w:val="none"/>
          <w:lang w:eastAsia="zh-CN"/>
        </w:rPr>
        <w:t>☑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） 。</w:t>
      </w:r>
    </w:p>
    <w:p w14:paraId="533443D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1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工程地质岩组：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</w:t>
      </w:r>
    </w:p>
    <w:p w14:paraId="6B334A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2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边坡稳定性分析：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无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      </w:t>
      </w:r>
    </w:p>
    <w:p w14:paraId="140E40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3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工程地质条件类型：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 </w:t>
      </w:r>
    </w:p>
    <w:p w14:paraId="0562E346">
      <w:pPr>
        <w:bidi w:val="0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  <w:lang w:eastAsia="zh-CN"/>
        </w:rPr>
        <w:t>3.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4环境地质</w:t>
      </w:r>
      <w:bookmarkEnd w:id="24"/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条件</w:t>
      </w:r>
      <w:bookmarkEnd w:id="25"/>
      <w:bookmarkEnd w:id="26"/>
      <w:bookmarkEnd w:id="27"/>
      <w:bookmarkEnd w:id="28"/>
      <w:bookmarkEnd w:id="29"/>
      <w:bookmarkEnd w:id="30"/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是否提供了相关资料？（是□、否</w:t>
      </w:r>
      <w:r>
        <w:rPr>
          <w:rFonts w:hint="eastAsia" w:cs="Times New Roman"/>
          <w:b/>
          <w:bCs/>
          <w:color w:val="auto"/>
          <w:sz w:val="24"/>
          <w:szCs w:val="22"/>
          <w:highlight w:val="none"/>
          <w:lang w:eastAsia="zh-CN"/>
        </w:rPr>
        <w:t>☑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） 是否有现场踏勘后或收集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  <w:lang w:eastAsia="zh-CN"/>
        </w:rPr>
        <w:t>的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补充记录（是□、否</w:t>
      </w:r>
      <w:r>
        <w:rPr>
          <w:rFonts w:hint="eastAsia" w:cs="Times New Roman"/>
          <w:b/>
          <w:bCs/>
          <w:color w:val="auto"/>
          <w:sz w:val="24"/>
          <w:szCs w:val="22"/>
          <w:highlight w:val="none"/>
          <w:lang w:eastAsia="zh-CN"/>
        </w:rPr>
        <w:t>☑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） 。</w:t>
      </w:r>
    </w:p>
    <w:p w14:paraId="048B82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（1）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调查区域的古滑坡体、地表塌陷及崩塌体情况：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无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</w:t>
      </w:r>
    </w:p>
    <w:p w14:paraId="24403DE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                        </w:t>
      </w:r>
    </w:p>
    <w:p w14:paraId="530A73E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2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不良地质作用：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无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</w:t>
      </w:r>
    </w:p>
    <w:p w14:paraId="13A62D2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3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)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环境污染情况：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无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   </w:t>
      </w:r>
    </w:p>
    <w:p w14:paraId="6F1646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（4）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历史名胜古迹和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其他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自然景观的影响情况：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无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</w:t>
      </w:r>
    </w:p>
    <w:p w14:paraId="6A09584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（5）其他重要的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民用或工业建筑的情况：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>无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</w:t>
      </w:r>
    </w:p>
    <w:p w14:paraId="0C030E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6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环境地质条件类型</w:t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简单类型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</w:t>
      </w:r>
    </w:p>
    <w:p w14:paraId="77D440F4">
      <w:pPr>
        <w:bidi w:val="0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</w:pPr>
      <w:bookmarkStart w:id="31" w:name="_Toc256599759"/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4周边环境</w:t>
      </w:r>
      <w:bookmarkEnd w:id="31"/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2"/>
          <w:highlight w:val="none"/>
        </w:rPr>
        <w:t>：</w:t>
      </w:r>
    </w:p>
    <w:p w14:paraId="673151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>厂区北侧、东北侧为已停用，正进行恢复治理的配套采土场，东南侧为农田。南侧为腰站乡至G320新干线县道。西侧为农田。北侧82米处有水池。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</w:rPr>
        <w:t>项目周围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>农村均在100米外。项目区不涉及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</w:rPr>
        <w:t>生活居住区、文教区、水源保护区、名胜古迹、风景游览区、温泉、疗养区、自然保护区和其他需要特别保护的区域。项目场地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>现场踏勘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</w:rPr>
        <w:t>未见不良地质现象存在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  <w:lang w:eastAsia="zh-CN"/>
        </w:rPr>
        <w:t>。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</w:rPr>
        <w:t>厂址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>靠近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</w:rPr>
        <w:t>道路，具有较好的供水、供电、交通运输条件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  <w:lang w:eastAsia="zh-CN"/>
        </w:rPr>
        <w:t>。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</w:rPr>
        <w:t xml:space="preserve"> 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2F43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5000" w:type="pct"/>
            <w:noWrap w:val="0"/>
            <w:vAlign w:val="top"/>
          </w:tcPr>
          <w:p w14:paraId="4BDA1560">
            <w:pPr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周边环境示意图</w:t>
            </w:r>
          </w:p>
          <w:p w14:paraId="64727E13">
            <w:pPr>
              <w:ind w:firstLine="420" w:firstLineChars="200"/>
              <w:jc w:val="center"/>
              <w:rPr>
                <w:rFonts w:ascii="宋体" w:hAnsi="宋体"/>
                <w:color w:val="auto"/>
                <w:sz w:val="18"/>
                <w:szCs w:val="28"/>
                <w:highlight w:val="none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78740</wp:posOffset>
                  </wp:positionV>
                  <wp:extent cx="5699125" cy="3006090"/>
                  <wp:effectExtent l="0" t="0" r="635" b="11430"/>
                  <wp:wrapTopAndBottom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9125" cy="300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FED653C">
            <w:pPr>
              <w:jc w:val="right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28"/>
                <w:highlight w:val="none"/>
              </w:rPr>
              <w:t>注：标出距离及相邻</w:t>
            </w:r>
            <w:r>
              <w:rPr>
                <w:rFonts w:hint="eastAsia" w:ascii="宋体" w:hAnsi="宋体"/>
                <w:color w:val="auto"/>
                <w:sz w:val="18"/>
                <w:szCs w:val="28"/>
                <w:highlight w:val="none"/>
                <w:lang w:val="en-US" w:eastAsia="zh-CN"/>
              </w:rPr>
              <w:t>关系（可另附图）</w:t>
            </w:r>
          </w:p>
        </w:tc>
      </w:tr>
    </w:tbl>
    <w:p w14:paraId="3261D427">
      <w:pPr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5.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生产区域平面布置情况：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2"/>
          <w:szCs w:val="22"/>
          <w:highlight w:val="none"/>
          <w:u w:val="single"/>
        </w:rPr>
        <w:t>该项目总体布局分为办公生活区、生产区两部分。生产区主要为原料堆场、破碎车间、陈化间、制砖车间、冷坯场、隧道窑、成品车间、脱硫除尘系统、成品堆场。项目的总平面布置基本合理，厂址与周边居住点的安全距离符合有关规范规定的要求。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                             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BD85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</w:trPr>
        <w:tc>
          <w:tcPr>
            <w:tcW w:w="5000" w:type="pct"/>
            <w:noWrap w:val="0"/>
            <w:vAlign w:val="top"/>
          </w:tcPr>
          <w:p w14:paraId="412BB5C3">
            <w:pPr>
              <w:jc w:val="center"/>
              <w:rPr>
                <w:rFonts w:ascii="宋体" w:hAnsi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生产区域</w:t>
            </w: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平面布置示意图</w:t>
            </w:r>
          </w:p>
          <w:p w14:paraId="5391C04C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-107950</wp:posOffset>
                  </wp:positionV>
                  <wp:extent cx="5249545" cy="4020820"/>
                  <wp:effectExtent l="0" t="0" r="8255" b="2540"/>
                  <wp:wrapTopAndBottom/>
                  <wp:docPr id="79" name="图片 79" descr="平面布置图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 descr="平面布置图_0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4791" b="2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545" cy="402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96CDF26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1E3EADAC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5BA95E5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28"/>
                <w:highlight w:val="none"/>
                <w:lang w:val="en-US" w:eastAsia="zh-CN"/>
              </w:rPr>
              <w:t>可另附图</w:t>
            </w:r>
          </w:p>
        </w:tc>
      </w:tr>
    </w:tbl>
    <w:p w14:paraId="7B7B1A79">
      <w:pPr>
        <w:autoSpaceDE w:val="0"/>
        <w:autoSpaceDN w:val="0"/>
        <w:adjustRightInd w:val="0"/>
        <w:spacing w:line="360" w:lineRule="auto"/>
        <w:rPr>
          <w:rFonts w:ascii="宋体" w:hAnsi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kern w:val="0"/>
          <w:sz w:val="28"/>
          <w:szCs w:val="28"/>
          <w:highlight w:val="none"/>
          <w:lang w:eastAsia="zh-CN"/>
        </w:rPr>
        <w:t>6.</w:t>
      </w:r>
      <w:r>
        <w:rPr>
          <w:rFonts w:hint="eastAsia" w:ascii="宋体" w:hAnsi="宋体"/>
          <w:color w:val="auto"/>
          <w:kern w:val="0"/>
          <w:sz w:val="28"/>
          <w:szCs w:val="28"/>
          <w:highlight w:val="none"/>
        </w:rPr>
        <w:t>仓储区域平面布置情况：</w:t>
      </w:r>
      <w:r>
        <w:rPr>
          <w:rFonts w:hint="eastAsia" w:ascii="宋体" w:hAnsi="宋体"/>
          <w:color w:val="auto"/>
          <w:kern w:val="0"/>
          <w:sz w:val="28"/>
          <w:szCs w:val="28"/>
          <w:highlight w:val="none"/>
          <w:u w:val="single"/>
        </w:rPr>
        <w:t xml:space="preserve">                                  </w:t>
      </w:r>
    </w:p>
    <w:p w14:paraId="71DC1ECF">
      <w:pPr>
        <w:autoSpaceDE w:val="0"/>
        <w:autoSpaceDN w:val="0"/>
        <w:adjustRightInd w:val="0"/>
        <w:spacing w:line="360" w:lineRule="auto"/>
        <w:rPr>
          <w:rFonts w:ascii="宋体" w:hAnsi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kern w:val="0"/>
          <w:sz w:val="28"/>
          <w:szCs w:val="28"/>
          <w:highlight w:val="none"/>
          <w:u w:val="single"/>
        </w:rPr>
        <w:t xml:space="preserve">                                                           </w:t>
      </w:r>
    </w:p>
    <w:p w14:paraId="28E8BD45">
      <w:pPr>
        <w:autoSpaceDE w:val="0"/>
        <w:autoSpaceDN w:val="0"/>
        <w:adjustRightInd w:val="0"/>
        <w:spacing w:line="360" w:lineRule="auto"/>
        <w:rPr>
          <w:rFonts w:ascii="宋体" w:hAnsi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kern w:val="0"/>
          <w:sz w:val="28"/>
          <w:szCs w:val="28"/>
          <w:highlight w:val="none"/>
          <w:u w:val="single"/>
        </w:rPr>
        <w:t xml:space="preserve">                                                            </w:t>
      </w:r>
    </w:p>
    <w:p w14:paraId="17C72BC8">
      <w:pPr>
        <w:autoSpaceDE w:val="0"/>
        <w:autoSpaceDN w:val="0"/>
        <w:adjustRightInd w:val="0"/>
        <w:spacing w:line="360" w:lineRule="auto"/>
        <w:rPr>
          <w:rFonts w:ascii="宋体" w:hAnsi="宋体"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kern w:val="0"/>
          <w:sz w:val="28"/>
          <w:szCs w:val="28"/>
          <w:highlight w:val="none"/>
          <w:u w:val="single"/>
        </w:rPr>
        <w:t xml:space="preserve">                                                            </w:t>
      </w:r>
    </w:p>
    <w:p w14:paraId="3F4E0C94">
      <w:pPr>
        <w:autoSpaceDE w:val="0"/>
        <w:autoSpaceDN w:val="0"/>
        <w:adjustRightInd w:val="0"/>
        <w:spacing w:line="360" w:lineRule="auto"/>
        <w:rPr>
          <w:rFonts w:ascii="宋体" w:hAnsi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kern w:val="0"/>
          <w:sz w:val="28"/>
          <w:szCs w:val="28"/>
          <w:highlight w:val="none"/>
          <w:u w:val="single"/>
        </w:rPr>
        <w:t xml:space="preserve">                                                            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5F7F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1" w:hRule="atLeast"/>
        </w:trPr>
        <w:tc>
          <w:tcPr>
            <w:tcW w:w="5000" w:type="pct"/>
            <w:noWrap w:val="0"/>
            <w:vAlign w:val="top"/>
          </w:tcPr>
          <w:p w14:paraId="4A9BC5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仓储区域平面布置草图</w:t>
            </w:r>
          </w:p>
        </w:tc>
      </w:tr>
    </w:tbl>
    <w:p w14:paraId="0E8927A9">
      <w:bookmarkStart w:id="32" w:name="_GoBack"/>
      <w:bookmarkEnd w:id="3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japaneseCounting"/>
      <w:lvlText w:val="%1、"/>
      <w:lvlJc w:val="left"/>
      <w:pPr>
        <w:tabs>
          <w:tab w:val="left" w:pos="1438"/>
        </w:tabs>
        <w:ind w:left="1438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558"/>
        </w:tabs>
        <w:ind w:left="155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78"/>
        </w:tabs>
        <w:ind w:left="1978" w:hanging="420"/>
      </w:pPr>
    </w:lvl>
    <w:lvl w:ilvl="3" w:tentative="0">
      <w:start w:val="1"/>
      <w:numFmt w:val="decimal"/>
      <w:lvlText w:val="%4."/>
      <w:lvlJc w:val="left"/>
      <w:pPr>
        <w:tabs>
          <w:tab w:val="left" w:pos="2398"/>
        </w:tabs>
        <w:ind w:left="239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818"/>
        </w:tabs>
        <w:ind w:left="281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238"/>
        </w:tabs>
        <w:ind w:left="3238" w:hanging="420"/>
      </w:pPr>
    </w:lvl>
    <w:lvl w:ilvl="6" w:tentative="0">
      <w:start w:val="1"/>
      <w:numFmt w:val="decimal"/>
      <w:lvlText w:val="%7."/>
      <w:lvlJc w:val="left"/>
      <w:pPr>
        <w:tabs>
          <w:tab w:val="left" w:pos="3658"/>
        </w:tabs>
        <w:ind w:left="365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78"/>
        </w:tabs>
        <w:ind w:left="407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98"/>
        </w:tabs>
        <w:ind w:left="4498" w:hanging="420"/>
      </w:pPr>
    </w:lvl>
  </w:abstractNum>
  <w:abstractNum w:abstractNumId="1">
    <w:nsid w:val="361F9C30"/>
    <w:multiLevelType w:val="multilevel"/>
    <w:tmpl w:val="361F9C30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  <w:sz w:val="20"/>
        <w:szCs w:val="20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1Y2JkYzQwOTU2OTFiNDAwMzIyNzk2NzNkMDI1MjAifQ=="/>
  </w:docVars>
  <w:rsids>
    <w:rsidRoot w:val="05E568EB"/>
    <w:rsid w:val="003D7CBB"/>
    <w:rsid w:val="014359D0"/>
    <w:rsid w:val="055921A8"/>
    <w:rsid w:val="056E0558"/>
    <w:rsid w:val="05E568EB"/>
    <w:rsid w:val="06B04020"/>
    <w:rsid w:val="07700B15"/>
    <w:rsid w:val="08F752BE"/>
    <w:rsid w:val="09DB78F5"/>
    <w:rsid w:val="0A6D17F1"/>
    <w:rsid w:val="0B696708"/>
    <w:rsid w:val="0C2920BD"/>
    <w:rsid w:val="0C9D1A8A"/>
    <w:rsid w:val="0CBA72A2"/>
    <w:rsid w:val="0D5869D3"/>
    <w:rsid w:val="0DC768CF"/>
    <w:rsid w:val="0F4A4767"/>
    <w:rsid w:val="0FBD49BA"/>
    <w:rsid w:val="1117715B"/>
    <w:rsid w:val="122A3390"/>
    <w:rsid w:val="12F47674"/>
    <w:rsid w:val="12FB51DB"/>
    <w:rsid w:val="16056255"/>
    <w:rsid w:val="16820483"/>
    <w:rsid w:val="16A2332E"/>
    <w:rsid w:val="17286643"/>
    <w:rsid w:val="17C04C67"/>
    <w:rsid w:val="1AE97C77"/>
    <w:rsid w:val="1BB435B3"/>
    <w:rsid w:val="1BD9704B"/>
    <w:rsid w:val="20501E36"/>
    <w:rsid w:val="21153DC5"/>
    <w:rsid w:val="23255A39"/>
    <w:rsid w:val="241C7962"/>
    <w:rsid w:val="24436A23"/>
    <w:rsid w:val="25CA2906"/>
    <w:rsid w:val="27F56137"/>
    <w:rsid w:val="2A310BBE"/>
    <w:rsid w:val="2A9D2E3B"/>
    <w:rsid w:val="2BEC6259"/>
    <w:rsid w:val="2CA0448A"/>
    <w:rsid w:val="2DAA6BF6"/>
    <w:rsid w:val="2E787516"/>
    <w:rsid w:val="2F0E7FC2"/>
    <w:rsid w:val="30C52FDC"/>
    <w:rsid w:val="31E167A3"/>
    <w:rsid w:val="32D72CC9"/>
    <w:rsid w:val="34847DE1"/>
    <w:rsid w:val="34E55B43"/>
    <w:rsid w:val="38A33996"/>
    <w:rsid w:val="39F25DC0"/>
    <w:rsid w:val="3EF93488"/>
    <w:rsid w:val="3FB670CD"/>
    <w:rsid w:val="3FFD74CE"/>
    <w:rsid w:val="425B34CD"/>
    <w:rsid w:val="44CF2576"/>
    <w:rsid w:val="45ED2898"/>
    <w:rsid w:val="465A331F"/>
    <w:rsid w:val="47B84BE4"/>
    <w:rsid w:val="485F744D"/>
    <w:rsid w:val="48EA1863"/>
    <w:rsid w:val="48F92149"/>
    <w:rsid w:val="49B8032B"/>
    <w:rsid w:val="4B7F73E0"/>
    <w:rsid w:val="4B9767DE"/>
    <w:rsid w:val="4ED15834"/>
    <w:rsid w:val="4EE679B3"/>
    <w:rsid w:val="4F737FDA"/>
    <w:rsid w:val="4FA84F80"/>
    <w:rsid w:val="4FDD6FD3"/>
    <w:rsid w:val="501F77B8"/>
    <w:rsid w:val="530A5F9C"/>
    <w:rsid w:val="53C66AC7"/>
    <w:rsid w:val="53FD1738"/>
    <w:rsid w:val="55706A5D"/>
    <w:rsid w:val="567B2014"/>
    <w:rsid w:val="56B62190"/>
    <w:rsid w:val="57E31A57"/>
    <w:rsid w:val="59C20335"/>
    <w:rsid w:val="5BF82781"/>
    <w:rsid w:val="5C084231"/>
    <w:rsid w:val="5C4D583F"/>
    <w:rsid w:val="5D8B5D7A"/>
    <w:rsid w:val="5DF106FD"/>
    <w:rsid w:val="5F820AF5"/>
    <w:rsid w:val="5FCE0484"/>
    <w:rsid w:val="605D1A2A"/>
    <w:rsid w:val="60FB5EA4"/>
    <w:rsid w:val="61FD17D3"/>
    <w:rsid w:val="65B12427"/>
    <w:rsid w:val="66A72826"/>
    <w:rsid w:val="678426FC"/>
    <w:rsid w:val="68AB26E8"/>
    <w:rsid w:val="6BF9283F"/>
    <w:rsid w:val="6C831645"/>
    <w:rsid w:val="6E5E49FE"/>
    <w:rsid w:val="711C6491"/>
    <w:rsid w:val="728730E5"/>
    <w:rsid w:val="74CB75FE"/>
    <w:rsid w:val="74F8600D"/>
    <w:rsid w:val="7509188F"/>
    <w:rsid w:val="759D1028"/>
    <w:rsid w:val="75B44954"/>
    <w:rsid w:val="76655FD9"/>
    <w:rsid w:val="7A242B0F"/>
    <w:rsid w:val="7A3F2D58"/>
    <w:rsid w:val="7A5F0B9A"/>
    <w:rsid w:val="7B6A4196"/>
    <w:rsid w:val="7B7C18C0"/>
    <w:rsid w:val="7C3601CE"/>
    <w:rsid w:val="7CFF1186"/>
    <w:rsid w:val="7D3B70ED"/>
    <w:rsid w:val="7D8E2708"/>
    <w:rsid w:val="7DF8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0"/>
    <w:pPr>
      <w:keepNext/>
      <w:keepLines/>
      <w:numPr>
        <w:ilvl w:val="0"/>
        <w:numId w:val="1"/>
      </w:numPr>
      <w:tabs>
        <w:tab w:val="left" w:pos="420"/>
      </w:tabs>
      <w:snapToGrid w:val="0"/>
      <w:spacing w:before="100" w:beforeLines="100" w:after="100" w:afterLines="100" w:line="240" w:lineRule="auto"/>
      <w:ind w:left="432" w:hanging="432" w:firstLineChars="0"/>
      <w:jc w:val="center"/>
      <w:outlineLvl w:val="0"/>
    </w:pPr>
    <w:rPr>
      <w:rFonts w:eastAsia="宋体" w:cs="Times New Roman"/>
      <w:b/>
      <w:kern w:val="44"/>
      <w:sz w:val="36"/>
    </w:rPr>
  </w:style>
  <w:style w:type="paragraph" w:styleId="3">
    <w:name w:val="heading 2"/>
    <w:basedOn w:val="1"/>
    <w:next w:val="1"/>
    <w:link w:val="33"/>
    <w:autoRedefine/>
    <w:semiHidden/>
    <w:unhideWhenUsed/>
    <w:qFormat/>
    <w:uiPriority w:val="0"/>
    <w:pPr>
      <w:keepNext/>
      <w:keepLines/>
      <w:tabs>
        <w:tab w:val="left" w:pos="420"/>
      </w:tabs>
      <w:adjustRightInd w:val="0"/>
      <w:snapToGrid w:val="0"/>
      <w:spacing w:before="50" w:beforeLines="50" w:after="50" w:afterLines="50" w:line="240" w:lineRule="auto"/>
      <w:ind w:left="573" w:hanging="573"/>
      <w:outlineLvl w:val="1"/>
    </w:pPr>
    <w:rPr>
      <w:rFonts w:asciiTheme="minorAscii" w:hAnsiTheme="minorAscii" w:eastAsiaTheme="minorEastAsia"/>
      <w:sz w:val="32"/>
      <w:szCs w:val="32"/>
    </w:rPr>
  </w:style>
  <w:style w:type="paragraph" w:styleId="4">
    <w:name w:val="heading 3"/>
    <w:basedOn w:val="1"/>
    <w:next w:val="1"/>
    <w:link w:val="30"/>
    <w:autoRedefine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2101"/>
      </w:tabs>
      <w:spacing w:before="50" w:beforeLines="50" w:after="50" w:afterLines="50"/>
      <w:ind w:left="720" w:hanging="720" w:firstLineChars="0"/>
      <w:jc w:val="left"/>
      <w:outlineLvl w:val="2"/>
    </w:pPr>
    <w:rPr>
      <w:rFonts w:ascii="Times New Roman" w:hAnsi="Times New Roman" w:eastAsia="黑体" w:cs="Times New Roman"/>
      <w:b/>
      <w:bCs/>
      <w:sz w:val="28"/>
      <w:szCs w:val="32"/>
    </w:rPr>
  </w:style>
  <w:style w:type="paragraph" w:styleId="5">
    <w:name w:val="heading 4"/>
    <w:basedOn w:val="1"/>
    <w:next w:val="1"/>
    <w:link w:val="29"/>
    <w:autoRedefine/>
    <w:semiHidden/>
    <w:unhideWhenUsed/>
    <w:qFormat/>
    <w:uiPriority w:val="0"/>
    <w:pPr>
      <w:keepNext/>
      <w:keepLines/>
      <w:numPr>
        <w:ilvl w:val="3"/>
        <w:numId w:val="1"/>
      </w:numPr>
      <w:adjustRightInd w:val="0"/>
      <w:snapToGrid w:val="0"/>
      <w:spacing w:line="500" w:lineRule="exact"/>
      <w:ind w:left="864" w:hanging="864" w:firstLineChars="0"/>
      <w:jc w:val="left"/>
      <w:outlineLvl w:val="3"/>
    </w:pPr>
    <w:rPr>
      <w:rFonts w:ascii="Cambria" w:hAnsi="Cambria"/>
      <w:b/>
      <w:bCs/>
      <w:szCs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420"/>
      </w:tabs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25">
    <w:name w:val="Default Paragraph Font"/>
    <w:autoRedefine/>
    <w:semiHidden/>
    <w:unhideWhenUsed/>
    <w:qFormat/>
    <w:uiPriority w:val="1"/>
  </w:style>
  <w:style w:type="table" w:default="1" w:styleId="2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widowControl w:val="0"/>
      <w:spacing w:line="500" w:lineRule="exact"/>
      <w:ind w:firstLine="420"/>
      <w:jc w:val="left"/>
    </w:pPr>
    <w:rPr>
      <w:rFonts w:ascii="Times New Roman" w:hAnsi="Times New Roman" w:eastAsia="宋体" w:cs="Times New Roman"/>
      <w:sz w:val="28"/>
      <w:szCs w:val="21"/>
    </w:rPr>
  </w:style>
  <w:style w:type="paragraph" w:styleId="12">
    <w:name w:val="caption"/>
    <w:basedOn w:val="1"/>
    <w:next w:val="1"/>
    <w:autoRedefine/>
    <w:semiHidden/>
    <w:unhideWhenUsed/>
    <w:qFormat/>
    <w:uiPriority w:val="0"/>
    <w:pPr>
      <w:spacing w:before="50" w:beforeLines="50" w:after="50" w:afterLines="50" w:line="240" w:lineRule="auto"/>
      <w:ind w:firstLine="0" w:firstLineChars="0"/>
      <w:jc w:val="center"/>
    </w:pPr>
    <w:rPr>
      <w:b/>
      <w:sz w:val="24"/>
    </w:rPr>
  </w:style>
  <w:style w:type="paragraph" w:styleId="13">
    <w:name w:val="Body Text"/>
    <w:basedOn w:val="1"/>
    <w:autoRedefine/>
    <w:qFormat/>
    <w:uiPriority w:val="0"/>
    <w:pPr>
      <w:widowControl/>
      <w:snapToGrid w:val="0"/>
      <w:spacing w:before="0" w:after="0" w:line="500" w:lineRule="exact"/>
      <w:ind w:right="0"/>
    </w:pPr>
    <w:rPr>
      <w:rFonts w:ascii="Times New Roman" w:hAnsi="Times New Roman" w:cs="Times New Roman"/>
      <w:kern w:val="0"/>
      <w:sz w:val="28"/>
      <w:szCs w:val="20"/>
    </w:rPr>
  </w:style>
  <w:style w:type="paragraph" w:styleId="14">
    <w:name w:val="Body Text Indent"/>
    <w:basedOn w:val="1"/>
    <w:next w:val="15"/>
    <w:autoRedefine/>
    <w:qFormat/>
    <w:uiPriority w:val="0"/>
    <w:pPr>
      <w:spacing w:after="120" w:afterLines="0" w:afterAutospacing="0"/>
      <w:ind w:left="420" w:leftChars="200"/>
    </w:pPr>
  </w:style>
  <w:style w:type="paragraph" w:styleId="15">
    <w:name w:val="toc 4"/>
    <w:basedOn w:val="1"/>
    <w:next w:val="1"/>
    <w:autoRedefine/>
    <w:qFormat/>
    <w:uiPriority w:val="0"/>
    <w:pPr>
      <w:spacing w:line="400" w:lineRule="exact"/>
      <w:ind w:left="0" w:leftChars="0" w:firstLine="0" w:firstLineChars="0"/>
    </w:pPr>
    <w:rPr>
      <w:rFonts w:ascii="Times New Roman" w:hAnsi="Times New Roman" w:eastAsia="宋体" w:cs="Times New Roman"/>
      <w:sz w:val="24"/>
    </w:rPr>
  </w:style>
  <w:style w:type="paragraph" w:styleId="16">
    <w:name w:val="toc 3"/>
    <w:basedOn w:val="1"/>
    <w:next w:val="1"/>
    <w:autoRedefine/>
    <w:qFormat/>
    <w:uiPriority w:val="0"/>
    <w:pPr>
      <w:ind w:left="840" w:leftChars="400"/>
    </w:pPr>
    <w:rPr>
      <w:rFonts w:ascii="宋体" w:hAnsi="宋体" w:cs="宋体"/>
      <w:szCs w:val="28"/>
    </w:rPr>
  </w:style>
  <w:style w:type="paragraph" w:styleId="17">
    <w:name w:val="Plain Text"/>
    <w:basedOn w:val="1"/>
    <w:next w:val="1"/>
    <w:link w:val="32"/>
    <w:autoRedefine/>
    <w:qFormat/>
    <w:uiPriority w:val="0"/>
    <w:pPr>
      <w:spacing w:line="500" w:lineRule="exact"/>
      <w:ind w:firstLine="1044" w:firstLineChars="200"/>
      <w:jc w:val="left"/>
    </w:pPr>
    <w:rPr>
      <w:rFonts w:ascii="宋体" w:hAnsi="宋体" w:eastAsia="宋体" w:cs="Times New Roman"/>
      <w:sz w:val="28"/>
      <w:szCs w:val="20"/>
    </w:rPr>
  </w:style>
  <w:style w:type="paragraph" w:styleId="18">
    <w:name w:val="Body Text Indent 2"/>
    <w:basedOn w:val="1"/>
    <w:next w:val="19"/>
    <w:autoRedefine/>
    <w:qFormat/>
    <w:uiPriority w:val="0"/>
    <w:pPr>
      <w:spacing w:line="500" w:lineRule="exact"/>
      <w:ind w:firstLine="480"/>
    </w:pPr>
    <w:rPr>
      <w:rFonts w:ascii="宋体" w:hAnsi="宋体" w:eastAsia="宋体" w:cs="宋体"/>
    </w:rPr>
  </w:style>
  <w:style w:type="paragraph" w:styleId="19">
    <w:name w:val="Body Text First Indent"/>
    <w:basedOn w:val="13"/>
    <w:next w:val="1"/>
    <w:autoRedefine/>
    <w:qFormat/>
    <w:uiPriority w:val="0"/>
    <w:pPr>
      <w:ind w:firstLine="723" w:firstLineChars="200"/>
    </w:pPr>
    <w:rPr>
      <w:rFonts w:ascii="Times New Roman" w:hAnsi="Times New Roman" w:eastAsia="宋体" w:cs="Times New Roman"/>
    </w:rPr>
  </w:style>
  <w:style w:type="paragraph" w:styleId="2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right="210" w:rightChars="100"/>
      <w:jc w:val="right"/>
    </w:pPr>
    <w:rPr>
      <w:sz w:val="18"/>
      <w:szCs w:val="18"/>
    </w:rPr>
  </w:style>
  <w:style w:type="paragraph" w:styleId="21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22">
    <w:name w:val="Body Text First Indent 2"/>
    <w:basedOn w:val="14"/>
    <w:next w:val="19"/>
    <w:autoRedefine/>
    <w:qFormat/>
    <w:uiPriority w:val="0"/>
    <w:pPr>
      <w:ind w:left="0" w:leftChars="0" w:firstLine="420" w:firstLineChars="200"/>
    </w:pPr>
    <w:rPr>
      <w:rFonts w:ascii="宋体" w:hAnsi="宋体" w:eastAsia="宋体" w:cs="宋体"/>
    </w:rPr>
  </w:style>
  <w:style w:type="table" w:styleId="24">
    <w:name w:val="Table Grid"/>
    <w:basedOn w:val="2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qFormat/>
    <w:uiPriority w:val="0"/>
    <w:rPr>
      <w:rFonts w:ascii="Times New Roman" w:hAnsi="Times New Roman" w:eastAsia="宋体"/>
      <w:sz w:val="18"/>
    </w:rPr>
  </w:style>
  <w:style w:type="character" w:customStyle="1" w:styleId="27">
    <w:name w:val="标题 1 字符"/>
    <w:basedOn w:val="25"/>
    <w:link w:val="2"/>
    <w:autoRedefine/>
    <w:qFormat/>
    <w:uiPriority w:val="9"/>
    <w:rPr>
      <w:rFonts w:ascii="宋体" w:hAnsi="宋体" w:eastAsia="宋体" w:cs="Times New Roman"/>
      <w:b/>
      <w:kern w:val="44"/>
      <w:sz w:val="36"/>
      <w:szCs w:val="28"/>
    </w:rPr>
  </w:style>
  <w:style w:type="character" w:customStyle="1" w:styleId="28">
    <w:name w:val="标题 2 字符"/>
    <w:link w:val="3"/>
    <w:autoRedefine/>
    <w:qFormat/>
    <w:uiPriority w:val="0"/>
    <w:rPr>
      <w:rFonts w:ascii="Arial" w:hAnsi="Arial" w:eastAsia="宋体" w:cs="Times New Roman"/>
      <w:b/>
      <w:kern w:val="2"/>
      <w:sz w:val="32"/>
      <w:szCs w:val="32"/>
    </w:rPr>
  </w:style>
  <w:style w:type="character" w:customStyle="1" w:styleId="29">
    <w:name w:val="标题 4 字符"/>
    <w:basedOn w:val="25"/>
    <w:link w:val="5"/>
    <w:autoRedefine/>
    <w:semiHidden/>
    <w:qFormat/>
    <w:uiPriority w:val="9"/>
    <w:rPr>
      <w:rFonts w:ascii="宋体" w:hAnsi="宋体" w:eastAsia="宋体" w:cs="宋体"/>
      <w:b/>
      <w:kern w:val="2"/>
      <w:sz w:val="28"/>
      <w:szCs w:val="28"/>
    </w:rPr>
  </w:style>
  <w:style w:type="character" w:customStyle="1" w:styleId="30">
    <w:name w:val="标题 3 字符"/>
    <w:link w:val="4"/>
    <w:autoRedefine/>
    <w:qFormat/>
    <w:uiPriority w:val="0"/>
    <w:rPr>
      <w:rFonts w:ascii="Times New Roman" w:hAnsi="Times New Roman" w:eastAsia="宋体" w:cs="Times New Roman"/>
      <w:b/>
      <w:bCs/>
      <w:sz w:val="30"/>
      <w:szCs w:val="28"/>
    </w:rPr>
  </w:style>
  <w:style w:type="paragraph" w:customStyle="1" w:styleId="31">
    <w:name w:val="首行缩进"/>
    <w:basedOn w:val="1"/>
    <w:autoRedefine/>
    <w:qFormat/>
    <w:uiPriority w:val="0"/>
    <w:pPr>
      <w:snapToGrid w:val="0"/>
      <w:spacing w:line="500" w:lineRule="exact"/>
      <w:ind w:firstLine="482"/>
    </w:pPr>
    <w:rPr>
      <w:rFonts w:ascii="宋体" w:hAnsi="宋体" w:cs="宋体"/>
    </w:rPr>
  </w:style>
  <w:style w:type="character" w:customStyle="1" w:styleId="32">
    <w:name w:val="纯文本 Char"/>
    <w:basedOn w:val="25"/>
    <w:link w:val="17"/>
    <w:autoRedefine/>
    <w:qFormat/>
    <w:uiPriority w:val="0"/>
    <w:rPr>
      <w:rFonts w:ascii="宋体" w:hAnsi="宋体" w:eastAsia="宋体" w:cs="Times New Roman"/>
      <w:sz w:val="28"/>
      <w:szCs w:val="20"/>
    </w:rPr>
  </w:style>
  <w:style w:type="character" w:customStyle="1" w:styleId="33">
    <w:name w:val="标题 2 Char"/>
    <w:link w:val="3"/>
    <w:autoRedefine/>
    <w:qFormat/>
    <w:uiPriority w:val="0"/>
    <w:rPr>
      <w:rFonts w:ascii="Arial" w:hAnsi="Arial" w:eastAsia="黑体" w:cs="Times New Roman"/>
      <w:b/>
      <w:kern w:val="2"/>
      <w:sz w:val="32"/>
      <w:szCs w:val="22"/>
      <w:lang w:val="en-US" w:eastAsia="zh-CN" w:bidi="ar-SA"/>
    </w:rPr>
  </w:style>
  <w:style w:type="paragraph" w:customStyle="1" w:styleId="34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2732</Words>
  <Characters>2905</Characters>
  <Lines>0</Lines>
  <Paragraphs>0</Paragraphs>
  <TotalTime>0</TotalTime>
  <ScaleCrop>false</ScaleCrop>
  <LinksUpToDate>false</LinksUpToDate>
  <CharactersWithSpaces>4278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2022-12-05T08:53:00Z</dcterms:created>
  <dc:creator>罗龘</dc:creator>
  <cp:lastModifiedBy>罗永云</cp:lastModifiedBy>
  <dcterms:modified xsi:type="dcterms:W3CDTF">2026-06-24T08:17:42Z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AA82D9D2DE4849219C8B80EAF5F9D222_13</vt:lpwstr>
  </property>
  <property fmtid="{D5CDD505-2E9C-101B-9397-08002B2CF9AE}" pid="4" name="KSOTemplateDocerSaveRecord">
    <vt:lpwstr>eyJoZGlkIjoiNTA1Y2JkYzQwOTU2OTFiNDAwMzIyNzk2NzNkMDI1MjAiLCJ1c2VySWQiOiIyMDcyMjkzIn0=</vt:lpwstr>
  </property>
</Properties>
</file>