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9F6696">
      <w:pPr>
        <w:keepNext w:val="0"/>
        <w:pageBreakBefore/>
        <w:numPr>
          <w:ilvl w:val="0"/>
          <w:numId w:val="0"/>
        </w:numPr>
        <w:tabs>
          <w:tab w:val="left" w:pos="0"/>
          <w:tab w:val="left" w:pos="2289"/>
          <w:tab w:val="center" w:pos="4511"/>
        </w:tabs>
        <w:spacing w:before="0" w:after="120" w:line="240" w:lineRule="auto"/>
        <w:ind w:left="0" w:leftChars="0" w:right="0" w:rightChars="0" w:firstLine="0" w:firstLineChars="0"/>
        <w:jc w:val="center"/>
        <w:outlineLvl w:val="0"/>
        <w:rPr>
          <w:rFonts w:ascii="宋体" w:hAnsi="宋体"/>
          <w:bCs w:val="0"/>
          <w:color w:val="auto"/>
          <w:sz w:val="36"/>
          <w:szCs w:val="36"/>
        </w:rPr>
      </w:pPr>
      <w:bookmarkStart w:id="0" w:name="_Toc17697"/>
      <w:r>
        <w:rPr>
          <w:rFonts w:ascii="宋体" w:hAnsi="宋体"/>
          <w:bCs w:val="0"/>
          <w:color w:val="auto"/>
          <w:sz w:val="36"/>
          <w:szCs w:val="36"/>
        </w:rPr>
        <w:t>前  言</w:t>
      </w:r>
      <w:bookmarkEnd w:id="0"/>
    </w:p>
    <w:p w14:paraId="541DD54E">
      <w:pPr>
        <w:bidi w:val="0"/>
      </w:pPr>
      <w:r>
        <w:rPr>
          <w:rFonts w:hint="eastAsia" w:ascii="宋体" w:hAnsi="宋体" w:eastAsia="宋体" w:cs="宋体"/>
          <w:color w:val="000000" w:themeColor="text1"/>
          <w:sz w:val="28"/>
          <w:szCs w:val="28"/>
          <w14:textFill>
            <w14:solidFill>
              <w14:schemeClr w14:val="tx1"/>
            </w14:solidFill>
          </w14:textFill>
        </w:rPr>
        <w:t>随着我国法制化的日趋健全和完善，安全生产监督管理体系逐步向科学化、规范化、制度化发展。安全评价已成为建设项目和生产经营单位指导安全生产必不可少的技术手段。为企业提供安全科学依据，为应急管理部门提供技术支持，已成为安全生产管理体系中的一个重要环节。</w:t>
      </w:r>
    </w:p>
    <w:p w14:paraId="7A56D68F">
      <w:pPr>
        <w:bidi w:val="0"/>
      </w:pPr>
      <w:r>
        <w:rPr>
          <w:rFonts w:hint="eastAsia" w:ascii="Times New Roman" w:hAnsi="Times New Roman" w:eastAsia="宋体" w:cs="Times New Roman"/>
          <w:lang w:val="en-US" w:eastAsia="zh-CN"/>
        </w:rPr>
        <w:t>元谋中鼎砂石有限公司</w:t>
      </w:r>
      <w:r>
        <w:rPr>
          <w:rFonts w:hint="eastAsia" w:ascii="Times New Roman" w:hAnsi="Times New Roman" w:eastAsia="宋体" w:cs="Times New Roman"/>
          <w:lang w:eastAsia="zh-CN"/>
        </w:rPr>
        <w:t>大物茂砂厂位于元谋县城337°方向，平距约</w:t>
      </w:r>
      <w:r>
        <w:rPr>
          <w:rFonts w:hint="eastAsia"/>
          <w:lang w:eastAsia="zh-CN"/>
        </w:rPr>
        <w:t>29km处，隶属元谋县物茂乡大物茂村所辖。矿区地理坐标东经101°47</w:t>
      </w:r>
      <w:r>
        <w:rPr>
          <w:rFonts w:hint="eastAsia"/>
          <w:lang w:val="en-US" w:eastAsia="zh-CN"/>
        </w:rPr>
        <w:t>′</w:t>
      </w:r>
      <w:r>
        <w:rPr>
          <w:rFonts w:hint="eastAsia"/>
          <w:lang w:eastAsia="zh-CN"/>
        </w:rPr>
        <w:t>21</w:t>
      </w:r>
      <w:r>
        <w:rPr>
          <w:rFonts w:hint="eastAsia"/>
          <w:lang w:val="en-US" w:eastAsia="zh-CN"/>
        </w:rPr>
        <w:t>″</w:t>
      </w:r>
      <w:r>
        <w:rPr>
          <w:rFonts w:hint="eastAsia"/>
          <w:lang w:eastAsia="zh-CN"/>
        </w:rPr>
        <w:t>～101°47</w:t>
      </w:r>
      <w:r>
        <w:rPr>
          <w:rFonts w:hint="eastAsia"/>
          <w:lang w:val="en-US" w:eastAsia="zh-CN"/>
        </w:rPr>
        <w:t>′</w:t>
      </w:r>
      <w:r>
        <w:rPr>
          <w:rFonts w:hint="eastAsia"/>
          <w:lang w:eastAsia="zh-CN"/>
        </w:rPr>
        <w:t>32</w:t>
      </w:r>
      <w:r>
        <w:rPr>
          <w:rFonts w:hint="eastAsia"/>
          <w:lang w:val="en-US" w:eastAsia="zh-CN"/>
        </w:rPr>
        <w:t>″</w:t>
      </w:r>
      <w:r>
        <w:rPr>
          <w:rFonts w:hint="eastAsia"/>
          <w:lang w:eastAsia="zh-CN"/>
        </w:rPr>
        <w:t>，北纬25°52</w:t>
      </w:r>
      <w:r>
        <w:rPr>
          <w:rFonts w:hint="eastAsia"/>
          <w:lang w:val="en-US" w:eastAsia="zh-CN"/>
        </w:rPr>
        <w:t>′</w:t>
      </w:r>
      <w:r>
        <w:rPr>
          <w:rFonts w:hint="eastAsia"/>
          <w:lang w:eastAsia="zh-CN"/>
        </w:rPr>
        <w:t>56</w:t>
      </w:r>
      <w:r>
        <w:rPr>
          <w:rFonts w:hint="eastAsia"/>
          <w:lang w:val="en-US" w:eastAsia="zh-CN"/>
        </w:rPr>
        <w:t>″</w:t>
      </w:r>
      <w:r>
        <w:rPr>
          <w:rFonts w:hint="eastAsia"/>
          <w:lang w:eastAsia="zh-CN"/>
        </w:rPr>
        <w:t>～25°53</w:t>
      </w:r>
      <w:r>
        <w:rPr>
          <w:rFonts w:hint="eastAsia"/>
          <w:lang w:val="en-US" w:eastAsia="zh-CN"/>
        </w:rPr>
        <w:t>′</w:t>
      </w:r>
      <w:r>
        <w:rPr>
          <w:rFonts w:hint="eastAsia"/>
          <w:lang w:eastAsia="zh-CN"/>
        </w:rPr>
        <w:t>07</w:t>
      </w:r>
      <w:r>
        <w:rPr>
          <w:rFonts w:hint="eastAsia"/>
          <w:lang w:val="en-US" w:eastAsia="zh-CN"/>
        </w:rPr>
        <w:t>″</w:t>
      </w:r>
      <w:r>
        <w:rPr>
          <w:rFonts w:hint="eastAsia"/>
          <w:lang w:eastAsia="zh-CN"/>
        </w:rPr>
        <w:t>，矿区面积0</w:t>
      </w:r>
      <w:r>
        <w:rPr>
          <w:rFonts w:hint="eastAsia"/>
          <w:lang w:val="en-US" w:eastAsia="zh-CN"/>
        </w:rPr>
        <w:t>.</w:t>
      </w:r>
      <w:r>
        <w:rPr>
          <w:rFonts w:hint="eastAsia"/>
          <w:lang w:eastAsia="zh-CN"/>
        </w:rPr>
        <w:t>0532k㎡。</w:t>
      </w:r>
    </w:p>
    <w:p w14:paraId="591EDDE0">
      <w:pPr>
        <w:bidi w:val="0"/>
        <w:rPr>
          <w:rFonts w:hint="eastAsia" w:ascii="宋体" w:hAnsi="宋体" w:cs="宋体"/>
          <w:b/>
          <w:bCs/>
          <w:color w:val="0000FF"/>
          <w:lang w:val="en-US" w:eastAsia="zh-CN"/>
        </w:rPr>
      </w:pPr>
      <w:r>
        <w:rPr>
          <w:rFonts w:hint="eastAsia" w:ascii="宋体" w:hAnsi="宋体" w:eastAsia="宋体" w:cs="宋体"/>
          <w:lang w:eastAsia="zh-CN"/>
        </w:rPr>
        <w:t>元谋中鼎砂石有限公司</w:t>
      </w:r>
      <w:r>
        <w:rPr>
          <w:rFonts w:hint="eastAsia" w:ascii="宋体" w:hAnsi="宋体" w:eastAsia="宋体" w:cs="宋体"/>
          <w:lang w:val="en-US" w:eastAsia="zh-CN"/>
        </w:rPr>
        <w:t>于2022年8月26日</w:t>
      </w:r>
      <w:r>
        <w:rPr>
          <w:rFonts w:hint="eastAsia" w:ascii="宋体" w:hAnsi="宋体" w:eastAsia="宋体" w:cs="宋体"/>
          <w:lang w:eastAsia="zh-CN"/>
        </w:rPr>
        <w:t>办理了营业执照，统一社</w:t>
      </w:r>
      <w:r>
        <w:rPr>
          <w:rFonts w:hint="eastAsia" w:ascii="宋体" w:hAnsi="宋体" w:eastAsia="宋体" w:cs="宋体"/>
        </w:rPr>
        <w:t>会信用代码</w:t>
      </w:r>
      <w:r>
        <w:rPr>
          <w:rFonts w:hint="eastAsia" w:ascii="宋体" w:hAnsi="宋体" w:eastAsia="宋体" w:cs="宋体"/>
          <w:lang w:val="en-US" w:eastAsia="zh-CN"/>
        </w:rPr>
        <w:t>为</w:t>
      </w:r>
      <w:r>
        <w:rPr>
          <w:rFonts w:hint="eastAsia" w:ascii="宋体" w:hAnsi="宋体" w:cs="宋体"/>
          <w:lang w:eastAsia="zh-CN"/>
        </w:rPr>
        <w:t>915323280913249072，</w:t>
      </w:r>
      <w:r>
        <w:rPr>
          <w:rFonts w:hint="eastAsia" w:ascii="宋体" w:hAnsi="宋体" w:eastAsia="宋体" w:cs="宋体"/>
          <w:lang w:eastAsia="zh-CN"/>
        </w:rPr>
        <w:t>企业法定代表人：</w:t>
      </w:r>
      <w:r>
        <w:rPr>
          <w:rFonts w:hint="eastAsia" w:ascii="宋体" w:hAnsi="宋体" w:cs="宋体"/>
          <w:lang w:eastAsia="zh-CN"/>
        </w:rPr>
        <w:t>宋文。</w:t>
      </w:r>
      <w:r>
        <w:rPr>
          <w:rFonts w:hint="eastAsia" w:ascii="宋体" w:hAnsi="宋体"/>
          <w:snapToGrid w:val="0"/>
          <w:color w:val="000000"/>
          <w:kern w:val="0"/>
          <w:sz w:val="28"/>
          <w:shd w:val="clear" w:color="auto" w:fill="FFFFFF"/>
        </w:rPr>
        <w:t>公司业务范围</w:t>
      </w:r>
      <w:r>
        <w:rPr>
          <w:rFonts w:hint="eastAsia"/>
        </w:rPr>
        <w:t>：</w:t>
      </w:r>
      <w:r>
        <w:rPr>
          <w:rFonts w:hint="eastAsia"/>
          <w:lang w:val="en-US" w:eastAsia="zh-CN"/>
        </w:rPr>
        <w:t>许可项目：非煤矿山矿产资源开采。一般项目：建筑材料销售；矿物洗选加工：非金属废料和碎屑加工处理；非金属矿及制品销售：农产品的生产、销售、加工、运输、贮藏及其他相关服务。</w:t>
      </w:r>
    </w:p>
    <w:p w14:paraId="2A1A531E">
      <w:pPr>
        <w:bidi w:val="0"/>
        <w:rPr>
          <w:rFonts w:hint="eastAsia" w:ascii="宋体" w:hAnsi="宋体" w:eastAsia="宋体" w:cs="宋体"/>
          <w:lang w:eastAsia="zh-CN"/>
        </w:rPr>
      </w:pPr>
      <w:r>
        <w:rPr>
          <w:rFonts w:hint="eastAsia" w:ascii="Times New Roman" w:hAnsi="Times New Roman" w:eastAsia="宋体" w:cs="Times New Roman"/>
          <w:lang w:val="en-US" w:eastAsia="zh-CN"/>
        </w:rPr>
        <w:t>元谋中鼎砂石有限公司</w:t>
      </w:r>
      <w:r>
        <w:rPr>
          <w:rFonts w:hint="eastAsia" w:ascii="Times New Roman" w:hAnsi="Times New Roman" w:eastAsia="宋体" w:cs="Times New Roman"/>
          <w:lang w:eastAsia="zh-CN"/>
        </w:rPr>
        <w:t>大物茂砂厂</w:t>
      </w:r>
      <w:r>
        <w:rPr>
          <w:rFonts w:hint="eastAsia" w:ascii="宋体" w:hAnsi="宋体" w:cs="宋体"/>
          <w:lang w:val="en-US" w:eastAsia="zh-CN"/>
        </w:rPr>
        <w:t>于</w:t>
      </w:r>
      <w:r>
        <w:rPr>
          <w:rFonts w:hint="eastAsia" w:ascii="宋体" w:hAnsi="宋体" w:eastAsia="宋体" w:cs="宋体"/>
          <w:lang w:val="en-US" w:eastAsia="zh-CN"/>
        </w:rPr>
        <w:t>2022年</w:t>
      </w:r>
      <w:r>
        <w:rPr>
          <w:rFonts w:hint="eastAsia" w:ascii="宋体" w:hAnsi="宋体" w:cs="宋体"/>
          <w:lang w:val="en-US" w:eastAsia="zh-CN"/>
        </w:rPr>
        <w:t>9</w:t>
      </w:r>
      <w:r>
        <w:rPr>
          <w:rFonts w:hint="eastAsia" w:ascii="宋体" w:hAnsi="宋体" w:eastAsia="宋体" w:cs="宋体"/>
          <w:lang w:val="en-US" w:eastAsia="zh-CN"/>
        </w:rPr>
        <w:t>月1</w:t>
      </w:r>
      <w:r>
        <w:rPr>
          <w:rFonts w:hint="eastAsia" w:ascii="宋体" w:hAnsi="宋体" w:cs="宋体"/>
          <w:lang w:val="en-US" w:eastAsia="zh-CN"/>
        </w:rPr>
        <w:t>0</w:t>
      </w:r>
      <w:r>
        <w:rPr>
          <w:rFonts w:hint="eastAsia" w:ascii="宋体" w:hAnsi="宋体" w:eastAsia="宋体" w:cs="宋体"/>
          <w:lang w:val="en-US" w:eastAsia="zh-CN"/>
        </w:rPr>
        <w:t>日</w:t>
      </w:r>
      <w:r>
        <w:rPr>
          <w:rFonts w:hint="eastAsia" w:ascii="宋体" w:hAnsi="宋体" w:cs="宋体"/>
          <w:lang w:val="en-US" w:eastAsia="zh-CN"/>
        </w:rPr>
        <w:t>换取新</w:t>
      </w:r>
      <w:r>
        <w:rPr>
          <w:rFonts w:hint="eastAsia" w:ascii="宋体" w:hAnsi="宋体" w:eastAsia="宋体" w:cs="宋体"/>
          <w:lang w:val="en-US" w:eastAsia="zh-CN"/>
        </w:rPr>
        <w:t>采矿许可证</w:t>
      </w:r>
      <w:r>
        <w:rPr>
          <w:rFonts w:hint="eastAsia" w:ascii="宋体" w:hAnsi="宋体" w:cs="宋体"/>
          <w:lang w:eastAsia="zh-CN"/>
        </w:rPr>
        <w:t>，</w:t>
      </w:r>
      <w:r>
        <w:rPr>
          <w:rFonts w:hint="eastAsia" w:ascii="宋体" w:hAnsi="宋体" w:eastAsia="宋体" w:cs="宋体"/>
          <w:lang w:val="en-US" w:eastAsia="zh-CN"/>
        </w:rPr>
        <w:t>证号为</w:t>
      </w:r>
      <w:r>
        <w:rPr>
          <w:rFonts w:hint="eastAsia" w:ascii="宋体" w:hAnsi="宋体" w:cs="宋体"/>
          <w:lang w:eastAsia="zh-CN"/>
        </w:rPr>
        <w:t>C5323282010017130055811，</w:t>
      </w:r>
      <w:r>
        <w:rPr>
          <w:rFonts w:hint="eastAsia" w:ascii="宋体" w:hAnsi="宋体"/>
          <w:snapToGrid w:val="0"/>
          <w:color w:val="000000"/>
          <w:kern w:val="0"/>
          <w:sz w:val="28"/>
          <w:shd w:val="clear" w:color="auto" w:fill="FFFFFF"/>
        </w:rPr>
        <w:t>有效期5年，自2022年9月2</w:t>
      </w:r>
      <w:r>
        <w:rPr>
          <w:rFonts w:hint="eastAsia" w:ascii="宋体" w:hAnsi="宋体"/>
          <w:snapToGrid w:val="0"/>
          <w:color w:val="000000"/>
          <w:kern w:val="0"/>
          <w:sz w:val="28"/>
          <w:shd w:val="clear" w:color="auto" w:fill="FFFFFF"/>
          <w:lang w:val="en-US" w:eastAsia="zh-CN"/>
        </w:rPr>
        <w:t>日</w:t>
      </w:r>
      <w:r>
        <w:rPr>
          <w:rFonts w:hint="eastAsia" w:ascii="宋体" w:hAnsi="宋体"/>
          <w:snapToGrid w:val="0"/>
          <w:color w:val="000000"/>
          <w:kern w:val="0"/>
          <w:sz w:val="28"/>
          <w:shd w:val="clear" w:color="auto" w:fill="FFFFFF"/>
        </w:rPr>
        <w:t>至2027年9月2日</w:t>
      </w:r>
      <w:r>
        <w:rPr>
          <w:rFonts w:hint="eastAsia" w:ascii="宋体" w:hAnsi="宋体" w:eastAsia="宋体" w:cs="宋体"/>
          <w:lang w:eastAsia="zh-CN"/>
        </w:rPr>
        <w:t>。</w:t>
      </w:r>
      <w:r>
        <w:rPr>
          <w:rFonts w:hint="eastAsia" w:ascii="宋体" w:hAnsi="宋体"/>
          <w:snapToGrid w:val="0"/>
          <w:color w:val="000000"/>
          <w:kern w:val="0"/>
          <w:sz w:val="28"/>
          <w:shd w:val="clear" w:color="auto" w:fill="FFFFFF"/>
        </w:rPr>
        <w:t>核准生产规模为</w:t>
      </w:r>
      <w:r>
        <w:rPr>
          <w:rFonts w:hint="eastAsia" w:ascii="宋体" w:hAnsi="宋体" w:cs="宋体"/>
          <w:lang w:val="en-US" w:eastAsia="zh-CN"/>
        </w:rPr>
        <w:t>10.00万</w:t>
      </w:r>
      <w:r>
        <w:rPr>
          <w:rFonts w:hint="eastAsia" w:ascii="宋体" w:hAnsi="宋体" w:eastAsia="宋体" w:cs="宋体"/>
          <w:lang w:val="en-US" w:eastAsia="zh-CN"/>
        </w:rPr>
        <w:t>吨</w:t>
      </w:r>
      <w:r>
        <w:rPr>
          <w:rFonts w:hint="eastAsia" w:ascii="宋体" w:hAnsi="宋体" w:eastAsia="宋体" w:cs="宋体"/>
          <w:lang w:eastAsia="zh-CN"/>
        </w:rPr>
        <w:t>/年，开采</w:t>
      </w:r>
      <w:r>
        <w:rPr>
          <w:rFonts w:hint="eastAsia" w:ascii="宋体" w:hAnsi="宋体" w:cs="宋体"/>
          <w:lang w:val="en-US" w:eastAsia="zh-CN"/>
        </w:rPr>
        <w:t>矿种</w:t>
      </w:r>
      <w:r>
        <w:rPr>
          <w:rFonts w:hint="eastAsia" w:ascii="宋体" w:hAnsi="宋体" w:eastAsia="宋体" w:cs="宋体"/>
          <w:lang w:eastAsia="zh-CN"/>
        </w:rPr>
        <w:t>为</w:t>
      </w:r>
      <w:r>
        <w:rPr>
          <w:rFonts w:hint="eastAsia" w:ascii="宋体" w:hAnsi="宋体" w:cs="宋体"/>
          <w:lang w:eastAsia="zh-CN"/>
        </w:rPr>
        <w:t>建筑用砂，</w:t>
      </w:r>
      <w:r>
        <w:rPr>
          <w:rFonts w:hint="eastAsia" w:ascii="宋体" w:hAnsi="宋体"/>
          <w:snapToGrid w:val="0"/>
          <w:color w:val="000000"/>
          <w:kern w:val="0"/>
          <w:sz w:val="28"/>
          <w:shd w:val="clear" w:color="auto" w:fill="FFFFFF"/>
        </w:rPr>
        <w:t>开采方式为</w:t>
      </w:r>
      <w:r>
        <w:rPr>
          <w:rFonts w:hint="eastAsia" w:ascii="宋体" w:hAnsi="宋体"/>
          <w:snapToGrid w:val="0"/>
          <w:color w:val="000000"/>
          <w:kern w:val="0"/>
          <w:sz w:val="28"/>
          <w:shd w:val="clear" w:color="auto" w:fill="FFFFFF"/>
          <w:lang w:val="en-US" w:eastAsia="zh-CN"/>
        </w:rPr>
        <w:t>露天开采，开采深度1113m～1035m</w:t>
      </w:r>
      <w:r>
        <w:rPr>
          <w:rFonts w:hint="eastAsia" w:ascii="宋体" w:hAnsi="宋体" w:eastAsia="宋体" w:cs="宋体"/>
          <w:lang w:eastAsia="zh-CN"/>
        </w:rPr>
        <w:t>。</w:t>
      </w:r>
    </w:p>
    <w:p w14:paraId="5A3F4738">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元谋中鼎砂石有限公司根据国家及云南省非煤矿山转型升级的相关要求，采矿权人委托云南省有色地质局楚雄勘查院于2019年6月编制《云南省元谋县物茂乡大物茂砂厂普通建筑材料用砂矿资源储量核实报告》</w:t>
      </w:r>
      <w:r>
        <w:rPr>
          <w:rFonts w:hint="eastAsia" w:ascii="宋体" w:hAnsi="宋体" w:cs="宋体"/>
          <w:color w:val="auto"/>
          <w:lang w:val="en-US" w:eastAsia="zh-CN"/>
        </w:rPr>
        <w:t>，</w:t>
      </w:r>
      <w:r>
        <w:rPr>
          <w:rFonts w:hint="eastAsia" w:ascii="宋体" w:hAnsi="宋体" w:eastAsia="宋体" w:cs="宋体"/>
          <w:lang w:val="en-US" w:eastAsia="zh-CN"/>
        </w:rPr>
        <w:t>由于重新办理林地审批</w:t>
      </w:r>
      <w:r>
        <w:rPr>
          <w:rFonts w:hint="eastAsia" w:ascii="宋体" w:hAnsi="宋体" w:cs="宋体"/>
          <w:lang w:val="en-US" w:eastAsia="zh-CN"/>
        </w:rPr>
        <w:t>，</w:t>
      </w:r>
      <w:r>
        <w:rPr>
          <w:rFonts w:hint="eastAsia" w:ascii="宋体" w:hAnsi="宋体" w:eastAsia="宋体" w:cs="宋体"/>
          <w:lang w:val="en-US" w:eastAsia="zh-CN"/>
        </w:rPr>
        <w:t>企业于2024年10月委托云南省一九九煤田地质勘探队根据矿山现状重新编制了《云南省元谋县大物茂砂厂建筑用砂</w:t>
      </w:r>
      <w:r>
        <w:rPr>
          <w:rFonts w:hint="eastAsia" w:ascii="宋体" w:hAnsi="宋体" w:eastAsia="宋体" w:cs="宋体"/>
          <w:color w:val="auto"/>
          <w:sz w:val="28"/>
          <w:szCs w:val="28"/>
        </w:rPr>
        <w:t>矿资源储量核实报告（2024年）</w:t>
      </w:r>
      <w:r>
        <w:rPr>
          <w:rFonts w:hint="eastAsia" w:ascii="宋体" w:hAnsi="宋体" w:eastAsia="宋体" w:cs="宋体"/>
          <w:color w:val="auto"/>
          <w:sz w:val="28"/>
          <w:szCs w:val="28"/>
          <w:lang w:eastAsia="zh-CN"/>
        </w:rPr>
        <w:t>》</w:t>
      </w:r>
      <w:r>
        <w:rPr>
          <w:rFonts w:hint="eastAsia" w:ascii="宋体" w:hAnsi="宋体" w:eastAsia="宋体" w:cs="宋体"/>
          <w:color w:val="auto"/>
          <w:lang w:val="en-US" w:eastAsia="zh-CN"/>
        </w:rPr>
        <w:t>，</w:t>
      </w:r>
      <w:r>
        <w:rPr>
          <w:rFonts w:hint="eastAsia" w:ascii="宋体" w:hAnsi="宋体" w:cs="宋体"/>
          <w:color w:val="auto"/>
          <w:lang w:val="en-US" w:eastAsia="zh-CN"/>
        </w:rPr>
        <w:t>并</w:t>
      </w:r>
      <w:r>
        <w:rPr>
          <w:rFonts w:hint="eastAsia" w:ascii="宋体" w:hAnsi="宋体" w:eastAsia="宋体" w:cs="宋体"/>
          <w:color w:val="auto"/>
          <w:lang w:val="en-US" w:eastAsia="zh-CN"/>
        </w:rPr>
        <w:t>委托云南增股工程勘察设计有限公司编制《</w:t>
      </w:r>
      <w:r>
        <w:rPr>
          <w:rFonts w:hint="eastAsia" w:ascii="宋体" w:hAnsi="宋体" w:cs="宋体"/>
          <w:color w:val="auto"/>
          <w:lang w:val="en-US" w:eastAsia="zh-CN"/>
        </w:rPr>
        <w:t>元谋中鼎砂石有限公司大物茂砂厂（10万t/a）露天采矿工程初步设计</w:t>
      </w:r>
      <w:r>
        <w:rPr>
          <w:rFonts w:hint="eastAsia" w:ascii="宋体" w:hAnsi="宋体" w:eastAsia="宋体" w:cs="宋体"/>
          <w:color w:val="auto"/>
          <w:lang w:val="en-US" w:eastAsia="zh-CN"/>
        </w:rPr>
        <w:t>》。</w:t>
      </w:r>
    </w:p>
    <w:p w14:paraId="26787CC5">
      <w:pPr>
        <w:bidi w:val="0"/>
        <w:rPr>
          <w:rFonts w:hint="eastAsia"/>
        </w:rPr>
      </w:pPr>
      <w:r>
        <w:rPr>
          <w:rFonts w:hint="eastAsia"/>
          <w:lang w:val="en-US" w:eastAsia="zh-CN"/>
        </w:rPr>
        <w:t>根据</w:t>
      </w:r>
      <w:r>
        <w:rPr>
          <w:lang w:val="en-GB"/>
        </w:rPr>
        <w:t>《中华人民共和国安全生产法》</w:t>
      </w:r>
      <w:r>
        <w:t>《建设项目安全设施“三同时”监督管理办法》（国家安监总局第36号令）等国家有关安全生产</w:t>
      </w:r>
      <w:r>
        <w:rPr>
          <w:rFonts w:hint="eastAsia"/>
          <w:lang w:eastAsia="zh-CN"/>
        </w:rPr>
        <w:t>法律法规</w:t>
      </w:r>
      <w:r>
        <w:t>和云南省相关主管部门的要求</w:t>
      </w:r>
      <w:r>
        <w:rPr>
          <w:rFonts w:hint="eastAsia"/>
        </w:rPr>
        <w:t>，</w:t>
      </w:r>
      <w:r>
        <w:rPr>
          <w:rFonts w:hint="eastAsia" w:ascii="Times New Roman" w:hAnsi="Times New Roman" w:eastAsia="宋体" w:cs="Times New Roman"/>
          <w:lang w:val="en-US" w:eastAsia="zh-CN"/>
        </w:rPr>
        <w:t>元谋中鼎砂石有限公司2022年11月10日</w:t>
      </w:r>
      <w:r>
        <w:rPr>
          <w:rFonts w:hint="eastAsia" w:ascii="Times New Roman" w:hAnsi="Times New Roman" w:eastAsia="宋体" w:cs="Times New Roman"/>
        </w:rPr>
        <w:t>委托昭通市鼎安科技有限公司编制</w:t>
      </w:r>
      <w:r>
        <w:rPr>
          <w:rFonts w:hint="eastAsia"/>
          <w:lang w:val="en-US" w:eastAsia="zh-CN"/>
        </w:rPr>
        <w:t>《元谋中鼎砂石有限公司大物茂砂厂安全预评价报告》</w:t>
      </w:r>
      <w:r>
        <w:rPr>
          <w:rFonts w:hint="eastAsia"/>
        </w:rPr>
        <w:t>。</w:t>
      </w:r>
    </w:p>
    <w:p w14:paraId="20AB9EA9">
      <w:pPr>
        <w:keepNext/>
      </w:pPr>
      <w:r>
        <w:rPr>
          <w:rFonts w:hint="eastAsia" w:ascii="宋体" w:hAnsi="宋体" w:eastAsia="宋体" w:cs="宋体"/>
          <w:lang w:val="en-US" w:eastAsia="zh-CN"/>
        </w:rPr>
        <w:t>在接受</w:t>
      </w:r>
      <w:r>
        <w:rPr>
          <w:rFonts w:hint="eastAsia" w:ascii="宋体" w:hAnsi="宋体" w:eastAsia="宋体" w:cs="宋体"/>
          <w:lang w:eastAsia="zh-CN"/>
        </w:rPr>
        <w:t>元谋中鼎砂石有限公司大物茂砂厂</w:t>
      </w:r>
      <w:r>
        <w:rPr>
          <w:rFonts w:hint="eastAsia"/>
          <w:color w:val="auto"/>
          <w:sz w:val="28"/>
          <w:szCs w:val="28"/>
        </w:rPr>
        <w:t>项目安全预评价委托后，昭通市鼎安科技有限公司遵照相关规定和公司作业指导书，组建了安全评价组。在认真分析项目风险，收集国家法律法规、部门规章、地方性法规及规范性文件、国家标准、行业标准、规程、规范，建设项目单位提供的相关资料基础上，</w:t>
      </w:r>
      <w:r>
        <w:rPr>
          <w:rFonts w:hint="eastAsia" w:ascii="宋体" w:hAnsi="宋体" w:eastAsia="宋体" w:cs="宋体"/>
          <w:lang w:val="zh-TW" w:eastAsia="zh-TW"/>
        </w:rPr>
        <w:t>于202</w:t>
      </w:r>
      <w:r>
        <w:rPr>
          <w:rFonts w:hint="eastAsia" w:ascii="宋体" w:hAnsi="宋体" w:eastAsia="宋体" w:cs="宋体"/>
          <w:lang w:val="en-US" w:eastAsia="zh-CN"/>
        </w:rPr>
        <w:t>2</w:t>
      </w:r>
      <w:r>
        <w:rPr>
          <w:rFonts w:hint="eastAsia" w:ascii="宋体" w:hAnsi="宋体" w:eastAsia="宋体" w:cs="宋体"/>
          <w:lang w:val="zh-TW" w:eastAsia="zh-TW"/>
        </w:rPr>
        <w:t>年</w:t>
      </w:r>
      <w:r>
        <w:rPr>
          <w:rFonts w:hint="eastAsia" w:ascii="宋体" w:hAnsi="宋体" w:eastAsia="宋体" w:cs="宋体"/>
          <w:lang w:val="en-US" w:eastAsia="zh-CN"/>
        </w:rPr>
        <w:t>11</w:t>
      </w:r>
      <w:r>
        <w:rPr>
          <w:rFonts w:hint="eastAsia" w:ascii="宋体" w:hAnsi="宋体" w:eastAsia="宋体" w:cs="宋体"/>
          <w:lang w:val="zh-TW" w:eastAsia="zh-TW"/>
        </w:rPr>
        <w:t>月</w:t>
      </w:r>
      <w:r>
        <w:rPr>
          <w:rFonts w:hint="eastAsia" w:ascii="宋体" w:hAnsi="宋体" w:eastAsia="宋体" w:cs="宋体"/>
          <w:lang w:val="en-US" w:eastAsia="zh-CN"/>
        </w:rPr>
        <w:t>25</w:t>
      </w:r>
      <w:r>
        <w:rPr>
          <w:rFonts w:hint="eastAsia" w:ascii="宋体" w:hAnsi="宋体" w:eastAsia="宋体" w:cs="宋体"/>
          <w:lang w:val="zh-TW" w:eastAsia="zh-TW"/>
        </w:rPr>
        <w:t>日到现场实地勘测调查</w:t>
      </w:r>
      <w:r>
        <w:rPr>
          <w:rFonts w:hint="eastAsia" w:ascii="宋体" w:hAnsi="宋体" w:eastAsia="宋体" w:cs="宋体"/>
        </w:rPr>
        <w:t>，</w:t>
      </w:r>
      <w:r>
        <w:rPr>
          <w:rFonts w:hint="eastAsia" w:ascii="宋体" w:hAnsi="宋体" w:cs="宋体"/>
          <w:lang w:val="en-US" w:eastAsia="zh-CN"/>
        </w:rPr>
        <w:t>由于企业重新办理林地</w:t>
      </w:r>
      <w:r>
        <w:rPr>
          <w:rFonts w:hint="eastAsia" w:ascii="宋体" w:hAnsi="宋体" w:eastAsia="宋体" w:cs="宋体"/>
          <w:lang w:val="en-US" w:eastAsia="zh-CN"/>
        </w:rPr>
        <w:t>审批，评价组于</w:t>
      </w:r>
      <w:r>
        <w:rPr>
          <w:rFonts w:hint="eastAsia" w:ascii="宋体" w:hAnsi="宋体" w:eastAsia="宋体" w:cs="宋体"/>
          <w:color w:val="0000FF"/>
          <w:lang w:val="en-US" w:eastAsia="zh-CN"/>
        </w:rPr>
        <w:t>202</w:t>
      </w:r>
      <w:r>
        <w:rPr>
          <w:rFonts w:hint="eastAsia" w:ascii="宋体" w:hAnsi="宋体" w:cs="宋体"/>
          <w:color w:val="0000FF"/>
          <w:lang w:val="en-US" w:eastAsia="zh-CN"/>
        </w:rPr>
        <w:t>4</w:t>
      </w:r>
      <w:r>
        <w:rPr>
          <w:rFonts w:hint="eastAsia" w:ascii="宋体" w:hAnsi="宋体" w:eastAsia="宋体" w:cs="宋体"/>
          <w:color w:val="0000FF"/>
          <w:lang w:val="en-US" w:eastAsia="zh-CN"/>
        </w:rPr>
        <w:t>年</w:t>
      </w:r>
      <w:r>
        <w:rPr>
          <w:rFonts w:hint="eastAsia" w:ascii="宋体" w:hAnsi="宋体" w:cs="宋体"/>
          <w:color w:val="0000FF"/>
          <w:lang w:val="en-US" w:eastAsia="zh-CN"/>
        </w:rPr>
        <w:t>12</w:t>
      </w:r>
      <w:r>
        <w:rPr>
          <w:rFonts w:hint="eastAsia" w:ascii="宋体" w:hAnsi="宋体" w:eastAsia="宋体" w:cs="宋体"/>
          <w:color w:val="0000FF"/>
          <w:lang w:val="en-US" w:eastAsia="zh-CN"/>
        </w:rPr>
        <w:t>月16日再次到现场进行踏勘</w:t>
      </w:r>
      <w:r>
        <w:rPr>
          <w:rFonts w:hint="eastAsia" w:ascii="宋体" w:hAnsi="宋体" w:eastAsia="宋体" w:cs="宋体"/>
          <w:lang w:val="en-US" w:eastAsia="zh-CN"/>
        </w:rPr>
        <w:t>，经对现场收集的调查资料分析整理，对建设项目存在或潜在危险、有害因</w:t>
      </w:r>
      <w:r>
        <w:rPr>
          <w:rFonts w:hint="eastAsia"/>
          <w:color w:val="auto"/>
          <w:sz w:val="28"/>
          <w:szCs w:val="28"/>
        </w:rPr>
        <w:t>素辨识分析和定性、定量评价，按照评价导则和《国家安全监管总局关于印发金属非金属矿山建设项目安全评价报告编写提纲的通知》（安监总管一【2016】49 号）</w:t>
      </w:r>
      <w:r>
        <w:rPr>
          <w:rFonts w:hint="eastAsia" w:ascii="宋体" w:hAnsi="宋体" w:eastAsia="宋体" w:cs="宋体"/>
        </w:rPr>
        <w:t>要</w:t>
      </w:r>
      <w:r>
        <w:rPr>
          <w:rFonts w:hint="eastAsia" w:ascii="宋体" w:hAnsi="宋体" w:eastAsia="宋体" w:cs="宋体"/>
          <w:lang w:val="en-US" w:eastAsia="zh-CN"/>
        </w:rPr>
        <w:t>求，</w:t>
      </w:r>
      <w:r>
        <w:rPr>
          <w:rFonts w:hint="eastAsia" w:ascii="宋体" w:hAnsi="宋体" w:eastAsia="宋体" w:cs="宋体"/>
          <w:lang w:val="zh-TW" w:eastAsia="zh-TW"/>
        </w:rPr>
        <w:t>于</w:t>
      </w:r>
      <w:r>
        <w:rPr>
          <w:rFonts w:hint="eastAsia" w:ascii="宋体" w:hAnsi="宋体" w:eastAsia="宋体" w:cs="宋体"/>
          <w:color w:val="0000FF"/>
          <w:lang w:val="zh-TW" w:eastAsia="zh-TW"/>
        </w:rPr>
        <w:t>20</w:t>
      </w:r>
      <w:r>
        <w:rPr>
          <w:rFonts w:hint="eastAsia" w:ascii="宋体" w:hAnsi="宋体" w:eastAsia="宋体" w:cs="宋体"/>
          <w:color w:val="0000FF"/>
          <w:lang w:val="en-US" w:eastAsia="zh-CN"/>
        </w:rPr>
        <w:t>2</w:t>
      </w:r>
      <w:r>
        <w:rPr>
          <w:rFonts w:hint="eastAsia" w:ascii="宋体" w:hAnsi="宋体" w:cs="宋体"/>
          <w:color w:val="0000FF"/>
          <w:lang w:val="en-US" w:eastAsia="zh-CN"/>
        </w:rPr>
        <w:t>5</w:t>
      </w:r>
      <w:r>
        <w:rPr>
          <w:rFonts w:hint="eastAsia" w:ascii="宋体" w:hAnsi="宋体" w:eastAsia="宋体" w:cs="宋体"/>
          <w:color w:val="0000FF"/>
          <w:lang w:val="zh-TW" w:eastAsia="zh-TW"/>
        </w:rPr>
        <w:t>年</w:t>
      </w:r>
      <w:r>
        <w:rPr>
          <w:rFonts w:hint="eastAsia" w:ascii="宋体" w:hAnsi="宋体" w:cs="宋体"/>
          <w:color w:val="0000FF"/>
          <w:lang w:val="en-US" w:eastAsia="zh-CN"/>
        </w:rPr>
        <w:t>4</w:t>
      </w:r>
      <w:r>
        <w:rPr>
          <w:rFonts w:hint="eastAsia" w:ascii="宋体" w:hAnsi="宋体" w:eastAsia="宋体" w:cs="宋体"/>
          <w:color w:val="0000FF"/>
          <w:lang w:val="zh-TW" w:eastAsia="zh-TW"/>
        </w:rPr>
        <w:t>月</w:t>
      </w:r>
      <w:r>
        <w:rPr>
          <w:rFonts w:hint="eastAsia" w:ascii="宋体" w:hAnsi="宋体" w:eastAsia="宋体" w:cs="宋体"/>
          <w:color w:val="0000FF"/>
          <w:lang w:val="en-US" w:eastAsia="zh-CN"/>
        </w:rPr>
        <w:t>8</w:t>
      </w:r>
      <w:r>
        <w:rPr>
          <w:rFonts w:hint="eastAsia" w:ascii="宋体" w:hAnsi="宋体" w:eastAsia="宋体" w:cs="宋体"/>
          <w:color w:val="0000FF"/>
          <w:lang w:val="zh-TW" w:eastAsia="zh-TW"/>
        </w:rPr>
        <w:t>日完成了</w:t>
      </w:r>
      <w:r>
        <w:rPr>
          <w:rFonts w:hint="eastAsia" w:ascii="宋体" w:hAnsi="宋体" w:eastAsia="宋体" w:cs="宋体"/>
          <w:lang w:val="zh-TW" w:eastAsia="zh-TW"/>
        </w:rPr>
        <w:t>安全预评价报告的编制。最终形成的安全预评</w:t>
      </w:r>
      <w:r>
        <w:rPr>
          <w:rFonts w:hint="eastAsia"/>
        </w:rPr>
        <w:t>价报告将作为建设项目编制安全设施设计的技术依据。</w:t>
      </w:r>
    </w:p>
    <w:p w14:paraId="5DAFDB9E">
      <w:pPr>
        <w:keepNext w:val="0"/>
        <w:keepLines w:val="0"/>
        <w:pageBreakBefore w:val="0"/>
        <w:widowControl w:val="0"/>
        <w:kinsoku/>
        <w:wordWrap/>
        <w:overflowPunct/>
        <w:topLinePunct w:val="0"/>
        <w:autoSpaceDE/>
        <w:autoSpaceDN/>
        <w:bidi w:val="0"/>
        <w:adjustRightInd/>
        <w:snapToGrid/>
        <w:textAlignment w:val="auto"/>
        <w:outlineLvl w:val="9"/>
      </w:pPr>
      <w:r>
        <w:rPr>
          <w:rFonts w:hint="eastAsia"/>
        </w:rPr>
        <w:t>在本项目的安全预评价工作中，得到了楚雄州应急管理局、</w:t>
      </w:r>
      <w:r>
        <w:rPr>
          <w:rFonts w:hint="eastAsia"/>
          <w:lang w:eastAsia="zh-CN"/>
        </w:rPr>
        <w:t>元谋县</w:t>
      </w:r>
      <w:r>
        <w:rPr>
          <w:rFonts w:hint="eastAsia"/>
        </w:rPr>
        <w:t>应急管理局及</w:t>
      </w:r>
      <w:r>
        <w:rPr>
          <w:rFonts w:hint="eastAsia"/>
          <w:lang w:eastAsia="zh-CN"/>
        </w:rPr>
        <w:t>元谋中鼎砂石有限公司</w:t>
      </w:r>
      <w:r>
        <w:rPr>
          <w:rFonts w:hint="eastAsia"/>
        </w:rPr>
        <w:t>有关人员的大力支持，同时在本报告中引用了一些专家学者的研究成果和技术资料，在此一并表示感谢！</w:t>
      </w:r>
    </w:p>
    <w:p w14:paraId="430C1CAA">
      <w:pPr>
        <w:bidi w:val="0"/>
        <w:outlineLvl w:val="9"/>
        <w:sectPr>
          <w:headerReference r:id="rId5" w:type="default"/>
          <w:footerReference r:id="rId7" w:type="default"/>
          <w:headerReference r:id="rId6" w:type="even"/>
          <w:pgSz w:w="11906" w:h="16838"/>
          <w:pgMar w:top="1417" w:right="1417" w:bottom="1417" w:left="1587" w:header="964" w:footer="992" w:gutter="0"/>
          <w:pgBorders>
            <w:top w:val="none" w:sz="0" w:space="0"/>
            <w:left w:val="none" w:sz="0" w:space="0"/>
            <w:bottom w:val="none" w:sz="0" w:space="0"/>
            <w:right w:val="none" w:sz="0" w:space="0"/>
          </w:pgBorders>
          <w:cols w:space="720" w:num="1"/>
          <w:docGrid w:type="lines" w:linePitch="312" w:charSpace="0"/>
        </w:sectPr>
      </w:pPr>
    </w:p>
    <w:p w14:paraId="5A83481A">
      <w:pPr>
        <w:keepNext w:val="0"/>
        <w:keepLines w:val="0"/>
        <w:pageBreakBefore w:val="0"/>
        <w:widowControl w:val="0"/>
        <w:kinsoku/>
        <w:wordWrap/>
        <w:overflowPunct/>
        <w:topLinePunct w:val="0"/>
        <w:autoSpaceDE/>
        <w:autoSpaceDN/>
        <w:bidi w:val="0"/>
        <w:adjustRightInd/>
        <w:snapToGrid/>
        <w:spacing w:line="500" w:lineRule="exact"/>
        <w:ind w:firstLine="562" w:firstLineChars="200"/>
        <w:jc w:val="center"/>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rPr>
        <w:t>目录</w:t>
      </w:r>
    </w:p>
    <w:p w14:paraId="7E75E140">
      <w:pPr>
        <w:pStyle w:val="22"/>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TOC \o "1-3" \h \u </w:instrText>
      </w:r>
      <w:r>
        <w:rPr>
          <w:rFonts w:hint="eastAsia" w:ascii="宋体" w:hAnsi="宋体" w:eastAsia="宋体" w:cs="宋体"/>
          <w:color w:val="auto"/>
          <w:sz w:val="28"/>
          <w:szCs w:val="28"/>
        </w:rPr>
        <w:fldChar w:fldCharType="separate"/>
      </w: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_Toc7844 </w:instrText>
      </w:r>
      <w:r>
        <w:rPr>
          <w:rFonts w:hint="eastAsia" w:ascii="宋体" w:hAnsi="宋体" w:eastAsia="宋体" w:cs="宋体"/>
          <w:szCs w:val="28"/>
        </w:rPr>
        <w:fldChar w:fldCharType="separate"/>
      </w:r>
      <w:r>
        <w:rPr>
          <w:rFonts w:hint="default"/>
        </w:rPr>
        <w:t xml:space="preserve">第1章 </w:t>
      </w:r>
      <w:r>
        <w:t>评价对象与依据</w:t>
      </w:r>
      <w:r>
        <w:tab/>
      </w:r>
      <w:r>
        <w:fldChar w:fldCharType="begin"/>
      </w:r>
      <w:r>
        <w:instrText xml:space="preserve"> PAGEREF _Toc7844 \h </w:instrText>
      </w:r>
      <w:r>
        <w:fldChar w:fldCharType="separate"/>
      </w:r>
      <w:r>
        <w:t>- 1 -</w:t>
      </w:r>
      <w:r>
        <w:fldChar w:fldCharType="end"/>
      </w:r>
      <w:r>
        <w:rPr>
          <w:rFonts w:hint="eastAsia" w:ascii="宋体" w:hAnsi="宋体" w:eastAsia="宋体" w:cs="宋体"/>
          <w:color w:val="auto"/>
          <w:szCs w:val="28"/>
        </w:rPr>
        <w:fldChar w:fldCharType="end"/>
      </w:r>
    </w:p>
    <w:p w14:paraId="2D9F2C0D">
      <w:pPr>
        <w:pStyle w:val="24"/>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_Toc11627 </w:instrText>
      </w:r>
      <w:r>
        <w:rPr>
          <w:rFonts w:hint="eastAsia" w:ascii="宋体" w:hAnsi="宋体" w:eastAsia="宋体" w:cs="宋体"/>
          <w:szCs w:val="28"/>
        </w:rPr>
        <w:fldChar w:fldCharType="separate"/>
      </w:r>
      <w:r>
        <w:rPr>
          <w:rFonts w:hint="eastAsia"/>
        </w:rPr>
        <w:t xml:space="preserve">1.1. </w:t>
      </w:r>
      <w:r>
        <w:t>评价对象和范围</w:t>
      </w:r>
      <w:r>
        <w:tab/>
      </w:r>
      <w:r>
        <w:fldChar w:fldCharType="begin"/>
      </w:r>
      <w:r>
        <w:instrText xml:space="preserve"> PAGEREF _Toc11627 \h </w:instrText>
      </w:r>
      <w:r>
        <w:fldChar w:fldCharType="separate"/>
      </w:r>
      <w:r>
        <w:t>- 1 -</w:t>
      </w:r>
      <w:r>
        <w:fldChar w:fldCharType="end"/>
      </w:r>
      <w:r>
        <w:rPr>
          <w:rFonts w:hint="eastAsia" w:ascii="宋体" w:hAnsi="宋体" w:eastAsia="宋体" w:cs="宋体"/>
          <w:color w:val="auto"/>
          <w:szCs w:val="28"/>
        </w:rPr>
        <w:fldChar w:fldCharType="end"/>
      </w:r>
    </w:p>
    <w:p w14:paraId="7DBEDFE0">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_Toc13746 </w:instrText>
      </w:r>
      <w:r>
        <w:rPr>
          <w:rFonts w:hint="eastAsia" w:ascii="宋体" w:hAnsi="宋体" w:eastAsia="宋体" w:cs="宋体"/>
          <w:szCs w:val="28"/>
        </w:rPr>
        <w:fldChar w:fldCharType="separate"/>
      </w:r>
      <w:r>
        <w:rPr>
          <w:rFonts w:hint="eastAsia" w:ascii="宋体" w:hAnsi="宋体" w:eastAsia="宋体" w:cs="宋体"/>
        </w:rPr>
        <w:t xml:space="preserve">1.1.1 </w:t>
      </w:r>
      <w:r>
        <w:t>评价对象</w:t>
      </w:r>
      <w:r>
        <w:tab/>
      </w:r>
      <w:r>
        <w:fldChar w:fldCharType="begin"/>
      </w:r>
      <w:r>
        <w:instrText xml:space="preserve"> PAGEREF _Toc13746 \h </w:instrText>
      </w:r>
      <w:r>
        <w:fldChar w:fldCharType="separate"/>
      </w:r>
      <w:r>
        <w:t>- 1 -</w:t>
      </w:r>
      <w:r>
        <w:fldChar w:fldCharType="end"/>
      </w:r>
      <w:r>
        <w:rPr>
          <w:rFonts w:hint="eastAsia" w:ascii="宋体" w:hAnsi="宋体" w:eastAsia="宋体" w:cs="宋体"/>
          <w:color w:val="auto"/>
          <w:szCs w:val="28"/>
        </w:rPr>
        <w:fldChar w:fldCharType="end"/>
      </w:r>
    </w:p>
    <w:p w14:paraId="5EC3412A">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_Toc15735 </w:instrText>
      </w:r>
      <w:r>
        <w:rPr>
          <w:rFonts w:hint="eastAsia" w:ascii="宋体" w:hAnsi="宋体" w:eastAsia="宋体" w:cs="宋体"/>
          <w:szCs w:val="28"/>
        </w:rPr>
        <w:fldChar w:fldCharType="separate"/>
      </w:r>
      <w:r>
        <w:rPr>
          <w:rFonts w:hint="eastAsia" w:ascii="宋体" w:hAnsi="宋体" w:eastAsia="宋体" w:cs="宋体"/>
        </w:rPr>
        <w:t xml:space="preserve">1.1.2 </w:t>
      </w:r>
      <w:r>
        <w:rPr>
          <w:rFonts w:hint="eastAsia"/>
        </w:rPr>
        <w:t>评价范围</w:t>
      </w:r>
      <w:r>
        <w:tab/>
      </w:r>
      <w:r>
        <w:fldChar w:fldCharType="begin"/>
      </w:r>
      <w:r>
        <w:instrText xml:space="preserve"> PAGEREF _Toc15735 \h </w:instrText>
      </w:r>
      <w:r>
        <w:fldChar w:fldCharType="separate"/>
      </w:r>
      <w:r>
        <w:t>- 1 -</w:t>
      </w:r>
      <w:r>
        <w:fldChar w:fldCharType="end"/>
      </w:r>
      <w:r>
        <w:rPr>
          <w:rFonts w:hint="eastAsia" w:ascii="宋体" w:hAnsi="宋体" w:eastAsia="宋体" w:cs="宋体"/>
          <w:color w:val="auto"/>
          <w:szCs w:val="28"/>
        </w:rPr>
        <w:fldChar w:fldCharType="end"/>
      </w:r>
    </w:p>
    <w:p w14:paraId="151B26F5">
      <w:pPr>
        <w:pStyle w:val="24"/>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_Toc18698 </w:instrText>
      </w:r>
      <w:r>
        <w:rPr>
          <w:rFonts w:hint="eastAsia" w:ascii="宋体" w:hAnsi="宋体" w:eastAsia="宋体" w:cs="宋体"/>
          <w:szCs w:val="28"/>
        </w:rPr>
        <w:fldChar w:fldCharType="separate"/>
      </w:r>
      <w:r>
        <w:rPr>
          <w:rFonts w:hint="eastAsia"/>
        </w:rPr>
        <w:t xml:space="preserve">1.2. </w:t>
      </w:r>
      <w:r>
        <w:t>评价依据</w:t>
      </w:r>
      <w:r>
        <w:tab/>
      </w:r>
      <w:r>
        <w:fldChar w:fldCharType="begin"/>
      </w:r>
      <w:r>
        <w:instrText xml:space="preserve"> PAGEREF _Toc18698 \h </w:instrText>
      </w:r>
      <w:r>
        <w:fldChar w:fldCharType="separate"/>
      </w:r>
      <w:r>
        <w:t>- 1 -</w:t>
      </w:r>
      <w:r>
        <w:fldChar w:fldCharType="end"/>
      </w:r>
      <w:r>
        <w:rPr>
          <w:rFonts w:hint="eastAsia" w:ascii="宋体" w:hAnsi="宋体" w:eastAsia="宋体" w:cs="宋体"/>
          <w:color w:val="auto"/>
          <w:szCs w:val="28"/>
        </w:rPr>
        <w:fldChar w:fldCharType="end"/>
      </w:r>
    </w:p>
    <w:p w14:paraId="670FCACD">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_Toc28566 </w:instrText>
      </w:r>
      <w:r>
        <w:rPr>
          <w:rFonts w:hint="eastAsia" w:ascii="宋体" w:hAnsi="宋体" w:eastAsia="宋体" w:cs="宋体"/>
          <w:szCs w:val="28"/>
        </w:rPr>
        <w:fldChar w:fldCharType="separate"/>
      </w:r>
      <w:r>
        <w:rPr>
          <w:rFonts w:hint="eastAsia" w:ascii="宋体" w:hAnsi="宋体" w:eastAsia="宋体" w:cs="宋体"/>
        </w:rPr>
        <w:t xml:space="preserve">1.2.1 </w:t>
      </w:r>
      <w:r>
        <w:rPr>
          <w:rFonts w:hint="eastAsia"/>
        </w:rPr>
        <w:t>法律法规</w:t>
      </w:r>
      <w:r>
        <w:tab/>
      </w:r>
      <w:r>
        <w:fldChar w:fldCharType="begin"/>
      </w:r>
      <w:r>
        <w:instrText xml:space="preserve"> PAGEREF _Toc28566 \h </w:instrText>
      </w:r>
      <w:r>
        <w:fldChar w:fldCharType="separate"/>
      </w:r>
      <w:r>
        <w:t>- 1 -</w:t>
      </w:r>
      <w:r>
        <w:fldChar w:fldCharType="end"/>
      </w:r>
      <w:r>
        <w:rPr>
          <w:rFonts w:hint="eastAsia" w:ascii="宋体" w:hAnsi="宋体" w:eastAsia="宋体" w:cs="宋体"/>
          <w:color w:val="auto"/>
          <w:szCs w:val="28"/>
        </w:rPr>
        <w:fldChar w:fldCharType="end"/>
      </w:r>
    </w:p>
    <w:p w14:paraId="7434C138">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_Toc19029 </w:instrText>
      </w:r>
      <w:r>
        <w:rPr>
          <w:rFonts w:hint="eastAsia" w:ascii="宋体" w:hAnsi="宋体" w:eastAsia="宋体" w:cs="宋体"/>
          <w:szCs w:val="28"/>
        </w:rPr>
        <w:fldChar w:fldCharType="separate"/>
      </w:r>
      <w:r>
        <w:rPr>
          <w:rFonts w:hint="eastAsia" w:ascii="宋体" w:hAnsi="宋体" w:eastAsia="宋体" w:cs="宋体"/>
        </w:rPr>
        <w:t xml:space="preserve">1.2.2 </w:t>
      </w:r>
      <w:r>
        <w:rPr>
          <w:rFonts w:hint="eastAsia"/>
        </w:rPr>
        <w:t>行政法规</w:t>
      </w:r>
      <w:r>
        <w:tab/>
      </w:r>
      <w:r>
        <w:fldChar w:fldCharType="begin"/>
      </w:r>
      <w:r>
        <w:instrText xml:space="preserve"> PAGEREF _Toc19029 \h </w:instrText>
      </w:r>
      <w:r>
        <w:fldChar w:fldCharType="separate"/>
      </w:r>
      <w:r>
        <w:t>- 2 -</w:t>
      </w:r>
      <w:r>
        <w:fldChar w:fldCharType="end"/>
      </w:r>
      <w:r>
        <w:rPr>
          <w:rFonts w:hint="eastAsia" w:ascii="宋体" w:hAnsi="宋体" w:eastAsia="宋体" w:cs="宋体"/>
          <w:color w:val="auto"/>
          <w:szCs w:val="28"/>
        </w:rPr>
        <w:fldChar w:fldCharType="end"/>
      </w:r>
    </w:p>
    <w:p w14:paraId="6165E758">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_Toc4195 </w:instrText>
      </w:r>
      <w:r>
        <w:rPr>
          <w:rFonts w:hint="eastAsia" w:ascii="宋体" w:hAnsi="宋体" w:eastAsia="宋体" w:cs="宋体"/>
          <w:szCs w:val="28"/>
        </w:rPr>
        <w:fldChar w:fldCharType="separate"/>
      </w:r>
      <w:r>
        <w:rPr>
          <w:rFonts w:hint="eastAsia" w:ascii="宋体" w:hAnsi="宋体" w:eastAsia="宋体" w:cs="宋体"/>
        </w:rPr>
        <w:t xml:space="preserve">1.2.3 </w:t>
      </w:r>
      <w:r>
        <w:rPr>
          <w:rFonts w:hint="eastAsia"/>
        </w:rPr>
        <w:t>部门规章</w:t>
      </w:r>
      <w:r>
        <w:tab/>
      </w:r>
      <w:r>
        <w:fldChar w:fldCharType="begin"/>
      </w:r>
      <w:r>
        <w:instrText xml:space="preserve"> PAGEREF _Toc4195 \h </w:instrText>
      </w:r>
      <w:r>
        <w:fldChar w:fldCharType="separate"/>
      </w:r>
      <w:r>
        <w:t>- 3 -</w:t>
      </w:r>
      <w:r>
        <w:fldChar w:fldCharType="end"/>
      </w:r>
      <w:r>
        <w:rPr>
          <w:rFonts w:hint="eastAsia" w:ascii="宋体" w:hAnsi="宋体" w:eastAsia="宋体" w:cs="宋体"/>
          <w:color w:val="auto"/>
          <w:szCs w:val="28"/>
        </w:rPr>
        <w:fldChar w:fldCharType="end"/>
      </w:r>
    </w:p>
    <w:p w14:paraId="6E1ECA90">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_Toc14086 </w:instrText>
      </w:r>
      <w:r>
        <w:rPr>
          <w:rFonts w:hint="eastAsia" w:ascii="宋体" w:hAnsi="宋体" w:eastAsia="宋体" w:cs="宋体"/>
          <w:szCs w:val="28"/>
        </w:rPr>
        <w:fldChar w:fldCharType="separate"/>
      </w:r>
      <w:r>
        <w:rPr>
          <w:rFonts w:hint="eastAsia" w:ascii="宋体" w:hAnsi="宋体" w:eastAsia="宋体" w:cs="宋体"/>
        </w:rPr>
        <w:t xml:space="preserve">1.2.4 </w:t>
      </w:r>
      <w:r>
        <w:rPr>
          <w:rFonts w:hint="eastAsia"/>
        </w:rPr>
        <w:t>地方性法规及规范性文件</w:t>
      </w:r>
      <w:r>
        <w:tab/>
      </w:r>
      <w:r>
        <w:fldChar w:fldCharType="begin"/>
      </w:r>
      <w:r>
        <w:instrText xml:space="preserve"> PAGEREF _Toc14086 \h </w:instrText>
      </w:r>
      <w:r>
        <w:fldChar w:fldCharType="separate"/>
      </w:r>
      <w:r>
        <w:t>- 4 -</w:t>
      </w:r>
      <w:r>
        <w:fldChar w:fldCharType="end"/>
      </w:r>
      <w:r>
        <w:rPr>
          <w:rFonts w:hint="eastAsia" w:ascii="宋体" w:hAnsi="宋体" w:eastAsia="宋体" w:cs="宋体"/>
          <w:color w:val="auto"/>
          <w:szCs w:val="28"/>
        </w:rPr>
        <w:fldChar w:fldCharType="end"/>
      </w:r>
    </w:p>
    <w:p w14:paraId="79A09C7E">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_Toc9634 </w:instrText>
      </w:r>
      <w:r>
        <w:rPr>
          <w:rFonts w:hint="eastAsia" w:ascii="宋体" w:hAnsi="宋体" w:eastAsia="宋体" w:cs="宋体"/>
          <w:szCs w:val="28"/>
        </w:rPr>
        <w:fldChar w:fldCharType="separate"/>
      </w:r>
      <w:r>
        <w:rPr>
          <w:rFonts w:hint="eastAsia" w:ascii="宋体" w:hAnsi="宋体" w:eastAsia="宋体" w:cs="宋体"/>
        </w:rPr>
        <w:t xml:space="preserve">1.2.5 </w:t>
      </w:r>
      <w:r>
        <w:rPr>
          <w:rFonts w:hint="eastAsia"/>
        </w:rPr>
        <w:t>标准规范</w:t>
      </w:r>
      <w:r>
        <w:tab/>
      </w:r>
      <w:r>
        <w:fldChar w:fldCharType="begin"/>
      </w:r>
      <w:r>
        <w:instrText xml:space="preserve"> PAGEREF _Toc9634 \h </w:instrText>
      </w:r>
      <w:r>
        <w:fldChar w:fldCharType="separate"/>
      </w:r>
      <w:r>
        <w:t>- 5 -</w:t>
      </w:r>
      <w:r>
        <w:fldChar w:fldCharType="end"/>
      </w:r>
      <w:r>
        <w:rPr>
          <w:rFonts w:hint="eastAsia" w:ascii="宋体" w:hAnsi="宋体" w:eastAsia="宋体" w:cs="宋体"/>
          <w:color w:val="auto"/>
          <w:szCs w:val="28"/>
        </w:rPr>
        <w:fldChar w:fldCharType="end"/>
      </w:r>
    </w:p>
    <w:p w14:paraId="38D0CE9D">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_Toc2929 </w:instrText>
      </w:r>
      <w:r>
        <w:rPr>
          <w:rFonts w:hint="eastAsia" w:ascii="宋体" w:hAnsi="宋体" w:eastAsia="宋体" w:cs="宋体"/>
          <w:szCs w:val="28"/>
        </w:rPr>
        <w:fldChar w:fldCharType="separate"/>
      </w:r>
      <w:r>
        <w:rPr>
          <w:rFonts w:hint="eastAsia" w:ascii="宋体" w:hAnsi="宋体" w:eastAsia="宋体" w:cs="宋体"/>
        </w:rPr>
        <w:t xml:space="preserve">1.2.6 </w:t>
      </w:r>
      <w:r>
        <w:rPr>
          <w:rFonts w:hint="eastAsia"/>
        </w:rPr>
        <w:t>建设项目技术资料</w:t>
      </w:r>
      <w:r>
        <w:tab/>
      </w:r>
      <w:r>
        <w:fldChar w:fldCharType="begin"/>
      </w:r>
      <w:r>
        <w:instrText xml:space="preserve"> PAGEREF _Toc2929 \h </w:instrText>
      </w:r>
      <w:r>
        <w:fldChar w:fldCharType="separate"/>
      </w:r>
      <w:r>
        <w:t>- 6 -</w:t>
      </w:r>
      <w:r>
        <w:fldChar w:fldCharType="end"/>
      </w:r>
      <w:r>
        <w:rPr>
          <w:rFonts w:hint="eastAsia" w:ascii="宋体" w:hAnsi="宋体" w:eastAsia="宋体" w:cs="宋体"/>
          <w:color w:val="auto"/>
          <w:szCs w:val="28"/>
        </w:rPr>
        <w:fldChar w:fldCharType="end"/>
      </w:r>
    </w:p>
    <w:p w14:paraId="685ADB9F">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_Toc31118 </w:instrText>
      </w:r>
      <w:r>
        <w:rPr>
          <w:rFonts w:hint="eastAsia" w:ascii="宋体" w:hAnsi="宋体" w:eastAsia="宋体" w:cs="宋体"/>
          <w:szCs w:val="28"/>
        </w:rPr>
        <w:fldChar w:fldCharType="separate"/>
      </w:r>
      <w:r>
        <w:rPr>
          <w:rFonts w:hint="eastAsia" w:ascii="宋体" w:hAnsi="宋体" w:eastAsia="宋体" w:cs="宋体"/>
        </w:rPr>
        <w:t xml:space="preserve">1.2.7 </w:t>
      </w:r>
      <w:r>
        <w:rPr>
          <w:rFonts w:hint="eastAsia"/>
        </w:rPr>
        <w:t>其他评价依据</w:t>
      </w:r>
      <w:r>
        <w:tab/>
      </w:r>
      <w:r>
        <w:fldChar w:fldCharType="begin"/>
      </w:r>
      <w:r>
        <w:instrText xml:space="preserve"> PAGEREF _Toc31118 \h </w:instrText>
      </w:r>
      <w:r>
        <w:fldChar w:fldCharType="separate"/>
      </w:r>
      <w:r>
        <w:t>- 6 -</w:t>
      </w:r>
      <w:r>
        <w:fldChar w:fldCharType="end"/>
      </w:r>
      <w:r>
        <w:rPr>
          <w:rFonts w:hint="eastAsia" w:ascii="宋体" w:hAnsi="宋体" w:eastAsia="宋体" w:cs="宋体"/>
          <w:color w:val="auto"/>
          <w:szCs w:val="28"/>
        </w:rPr>
        <w:fldChar w:fldCharType="end"/>
      </w:r>
    </w:p>
    <w:p w14:paraId="39846D5B">
      <w:pPr>
        <w:pStyle w:val="24"/>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_Toc29516 </w:instrText>
      </w:r>
      <w:r>
        <w:rPr>
          <w:rFonts w:hint="eastAsia" w:ascii="宋体" w:hAnsi="宋体" w:eastAsia="宋体" w:cs="宋体"/>
          <w:szCs w:val="28"/>
        </w:rPr>
        <w:fldChar w:fldCharType="separate"/>
      </w:r>
      <w:r>
        <w:rPr>
          <w:rFonts w:hint="eastAsia"/>
        </w:rPr>
        <w:t xml:space="preserve">1.3. </w:t>
      </w:r>
      <w:r>
        <w:t>评价目的和内容</w:t>
      </w:r>
      <w:r>
        <w:tab/>
      </w:r>
      <w:r>
        <w:fldChar w:fldCharType="begin"/>
      </w:r>
      <w:r>
        <w:instrText xml:space="preserve"> PAGEREF _Toc29516 \h </w:instrText>
      </w:r>
      <w:r>
        <w:fldChar w:fldCharType="separate"/>
      </w:r>
      <w:r>
        <w:t>- 6 -</w:t>
      </w:r>
      <w:r>
        <w:fldChar w:fldCharType="end"/>
      </w:r>
      <w:r>
        <w:rPr>
          <w:rFonts w:hint="eastAsia" w:ascii="宋体" w:hAnsi="宋体" w:eastAsia="宋体" w:cs="宋体"/>
          <w:color w:val="auto"/>
          <w:szCs w:val="28"/>
        </w:rPr>
        <w:fldChar w:fldCharType="end"/>
      </w:r>
    </w:p>
    <w:p w14:paraId="461AE8D9">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_Toc4547 </w:instrText>
      </w:r>
      <w:r>
        <w:rPr>
          <w:rFonts w:hint="eastAsia" w:ascii="宋体" w:hAnsi="宋体" w:eastAsia="宋体" w:cs="宋体"/>
          <w:szCs w:val="28"/>
        </w:rPr>
        <w:fldChar w:fldCharType="separate"/>
      </w:r>
      <w:r>
        <w:rPr>
          <w:rFonts w:hint="eastAsia" w:ascii="宋体" w:hAnsi="宋体" w:eastAsia="宋体" w:cs="宋体"/>
        </w:rPr>
        <w:t xml:space="preserve">1.3.1 </w:t>
      </w:r>
      <w:r>
        <w:t>评价目的</w:t>
      </w:r>
      <w:r>
        <w:tab/>
      </w:r>
      <w:r>
        <w:fldChar w:fldCharType="begin"/>
      </w:r>
      <w:r>
        <w:instrText xml:space="preserve"> PAGEREF _Toc4547 \h </w:instrText>
      </w:r>
      <w:r>
        <w:fldChar w:fldCharType="separate"/>
      </w:r>
      <w:r>
        <w:t>- 6 -</w:t>
      </w:r>
      <w:r>
        <w:fldChar w:fldCharType="end"/>
      </w:r>
      <w:r>
        <w:rPr>
          <w:rFonts w:hint="eastAsia" w:ascii="宋体" w:hAnsi="宋体" w:eastAsia="宋体" w:cs="宋体"/>
          <w:color w:val="auto"/>
          <w:szCs w:val="28"/>
        </w:rPr>
        <w:fldChar w:fldCharType="end"/>
      </w:r>
    </w:p>
    <w:p w14:paraId="2C4578AB">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_Toc19325 </w:instrText>
      </w:r>
      <w:r>
        <w:rPr>
          <w:rFonts w:hint="eastAsia" w:ascii="宋体" w:hAnsi="宋体" w:eastAsia="宋体" w:cs="宋体"/>
          <w:szCs w:val="28"/>
        </w:rPr>
        <w:fldChar w:fldCharType="separate"/>
      </w:r>
      <w:r>
        <w:rPr>
          <w:rFonts w:hint="eastAsia" w:ascii="宋体" w:hAnsi="宋体" w:eastAsia="宋体" w:cs="宋体"/>
        </w:rPr>
        <w:t xml:space="preserve">1.3.2 </w:t>
      </w:r>
      <w:r>
        <w:t>评价内容</w:t>
      </w:r>
      <w:r>
        <w:tab/>
      </w:r>
      <w:r>
        <w:fldChar w:fldCharType="begin"/>
      </w:r>
      <w:r>
        <w:instrText xml:space="preserve"> PAGEREF _Toc19325 \h </w:instrText>
      </w:r>
      <w:r>
        <w:fldChar w:fldCharType="separate"/>
      </w:r>
      <w:r>
        <w:t>- 7 -</w:t>
      </w:r>
      <w:r>
        <w:fldChar w:fldCharType="end"/>
      </w:r>
      <w:r>
        <w:rPr>
          <w:rFonts w:hint="eastAsia" w:ascii="宋体" w:hAnsi="宋体" w:eastAsia="宋体" w:cs="宋体"/>
          <w:color w:val="auto"/>
          <w:szCs w:val="28"/>
        </w:rPr>
        <w:fldChar w:fldCharType="end"/>
      </w:r>
    </w:p>
    <w:p w14:paraId="75E5D410">
      <w:pPr>
        <w:pStyle w:val="24"/>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_Toc30306 </w:instrText>
      </w:r>
      <w:r>
        <w:rPr>
          <w:rFonts w:hint="eastAsia" w:ascii="宋体" w:hAnsi="宋体" w:eastAsia="宋体" w:cs="宋体"/>
          <w:szCs w:val="28"/>
        </w:rPr>
        <w:fldChar w:fldCharType="separate"/>
      </w:r>
      <w:r>
        <w:rPr>
          <w:rFonts w:hint="eastAsia"/>
        </w:rPr>
        <w:t>1.4. 评价原则</w:t>
      </w:r>
      <w:r>
        <w:tab/>
      </w:r>
      <w:r>
        <w:fldChar w:fldCharType="begin"/>
      </w:r>
      <w:r>
        <w:instrText xml:space="preserve"> PAGEREF _Toc30306 \h </w:instrText>
      </w:r>
      <w:r>
        <w:fldChar w:fldCharType="separate"/>
      </w:r>
      <w:r>
        <w:t>- 7 -</w:t>
      </w:r>
      <w:r>
        <w:fldChar w:fldCharType="end"/>
      </w:r>
      <w:r>
        <w:rPr>
          <w:rFonts w:hint="eastAsia" w:ascii="宋体" w:hAnsi="宋体" w:eastAsia="宋体" w:cs="宋体"/>
          <w:color w:val="auto"/>
          <w:szCs w:val="28"/>
        </w:rPr>
        <w:fldChar w:fldCharType="end"/>
      </w:r>
    </w:p>
    <w:p w14:paraId="4C396055">
      <w:pPr>
        <w:pStyle w:val="24"/>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_Toc26409 </w:instrText>
      </w:r>
      <w:r>
        <w:rPr>
          <w:rFonts w:hint="eastAsia" w:ascii="宋体" w:hAnsi="宋体" w:eastAsia="宋体" w:cs="宋体"/>
          <w:szCs w:val="28"/>
        </w:rPr>
        <w:fldChar w:fldCharType="separate"/>
      </w:r>
      <w:r>
        <w:rPr>
          <w:rFonts w:hint="eastAsia"/>
        </w:rPr>
        <w:t>1.5. 评价程序</w:t>
      </w:r>
      <w:r>
        <w:tab/>
      </w:r>
      <w:r>
        <w:fldChar w:fldCharType="begin"/>
      </w:r>
      <w:r>
        <w:instrText xml:space="preserve"> PAGEREF _Toc26409 \h </w:instrText>
      </w:r>
      <w:r>
        <w:fldChar w:fldCharType="separate"/>
      </w:r>
      <w:r>
        <w:t>- 7 -</w:t>
      </w:r>
      <w:r>
        <w:fldChar w:fldCharType="end"/>
      </w:r>
      <w:r>
        <w:rPr>
          <w:rFonts w:hint="eastAsia" w:ascii="宋体" w:hAnsi="宋体" w:eastAsia="宋体" w:cs="宋体"/>
          <w:color w:val="auto"/>
          <w:szCs w:val="28"/>
        </w:rPr>
        <w:fldChar w:fldCharType="end"/>
      </w:r>
    </w:p>
    <w:p w14:paraId="07151BD1">
      <w:pPr>
        <w:pStyle w:val="24"/>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_Toc4956 </w:instrText>
      </w:r>
      <w:r>
        <w:rPr>
          <w:rFonts w:hint="eastAsia" w:ascii="宋体" w:hAnsi="宋体" w:eastAsia="宋体" w:cs="宋体"/>
          <w:szCs w:val="28"/>
        </w:rPr>
        <w:fldChar w:fldCharType="separate"/>
      </w:r>
      <w:r>
        <w:rPr>
          <w:rFonts w:hint="eastAsia"/>
        </w:rPr>
        <w:t>1.6. 评价基准日</w:t>
      </w:r>
      <w:r>
        <w:tab/>
      </w:r>
      <w:r>
        <w:fldChar w:fldCharType="begin"/>
      </w:r>
      <w:r>
        <w:instrText xml:space="preserve"> PAGEREF _Toc4956 \h </w:instrText>
      </w:r>
      <w:r>
        <w:fldChar w:fldCharType="separate"/>
      </w:r>
      <w:r>
        <w:t>- 10 -</w:t>
      </w:r>
      <w:r>
        <w:fldChar w:fldCharType="end"/>
      </w:r>
      <w:r>
        <w:rPr>
          <w:rFonts w:hint="eastAsia" w:ascii="宋体" w:hAnsi="宋体" w:eastAsia="宋体" w:cs="宋体"/>
          <w:color w:val="auto"/>
          <w:szCs w:val="28"/>
        </w:rPr>
        <w:fldChar w:fldCharType="end"/>
      </w:r>
    </w:p>
    <w:p w14:paraId="722A4C30">
      <w:pPr>
        <w:pStyle w:val="22"/>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_Toc23131 </w:instrText>
      </w:r>
      <w:r>
        <w:rPr>
          <w:rFonts w:hint="eastAsia" w:ascii="宋体" w:hAnsi="宋体" w:eastAsia="宋体" w:cs="宋体"/>
          <w:szCs w:val="28"/>
        </w:rPr>
        <w:fldChar w:fldCharType="separate"/>
      </w:r>
      <w:r>
        <w:rPr>
          <w:rFonts w:hint="default"/>
        </w:rPr>
        <w:t xml:space="preserve">第2章 </w:t>
      </w:r>
      <w:r>
        <w:t>建设项目概述</w:t>
      </w:r>
      <w:r>
        <w:tab/>
      </w:r>
      <w:r>
        <w:fldChar w:fldCharType="begin"/>
      </w:r>
      <w:r>
        <w:instrText xml:space="preserve"> PAGEREF _Toc23131 \h </w:instrText>
      </w:r>
      <w:r>
        <w:fldChar w:fldCharType="separate"/>
      </w:r>
      <w:r>
        <w:t>- 11 -</w:t>
      </w:r>
      <w:r>
        <w:fldChar w:fldCharType="end"/>
      </w:r>
      <w:r>
        <w:rPr>
          <w:rFonts w:hint="eastAsia" w:ascii="宋体" w:hAnsi="宋体" w:eastAsia="宋体" w:cs="宋体"/>
          <w:color w:val="auto"/>
          <w:szCs w:val="28"/>
        </w:rPr>
        <w:fldChar w:fldCharType="end"/>
      </w:r>
    </w:p>
    <w:p w14:paraId="5F3906B2">
      <w:pPr>
        <w:pStyle w:val="24"/>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_Toc3334 </w:instrText>
      </w:r>
      <w:r>
        <w:rPr>
          <w:rFonts w:hint="eastAsia" w:ascii="宋体" w:hAnsi="宋体" w:eastAsia="宋体" w:cs="宋体"/>
          <w:szCs w:val="28"/>
        </w:rPr>
        <w:fldChar w:fldCharType="separate"/>
      </w:r>
      <w:r>
        <w:rPr>
          <w:rFonts w:hint="eastAsia"/>
        </w:rPr>
        <w:t xml:space="preserve">2.1. </w:t>
      </w:r>
      <w:r>
        <w:t>建设单位概况</w:t>
      </w:r>
      <w:r>
        <w:tab/>
      </w:r>
      <w:r>
        <w:fldChar w:fldCharType="begin"/>
      </w:r>
      <w:r>
        <w:instrText xml:space="preserve"> PAGEREF _Toc3334 \h </w:instrText>
      </w:r>
      <w:r>
        <w:fldChar w:fldCharType="separate"/>
      </w:r>
      <w:r>
        <w:t>- 11 -</w:t>
      </w:r>
      <w:r>
        <w:fldChar w:fldCharType="end"/>
      </w:r>
      <w:r>
        <w:rPr>
          <w:rFonts w:hint="eastAsia" w:ascii="宋体" w:hAnsi="宋体" w:eastAsia="宋体" w:cs="宋体"/>
          <w:color w:val="auto"/>
          <w:szCs w:val="28"/>
        </w:rPr>
        <w:fldChar w:fldCharType="end"/>
      </w:r>
    </w:p>
    <w:p w14:paraId="7C278E25">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_Toc24252 </w:instrText>
      </w:r>
      <w:r>
        <w:rPr>
          <w:rFonts w:hint="eastAsia" w:ascii="宋体" w:hAnsi="宋体" w:eastAsia="宋体" w:cs="宋体"/>
          <w:szCs w:val="28"/>
        </w:rPr>
        <w:fldChar w:fldCharType="separate"/>
      </w:r>
      <w:r>
        <w:rPr>
          <w:rFonts w:hint="eastAsia" w:ascii="宋体" w:hAnsi="宋体" w:eastAsia="宋体" w:cs="宋体"/>
          <w:lang w:val="zh-CN"/>
        </w:rPr>
        <w:t xml:space="preserve">2.1.1 </w:t>
      </w:r>
      <w:r>
        <w:t>企业简介</w:t>
      </w:r>
      <w:r>
        <w:tab/>
      </w:r>
      <w:r>
        <w:fldChar w:fldCharType="begin"/>
      </w:r>
      <w:r>
        <w:instrText xml:space="preserve"> PAGEREF _Toc24252 \h </w:instrText>
      </w:r>
      <w:r>
        <w:fldChar w:fldCharType="separate"/>
      </w:r>
      <w:r>
        <w:t>- 11 -</w:t>
      </w:r>
      <w:r>
        <w:fldChar w:fldCharType="end"/>
      </w:r>
      <w:r>
        <w:rPr>
          <w:rFonts w:hint="eastAsia" w:ascii="宋体" w:hAnsi="宋体" w:eastAsia="宋体" w:cs="宋体"/>
          <w:color w:val="auto"/>
          <w:szCs w:val="28"/>
        </w:rPr>
        <w:fldChar w:fldCharType="end"/>
      </w:r>
    </w:p>
    <w:p w14:paraId="1B43BF2F">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_Toc27240 </w:instrText>
      </w:r>
      <w:r>
        <w:rPr>
          <w:rFonts w:hint="eastAsia" w:ascii="宋体" w:hAnsi="宋体" w:eastAsia="宋体" w:cs="宋体"/>
          <w:szCs w:val="28"/>
        </w:rPr>
        <w:fldChar w:fldCharType="separate"/>
      </w:r>
      <w:r>
        <w:rPr>
          <w:rFonts w:hint="eastAsia" w:ascii="宋体" w:hAnsi="宋体" w:eastAsia="宋体" w:cs="宋体"/>
          <w:lang w:val="en-US" w:eastAsia="zh-CN"/>
        </w:rPr>
        <w:t xml:space="preserve">2.1.2 </w:t>
      </w:r>
      <w:r>
        <w:rPr>
          <w:rFonts w:hint="eastAsia"/>
        </w:rPr>
        <w:t>矿山历史沿革</w:t>
      </w:r>
      <w:r>
        <w:tab/>
      </w:r>
      <w:r>
        <w:fldChar w:fldCharType="begin"/>
      </w:r>
      <w:r>
        <w:instrText xml:space="preserve"> PAGEREF _Toc27240 \h </w:instrText>
      </w:r>
      <w:r>
        <w:fldChar w:fldCharType="separate"/>
      </w:r>
      <w:r>
        <w:t>- 11 -</w:t>
      </w:r>
      <w:r>
        <w:fldChar w:fldCharType="end"/>
      </w:r>
      <w:r>
        <w:rPr>
          <w:rFonts w:hint="eastAsia" w:ascii="宋体" w:hAnsi="宋体" w:eastAsia="宋体" w:cs="宋体"/>
          <w:color w:val="auto"/>
          <w:szCs w:val="28"/>
        </w:rPr>
        <w:fldChar w:fldCharType="end"/>
      </w:r>
    </w:p>
    <w:p w14:paraId="406B9932">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_Toc19248 </w:instrText>
      </w:r>
      <w:r>
        <w:rPr>
          <w:rFonts w:hint="eastAsia" w:ascii="宋体" w:hAnsi="宋体" w:eastAsia="宋体" w:cs="宋体"/>
          <w:szCs w:val="28"/>
        </w:rPr>
        <w:fldChar w:fldCharType="separate"/>
      </w:r>
      <w:r>
        <w:rPr>
          <w:rFonts w:hint="eastAsia" w:ascii="宋体" w:hAnsi="宋体" w:eastAsia="宋体" w:cs="宋体"/>
        </w:rPr>
        <w:t xml:space="preserve">2.1.3 </w:t>
      </w:r>
      <w:r>
        <w:t>建设项目地理位置及交通</w:t>
      </w:r>
      <w:r>
        <w:tab/>
      </w:r>
      <w:r>
        <w:fldChar w:fldCharType="begin"/>
      </w:r>
      <w:r>
        <w:instrText xml:space="preserve"> PAGEREF _Toc19248 \h </w:instrText>
      </w:r>
      <w:r>
        <w:fldChar w:fldCharType="separate"/>
      </w:r>
      <w:r>
        <w:t>- 14 -</w:t>
      </w:r>
      <w:r>
        <w:fldChar w:fldCharType="end"/>
      </w:r>
      <w:r>
        <w:rPr>
          <w:rFonts w:hint="eastAsia" w:ascii="宋体" w:hAnsi="宋体" w:eastAsia="宋体" w:cs="宋体"/>
          <w:color w:val="auto"/>
          <w:szCs w:val="28"/>
        </w:rPr>
        <w:fldChar w:fldCharType="end"/>
      </w:r>
    </w:p>
    <w:p w14:paraId="35EFD5A8">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_Toc19168 </w:instrText>
      </w:r>
      <w:r>
        <w:rPr>
          <w:rFonts w:hint="eastAsia" w:ascii="宋体" w:hAnsi="宋体" w:eastAsia="宋体" w:cs="宋体"/>
          <w:szCs w:val="28"/>
        </w:rPr>
        <w:fldChar w:fldCharType="separate"/>
      </w:r>
      <w:r>
        <w:rPr>
          <w:rFonts w:hint="eastAsia" w:ascii="宋体" w:hAnsi="宋体" w:eastAsia="宋体" w:cs="宋体"/>
        </w:rPr>
        <w:t xml:space="preserve">2.1.4 </w:t>
      </w:r>
      <w:r>
        <w:rPr>
          <w:rFonts w:hint="eastAsia"/>
          <w:lang w:val="en-US" w:eastAsia="zh-CN"/>
        </w:rPr>
        <w:t>矿</w:t>
      </w:r>
      <w:r>
        <w:t>区周边环境</w:t>
      </w:r>
      <w:r>
        <w:tab/>
      </w:r>
      <w:r>
        <w:fldChar w:fldCharType="begin"/>
      </w:r>
      <w:r>
        <w:instrText xml:space="preserve"> PAGEREF _Toc19168 \h </w:instrText>
      </w:r>
      <w:r>
        <w:fldChar w:fldCharType="separate"/>
      </w:r>
      <w:r>
        <w:t>- 15 -</w:t>
      </w:r>
      <w:r>
        <w:fldChar w:fldCharType="end"/>
      </w:r>
      <w:r>
        <w:rPr>
          <w:rFonts w:hint="eastAsia" w:ascii="宋体" w:hAnsi="宋体" w:eastAsia="宋体" w:cs="宋体"/>
          <w:color w:val="auto"/>
          <w:szCs w:val="28"/>
        </w:rPr>
        <w:fldChar w:fldCharType="end"/>
      </w:r>
    </w:p>
    <w:p w14:paraId="0EC74069">
      <w:pPr>
        <w:pStyle w:val="24"/>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_Toc7522 </w:instrText>
      </w:r>
      <w:r>
        <w:rPr>
          <w:rFonts w:hint="eastAsia" w:ascii="宋体" w:hAnsi="宋体" w:eastAsia="宋体" w:cs="宋体"/>
          <w:szCs w:val="28"/>
        </w:rPr>
        <w:fldChar w:fldCharType="separate"/>
      </w:r>
      <w:r>
        <w:rPr>
          <w:rFonts w:hint="eastAsia"/>
        </w:rPr>
        <w:t>2.2. 自然环境概况</w:t>
      </w:r>
      <w:r>
        <w:tab/>
      </w:r>
      <w:r>
        <w:fldChar w:fldCharType="begin"/>
      </w:r>
      <w:r>
        <w:instrText xml:space="preserve"> PAGEREF _Toc7522 \h </w:instrText>
      </w:r>
      <w:r>
        <w:fldChar w:fldCharType="separate"/>
      </w:r>
      <w:r>
        <w:t>- 17 -</w:t>
      </w:r>
      <w:r>
        <w:fldChar w:fldCharType="end"/>
      </w:r>
      <w:r>
        <w:rPr>
          <w:rFonts w:hint="eastAsia" w:ascii="宋体" w:hAnsi="宋体" w:eastAsia="宋体" w:cs="宋体"/>
          <w:color w:val="auto"/>
          <w:szCs w:val="28"/>
        </w:rPr>
        <w:fldChar w:fldCharType="end"/>
      </w:r>
    </w:p>
    <w:p w14:paraId="2CD88B5D">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_Toc18968 </w:instrText>
      </w:r>
      <w:r>
        <w:rPr>
          <w:rFonts w:hint="eastAsia" w:ascii="宋体" w:hAnsi="宋体" w:eastAsia="宋体" w:cs="宋体"/>
          <w:szCs w:val="28"/>
        </w:rPr>
        <w:fldChar w:fldCharType="separate"/>
      </w:r>
      <w:r>
        <w:rPr>
          <w:rFonts w:hint="eastAsia" w:ascii="宋体" w:hAnsi="宋体" w:eastAsia="宋体" w:cs="宋体"/>
        </w:rPr>
        <w:t xml:space="preserve">2.2.1 </w:t>
      </w:r>
      <w:r>
        <w:t>地形地貌</w:t>
      </w:r>
      <w:r>
        <w:tab/>
      </w:r>
      <w:r>
        <w:fldChar w:fldCharType="begin"/>
      </w:r>
      <w:r>
        <w:instrText xml:space="preserve"> PAGEREF _Toc18968 \h </w:instrText>
      </w:r>
      <w:r>
        <w:fldChar w:fldCharType="separate"/>
      </w:r>
      <w:r>
        <w:t>- 17 -</w:t>
      </w:r>
      <w:r>
        <w:fldChar w:fldCharType="end"/>
      </w:r>
      <w:r>
        <w:rPr>
          <w:rFonts w:hint="eastAsia" w:ascii="宋体" w:hAnsi="宋体" w:eastAsia="宋体" w:cs="宋体"/>
          <w:color w:val="auto"/>
          <w:szCs w:val="28"/>
        </w:rPr>
        <w:fldChar w:fldCharType="end"/>
      </w:r>
    </w:p>
    <w:p w14:paraId="4855FDB2">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_Toc19572 </w:instrText>
      </w:r>
      <w:r>
        <w:rPr>
          <w:rFonts w:hint="eastAsia" w:ascii="宋体" w:hAnsi="宋体" w:eastAsia="宋体" w:cs="宋体"/>
          <w:szCs w:val="28"/>
        </w:rPr>
        <w:fldChar w:fldCharType="separate"/>
      </w:r>
      <w:r>
        <w:rPr>
          <w:rFonts w:hint="eastAsia" w:ascii="宋体" w:hAnsi="宋体" w:eastAsia="宋体" w:cs="宋体"/>
        </w:rPr>
        <w:t xml:space="preserve">2.2.2 </w:t>
      </w:r>
      <w:r>
        <w:rPr>
          <w:rFonts w:hint="eastAsia"/>
        </w:rPr>
        <w:t>矿区气候</w:t>
      </w:r>
      <w:r>
        <w:tab/>
      </w:r>
      <w:r>
        <w:fldChar w:fldCharType="begin"/>
      </w:r>
      <w:r>
        <w:instrText xml:space="preserve"> PAGEREF _Toc19572 \h </w:instrText>
      </w:r>
      <w:r>
        <w:fldChar w:fldCharType="separate"/>
      </w:r>
      <w:r>
        <w:t>- 17 -</w:t>
      </w:r>
      <w:r>
        <w:fldChar w:fldCharType="end"/>
      </w:r>
      <w:r>
        <w:rPr>
          <w:rFonts w:hint="eastAsia" w:ascii="宋体" w:hAnsi="宋体" w:eastAsia="宋体" w:cs="宋体"/>
          <w:color w:val="auto"/>
          <w:szCs w:val="28"/>
        </w:rPr>
        <w:fldChar w:fldCharType="end"/>
      </w:r>
    </w:p>
    <w:p w14:paraId="4FA1CAEC">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_Toc3161 </w:instrText>
      </w:r>
      <w:r>
        <w:rPr>
          <w:rFonts w:hint="eastAsia" w:ascii="宋体" w:hAnsi="宋体" w:eastAsia="宋体" w:cs="宋体"/>
          <w:szCs w:val="28"/>
        </w:rPr>
        <w:fldChar w:fldCharType="separate"/>
      </w:r>
      <w:r>
        <w:rPr>
          <w:rFonts w:hint="eastAsia" w:ascii="宋体" w:hAnsi="宋体" w:eastAsia="宋体" w:cs="宋体"/>
        </w:rPr>
        <w:t xml:space="preserve">2.2.3 </w:t>
      </w:r>
      <w:r>
        <w:rPr>
          <w:rFonts w:hint="eastAsia"/>
        </w:rPr>
        <w:t>地震烈度</w:t>
      </w:r>
      <w:r>
        <w:tab/>
      </w:r>
      <w:r>
        <w:fldChar w:fldCharType="begin"/>
      </w:r>
      <w:r>
        <w:instrText xml:space="preserve"> PAGEREF _Toc3161 \h </w:instrText>
      </w:r>
      <w:r>
        <w:fldChar w:fldCharType="separate"/>
      </w:r>
      <w:r>
        <w:t>- 18 -</w:t>
      </w:r>
      <w:r>
        <w:fldChar w:fldCharType="end"/>
      </w:r>
      <w:r>
        <w:rPr>
          <w:rFonts w:hint="eastAsia" w:ascii="宋体" w:hAnsi="宋体" w:eastAsia="宋体" w:cs="宋体"/>
          <w:color w:val="auto"/>
          <w:szCs w:val="28"/>
        </w:rPr>
        <w:fldChar w:fldCharType="end"/>
      </w:r>
    </w:p>
    <w:p w14:paraId="6D7AC5EF">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_Toc5746 </w:instrText>
      </w:r>
      <w:r>
        <w:rPr>
          <w:rFonts w:hint="eastAsia" w:ascii="宋体" w:hAnsi="宋体" w:eastAsia="宋体" w:cs="宋体"/>
          <w:szCs w:val="28"/>
        </w:rPr>
        <w:fldChar w:fldCharType="separate"/>
      </w:r>
      <w:r>
        <w:rPr>
          <w:rFonts w:hint="eastAsia" w:ascii="宋体" w:hAnsi="宋体" w:eastAsia="宋体" w:cs="宋体"/>
          <w:lang w:val="en-US" w:eastAsia="zh-CN"/>
        </w:rPr>
        <w:t xml:space="preserve">2.2.4 </w:t>
      </w:r>
      <w:r>
        <w:rPr>
          <w:rFonts w:hint="eastAsia"/>
          <w:lang w:val="en-US" w:eastAsia="zh-CN"/>
        </w:rPr>
        <w:t>经济概况</w:t>
      </w:r>
      <w:r>
        <w:tab/>
      </w:r>
      <w:r>
        <w:fldChar w:fldCharType="begin"/>
      </w:r>
      <w:r>
        <w:instrText xml:space="preserve"> PAGEREF _Toc5746 \h </w:instrText>
      </w:r>
      <w:r>
        <w:fldChar w:fldCharType="separate"/>
      </w:r>
      <w:r>
        <w:t>- 18 -</w:t>
      </w:r>
      <w:r>
        <w:fldChar w:fldCharType="end"/>
      </w:r>
      <w:r>
        <w:rPr>
          <w:rFonts w:hint="eastAsia" w:ascii="宋体" w:hAnsi="宋体" w:eastAsia="宋体" w:cs="宋体"/>
          <w:color w:val="auto"/>
          <w:szCs w:val="28"/>
        </w:rPr>
        <w:fldChar w:fldCharType="end"/>
      </w:r>
    </w:p>
    <w:p w14:paraId="489F4B77">
      <w:pPr>
        <w:pStyle w:val="24"/>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_Toc32445 </w:instrText>
      </w:r>
      <w:r>
        <w:rPr>
          <w:rFonts w:hint="eastAsia" w:ascii="宋体" w:hAnsi="宋体" w:eastAsia="宋体" w:cs="宋体"/>
          <w:szCs w:val="28"/>
        </w:rPr>
        <w:fldChar w:fldCharType="separate"/>
      </w:r>
      <w:r>
        <w:rPr>
          <w:rFonts w:hint="eastAsia"/>
        </w:rPr>
        <w:t xml:space="preserve">2.3. </w:t>
      </w:r>
      <w:r>
        <w:t>建设项目地质概况</w:t>
      </w:r>
      <w:r>
        <w:tab/>
      </w:r>
      <w:r>
        <w:fldChar w:fldCharType="begin"/>
      </w:r>
      <w:r>
        <w:instrText xml:space="preserve"> PAGEREF _Toc32445 \h </w:instrText>
      </w:r>
      <w:r>
        <w:fldChar w:fldCharType="separate"/>
      </w:r>
      <w:r>
        <w:t>- 19 -</w:t>
      </w:r>
      <w:r>
        <w:fldChar w:fldCharType="end"/>
      </w:r>
      <w:r>
        <w:rPr>
          <w:rFonts w:hint="eastAsia" w:ascii="宋体" w:hAnsi="宋体" w:eastAsia="宋体" w:cs="宋体"/>
          <w:color w:val="auto"/>
          <w:szCs w:val="28"/>
        </w:rPr>
        <w:fldChar w:fldCharType="end"/>
      </w:r>
    </w:p>
    <w:p w14:paraId="1481BA9B">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_Toc17989 </w:instrText>
      </w:r>
      <w:r>
        <w:rPr>
          <w:rFonts w:hint="eastAsia" w:ascii="宋体" w:hAnsi="宋体" w:eastAsia="宋体" w:cs="宋体"/>
          <w:szCs w:val="28"/>
        </w:rPr>
        <w:fldChar w:fldCharType="separate"/>
      </w:r>
      <w:r>
        <w:rPr>
          <w:rFonts w:hint="eastAsia" w:ascii="宋体" w:hAnsi="宋体" w:eastAsia="宋体" w:cs="宋体"/>
        </w:rPr>
        <w:t xml:space="preserve">2.3.1 </w:t>
      </w:r>
      <w:r>
        <w:t>矿区地质概况</w:t>
      </w:r>
      <w:r>
        <w:tab/>
      </w:r>
      <w:r>
        <w:fldChar w:fldCharType="begin"/>
      </w:r>
      <w:r>
        <w:instrText xml:space="preserve"> PAGEREF _Toc17989 \h </w:instrText>
      </w:r>
      <w:r>
        <w:fldChar w:fldCharType="separate"/>
      </w:r>
      <w:r>
        <w:t>- 19 -</w:t>
      </w:r>
      <w:r>
        <w:fldChar w:fldCharType="end"/>
      </w:r>
      <w:r>
        <w:rPr>
          <w:rFonts w:hint="eastAsia" w:ascii="宋体" w:hAnsi="宋体" w:eastAsia="宋体" w:cs="宋体"/>
          <w:color w:val="auto"/>
          <w:szCs w:val="28"/>
        </w:rPr>
        <w:fldChar w:fldCharType="end"/>
      </w:r>
    </w:p>
    <w:p w14:paraId="472DAF32">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_Toc29152 </w:instrText>
      </w:r>
      <w:r>
        <w:rPr>
          <w:rFonts w:hint="eastAsia" w:ascii="宋体" w:hAnsi="宋体" w:eastAsia="宋体" w:cs="宋体"/>
          <w:szCs w:val="28"/>
        </w:rPr>
        <w:fldChar w:fldCharType="separate"/>
      </w:r>
      <w:r>
        <w:rPr>
          <w:rFonts w:hint="eastAsia" w:ascii="宋体" w:hAnsi="宋体" w:eastAsia="宋体" w:cs="宋体"/>
        </w:rPr>
        <w:t xml:space="preserve">2.3.2 </w:t>
      </w:r>
      <w:r>
        <w:t>水文地质概况</w:t>
      </w:r>
      <w:r>
        <w:tab/>
      </w:r>
      <w:r>
        <w:fldChar w:fldCharType="begin"/>
      </w:r>
      <w:r>
        <w:instrText xml:space="preserve"> PAGEREF _Toc29152 \h </w:instrText>
      </w:r>
      <w:r>
        <w:fldChar w:fldCharType="separate"/>
      </w:r>
      <w:r>
        <w:t>- 20 -</w:t>
      </w:r>
      <w:r>
        <w:fldChar w:fldCharType="end"/>
      </w:r>
      <w:r>
        <w:rPr>
          <w:rFonts w:hint="eastAsia" w:ascii="宋体" w:hAnsi="宋体" w:eastAsia="宋体" w:cs="宋体"/>
          <w:color w:val="auto"/>
          <w:szCs w:val="28"/>
        </w:rPr>
        <w:fldChar w:fldCharType="end"/>
      </w:r>
    </w:p>
    <w:p w14:paraId="4E3A6570">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_Toc7723 </w:instrText>
      </w:r>
      <w:r>
        <w:rPr>
          <w:rFonts w:hint="eastAsia" w:ascii="宋体" w:hAnsi="宋体" w:eastAsia="宋体" w:cs="宋体"/>
          <w:szCs w:val="28"/>
        </w:rPr>
        <w:fldChar w:fldCharType="separate"/>
      </w:r>
      <w:r>
        <w:rPr>
          <w:rFonts w:hint="eastAsia" w:ascii="宋体" w:hAnsi="宋体" w:eastAsia="宋体" w:cs="宋体"/>
        </w:rPr>
        <w:t xml:space="preserve">2.3.3 </w:t>
      </w:r>
      <w:r>
        <w:t>工程地质概况</w:t>
      </w:r>
      <w:r>
        <w:tab/>
      </w:r>
      <w:r>
        <w:fldChar w:fldCharType="begin"/>
      </w:r>
      <w:r>
        <w:instrText xml:space="preserve"> PAGEREF _Toc7723 \h </w:instrText>
      </w:r>
      <w:r>
        <w:fldChar w:fldCharType="separate"/>
      </w:r>
      <w:r>
        <w:t>- 21 -</w:t>
      </w:r>
      <w:r>
        <w:fldChar w:fldCharType="end"/>
      </w:r>
      <w:r>
        <w:rPr>
          <w:rFonts w:hint="eastAsia" w:ascii="宋体" w:hAnsi="宋体" w:eastAsia="宋体" w:cs="宋体"/>
          <w:color w:val="auto"/>
          <w:szCs w:val="28"/>
        </w:rPr>
        <w:fldChar w:fldCharType="end"/>
      </w:r>
    </w:p>
    <w:p w14:paraId="04F07A0E">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_Toc10985 </w:instrText>
      </w:r>
      <w:r>
        <w:rPr>
          <w:rFonts w:hint="eastAsia" w:ascii="宋体" w:hAnsi="宋体" w:eastAsia="宋体" w:cs="宋体"/>
          <w:szCs w:val="28"/>
        </w:rPr>
        <w:fldChar w:fldCharType="separate"/>
      </w:r>
      <w:r>
        <w:rPr>
          <w:rFonts w:hint="eastAsia" w:ascii="宋体" w:hAnsi="宋体" w:eastAsia="宋体" w:cs="宋体"/>
          <w:lang w:eastAsia="zh-CN"/>
        </w:rPr>
        <w:t xml:space="preserve">2.3.4 </w:t>
      </w:r>
      <w:r>
        <w:t>矿床地质概况</w:t>
      </w:r>
      <w:r>
        <w:tab/>
      </w:r>
      <w:r>
        <w:fldChar w:fldCharType="begin"/>
      </w:r>
      <w:r>
        <w:instrText xml:space="preserve"> PAGEREF _Toc10985 \h </w:instrText>
      </w:r>
      <w:r>
        <w:fldChar w:fldCharType="separate"/>
      </w:r>
      <w:r>
        <w:t>- 23 -</w:t>
      </w:r>
      <w:r>
        <w:fldChar w:fldCharType="end"/>
      </w:r>
      <w:r>
        <w:rPr>
          <w:rFonts w:hint="eastAsia" w:ascii="宋体" w:hAnsi="宋体" w:eastAsia="宋体" w:cs="宋体"/>
          <w:color w:val="auto"/>
          <w:szCs w:val="28"/>
        </w:rPr>
        <w:fldChar w:fldCharType="end"/>
      </w:r>
    </w:p>
    <w:p w14:paraId="662A18FC">
      <w:pPr>
        <w:pStyle w:val="24"/>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_Toc13057 </w:instrText>
      </w:r>
      <w:r>
        <w:rPr>
          <w:rFonts w:hint="eastAsia" w:ascii="宋体" w:hAnsi="宋体" w:eastAsia="宋体" w:cs="宋体"/>
          <w:szCs w:val="28"/>
        </w:rPr>
        <w:fldChar w:fldCharType="separate"/>
      </w:r>
      <w:r>
        <w:rPr>
          <w:rFonts w:hint="eastAsia"/>
        </w:rPr>
        <w:t xml:space="preserve">2.4. </w:t>
      </w:r>
      <w:r>
        <w:t>工程建设方案概况</w:t>
      </w:r>
      <w:r>
        <w:tab/>
      </w:r>
      <w:r>
        <w:fldChar w:fldCharType="begin"/>
      </w:r>
      <w:r>
        <w:instrText xml:space="preserve"> PAGEREF _Toc13057 \h </w:instrText>
      </w:r>
      <w:r>
        <w:fldChar w:fldCharType="separate"/>
      </w:r>
      <w:r>
        <w:t>- 24 -</w:t>
      </w:r>
      <w:r>
        <w:fldChar w:fldCharType="end"/>
      </w:r>
      <w:r>
        <w:rPr>
          <w:rFonts w:hint="eastAsia" w:ascii="宋体" w:hAnsi="宋体" w:eastAsia="宋体" w:cs="宋体"/>
          <w:color w:val="auto"/>
          <w:szCs w:val="28"/>
        </w:rPr>
        <w:fldChar w:fldCharType="end"/>
      </w:r>
    </w:p>
    <w:p w14:paraId="1D5BA266">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_Toc9777 </w:instrText>
      </w:r>
      <w:r>
        <w:rPr>
          <w:rFonts w:hint="eastAsia" w:ascii="宋体" w:hAnsi="宋体" w:eastAsia="宋体" w:cs="宋体"/>
          <w:szCs w:val="28"/>
        </w:rPr>
        <w:fldChar w:fldCharType="separate"/>
      </w:r>
      <w:r>
        <w:rPr>
          <w:rFonts w:hint="eastAsia" w:ascii="宋体" w:hAnsi="宋体" w:eastAsia="宋体" w:cs="宋体"/>
        </w:rPr>
        <w:t xml:space="preserve">2.4.1 </w:t>
      </w:r>
      <w:r>
        <w:t>矿山开采现状</w:t>
      </w:r>
      <w:r>
        <w:tab/>
      </w:r>
      <w:r>
        <w:fldChar w:fldCharType="begin"/>
      </w:r>
      <w:r>
        <w:instrText xml:space="preserve"> PAGEREF _Toc9777 \h </w:instrText>
      </w:r>
      <w:r>
        <w:fldChar w:fldCharType="separate"/>
      </w:r>
      <w:r>
        <w:t>- 25 -</w:t>
      </w:r>
      <w:r>
        <w:fldChar w:fldCharType="end"/>
      </w:r>
      <w:r>
        <w:rPr>
          <w:rFonts w:hint="eastAsia" w:ascii="宋体" w:hAnsi="宋体" w:eastAsia="宋体" w:cs="宋体"/>
          <w:color w:val="auto"/>
          <w:szCs w:val="28"/>
        </w:rPr>
        <w:fldChar w:fldCharType="end"/>
      </w:r>
    </w:p>
    <w:p w14:paraId="38A9C457">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_Toc9962 </w:instrText>
      </w:r>
      <w:r>
        <w:rPr>
          <w:rFonts w:hint="eastAsia" w:ascii="宋体" w:hAnsi="宋体" w:eastAsia="宋体" w:cs="宋体"/>
          <w:szCs w:val="28"/>
        </w:rPr>
        <w:fldChar w:fldCharType="separate"/>
      </w:r>
      <w:r>
        <w:rPr>
          <w:rFonts w:hint="eastAsia" w:ascii="宋体" w:hAnsi="宋体" w:eastAsia="宋体" w:cs="宋体"/>
        </w:rPr>
        <w:t xml:space="preserve">2.4.2 </w:t>
      </w:r>
      <w:r>
        <w:rPr>
          <w:rFonts w:hint="eastAsia"/>
        </w:rPr>
        <w:t>建设规模及工作制度</w:t>
      </w:r>
      <w:r>
        <w:tab/>
      </w:r>
      <w:r>
        <w:fldChar w:fldCharType="begin"/>
      </w:r>
      <w:r>
        <w:instrText xml:space="preserve"> PAGEREF _Toc9962 \h </w:instrText>
      </w:r>
      <w:r>
        <w:fldChar w:fldCharType="separate"/>
      </w:r>
      <w:r>
        <w:t>- 29 -</w:t>
      </w:r>
      <w:r>
        <w:fldChar w:fldCharType="end"/>
      </w:r>
      <w:r>
        <w:rPr>
          <w:rFonts w:hint="eastAsia" w:ascii="宋体" w:hAnsi="宋体" w:eastAsia="宋体" w:cs="宋体"/>
          <w:color w:val="auto"/>
          <w:szCs w:val="28"/>
        </w:rPr>
        <w:fldChar w:fldCharType="end"/>
      </w:r>
    </w:p>
    <w:p w14:paraId="45B02BD7">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_Toc24529 </w:instrText>
      </w:r>
      <w:r>
        <w:rPr>
          <w:rFonts w:hint="eastAsia" w:ascii="宋体" w:hAnsi="宋体" w:eastAsia="宋体" w:cs="宋体"/>
          <w:szCs w:val="28"/>
        </w:rPr>
        <w:fldChar w:fldCharType="separate"/>
      </w:r>
      <w:r>
        <w:rPr>
          <w:rFonts w:hint="eastAsia" w:ascii="宋体" w:hAnsi="宋体" w:eastAsia="宋体" w:cs="宋体"/>
        </w:rPr>
        <w:t xml:space="preserve">2.4.3 </w:t>
      </w:r>
      <w:r>
        <w:rPr>
          <w:rFonts w:hint="eastAsia"/>
        </w:rPr>
        <w:t>总图运输</w:t>
      </w:r>
      <w:r>
        <w:tab/>
      </w:r>
      <w:r>
        <w:fldChar w:fldCharType="begin"/>
      </w:r>
      <w:r>
        <w:instrText xml:space="preserve"> PAGEREF _Toc24529 \h </w:instrText>
      </w:r>
      <w:r>
        <w:fldChar w:fldCharType="separate"/>
      </w:r>
      <w:r>
        <w:t>- 32 -</w:t>
      </w:r>
      <w:r>
        <w:fldChar w:fldCharType="end"/>
      </w:r>
      <w:r>
        <w:rPr>
          <w:rFonts w:hint="eastAsia" w:ascii="宋体" w:hAnsi="宋体" w:eastAsia="宋体" w:cs="宋体"/>
          <w:color w:val="auto"/>
          <w:szCs w:val="28"/>
        </w:rPr>
        <w:fldChar w:fldCharType="end"/>
      </w:r>
    </w:p>
    <w:p w14:paraId="36E20F00">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_Toc26131 </w:instrText>
      </w:r>
      <w:r>
        <w:rPr>
          <w:rFonts w:hint="eastAsia" w:ascii="宋体" w:hAnsi="宋体" w:eastAsia="宋体" w:cs="宋体"/>
          <w:szCs w:val="28"/>
        </w:rPr>
        <w:fldChar w:fldCharType="separate"/>
      </w:r>
      <w:r>
        <w:rPr>
          <w:rFonts w:hint="eastAsia" w:ascii="宋体" w:hAnsi="宋体" w:eastAsia="宋体" w:cs="宋体"/>
        </w:rPr>
        <w:t xml:space="preserve">2.4.4 </w:t>
      </w:r>
      <w:r>
        <w:rPr>
          <w:rFonts w:hint="eastAsia"/>
        </w:rPr>
        <w:t>开采范围</w:t>
      </w:r>
      <w:r>
        <w:tab/>
      </w:r>
      <w:r>
        <w:fldChar w:fldCharType="begin"/>
      </w:r>
      <w:r>
        <w:instrText xml:space="preserve"> PAGEREF _Toc26131 \h </w:instrText>
      </w:r>
      <w:r>
        <w:fldChar w:fldCharType="separate"/>
      </w:r>
      <w:r>
        <w:t>- 32 -</w:t>
      </w:r>
      <w:r>
        <w:fldChar w:fldCharType="end"/>
      </w:r>
      <w:r>
        <w:rPr>
          <w:rFonts w:hint="eastAsia" w:ascii="宋体" w:hAnsi="宋体" w:eastAsia="宋体" w:cs="宋体"/>
          <w:color w:val="auto"/>
          <w:szCs w:val="28"/>
        </w:rPr>
        <w:fldChar w:fldCharType="end"/>
      </w:r>
    </w:p>
    <w:p w14:paraId="048D5132">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_Toc22999 </w:instrText>
      </w:r>
      <w:r>
        <w:rPr>
          <w:rFonts w:hint="eastAsia" w:ascii="宋体" w:hAnsi="宋体" w:eastAsia="宋体" w:cs="宋体"/>
          <w:szCs w:val="28"/>
        </w:rPr>
        <w:fldChar w:fldCharType="separate"/>
      </w:r>
      <w:r>
        <w:rPr>
          <w:rFonts w:hint="eastAsia" w:ascii="宋体" w:hAnsi="宋体" w:eastAsia="宋体" w:cs="宋体"/>
        </w:rPr>
        <w:t xml:space="preserve">2.4.5 </w:t>
      </w:r>
      <w:r>
        <w:rPr>
          <w:rFonts w:hint="eastAsia"/>
        </w:rPr>
        <w:t>开拓运输</w:t>
      </w:r>
      <w:r>
        <w:tab/>
      </w:r>
      <w:r>
        <w:fldChar w:fldCharType="begin"/>
      </w:r>
      <w:r>
        <w:instrText xml:space="preserve"> PAGEREF _Toc22999 \h </w:instrText>
      </w:r>
      <w:r>
        <w:fldChar w:fldCharType="separate"/>
      </w:r>
      <w:r>
        <w:t>- 33 -</w:t>
      </w:r>
      <w:r>
        <w:fldChar w:fldCharType="end"/>
      </w:r>
      <w:r>
        <w:rPr>
          <w:rFonts w:hint="eastAsia" w:ascii="宋体" w:hAnsi="宋体" w:eastAsia="宋体" w:cs="宋体"/>
          <w:color w:val="auto"/>
          <w:szCs w:val="28"/>
        </w:rPr>
        <w:fldChar w:fldCharType="end"/>
      </w:r>
    </w:p>
    <w:p w14:paraId="5B56FED4">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_Toc24224 </w:instrText>
      </w:r>
      <w:r>
        <w:rPr>
          <w:rFonts w:hint="eastAsia" w:ascii="宋体" w:hAnsi="宋体" w:eastAsia="宋体" w:cs="宋体"/>
          <w:szCs w:val="28"/>
        </w:rPr>
        <w:fldChar w:fldCharType="separate"/>
      </w:r>
      <w:r>
        <w:rPr>
          <w:rFonts w:hint="eastAsia" w:ascii="宋体" w:hAnsi="宋体" w:eastAsia="宋体" w:cs="宋体"/>
        </w:rPr>
        <w:t xml:space="preserve">2.4.6 </w:t>
      </w:r>
      <w:r>
        <w:rPr>
          <w:rFonts w:hint="eastAsia"/>
        </w:rPr>
        <w:t>采矿工艺</w:t>
      </w:r>
      <w:r>
        <w:tab/>
      </w:r>
      <w:r>
        <w:fldChar w:fldCharType="begin"/>
      </w:r>
      <w:r>
        <w:instrText xml:space="preserve"> PAGEREF _Toc24224 \h </w:instrText>
      </w:r>
      <w:r>
        <w:fldChar w:fldCharType="separate"/>
      </w:r>
      <w:r>
        <w:t>- 33 -</w:t>
      </w:r>
      <w:r>
        <w:fldChar w:fldCharType="end"/>
      </w:r>
      <w:r>
        <w:rPr>
          <w:rFonts w:hint="eastAsia" w:ascii="宋体" w:hAnsi="宋体" w:eastAsia="宋体" w:cs="宋体"/>
          <w:color w:val="auto"/>
          <w:szCs w:val="28"/>
        </w:rPr>
        <w:fldChar w:fldCharType="end"/>
      </w:r>
    </w:p>
    <w:p w14:paraId="239C0A46">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_Toc5366 </w:instrText>
      </w:r>
      <w:r>
        <w:rPr>
          <w:rFonts w:hint="eastAsia" w:ascii="宋体" w:hAnsi="宋体" w:eastAsia="宋体" w:cs="宋体"/>
          <w:szCs w:val="28"/>
        </w:rPr>
        <w:fldChar w:fldCharType="separate"/>
      </w:r>
      <w:r>
        <w:rPr>
          <w:rFonts w:hint="eastAsia" w:ascii="宋体" w:hAnsi="宋体" w:eastAsia="宋体" w:cs="宋体"/>
        </w:rPr>
        <w:t xml:space="preserve">2.4.7 </w:t>
      </w:r>
      <w:r>
        <w:t>通风防尘系统</w:t>
      </w:r>
      <w:r>
        <w:tab/>
      </w:r>
      <w:r>
        <w:fldChar w:fldCharType="begin"/>
      </w:r>
      <w:r>
        <w:instrText xml:space="preserve"> PAGEREF _Toc5366 \h </w:instrText>
      </w:r>
      <w:r>
        <w:fldChar w:fldCharType="separate"/>
      </w:r>
      <w:r>
        <w:t>- 34 -</w:t>
      </w:r>
      <w:r>
        <w:fldChar w:fldCharType="end"/>
      </w:r>
      <w:r>
        <w:rPr>
          <w:rFonts w:hint="eastAsia" w:ascii="宋体" w:hAnsi="宋体" w:eastAsia="宋体" w:cs="宋体"/>
          <w:color w:val="auto"/>
          <w:szCs w:val="28"/>
        </w:rPr>
        <w:fldChar w:fldCharType="end"/>
      </w:r>
    </w:p>
    <w:p w14:paraId="4EE0C7C3">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_Toc13581 </w:instrText>
      </w:r>
      <w:r>
        <w:rPr>
          <w:rFonts w:hint="eastAsia" w:ascii="宋体" w:hAnsi="宋体" w:eastAsia="宋体" w:cs="宋体"/>
          <w:szCs w:val="28"/>
        </w:rPr>
        <w:fldChar w:fldCharType="separate"/>
      </w:r>
      <w:r>
        <w:rPr>
          <w:rFonts w:hint="eastAsia" w:ascii="宋体" w:hAnsi="宋体" w:eastAsia="宋体" w:cs="宋体"/>
        </w:rPr>
        <w:t xml:space="preserve">2.4.8 </w:t>
      </w:r>
      <w:r>
        <w:t>矿山供配电设施</w:t>
      </w:r>
      <w:r>
        <w:tab/>
      </w:r>
      <w:r>
        <w:fldChar w:fldCharType="begin"/>
      </w:r>
      <w:r>
        <w:instrText xml:space="preserve"> PAGEREF _Toc13581 \h </w:instrText>
      </w:r>
      <w:r>
        <w:fldChar w:fldCharType="separate"/>
      </w:r>
      <w:r>
        <w:t>- 35 -</w:t>
      </w:r>
      <w:r>
        <w:fldChar w:fldCharType="end"/>
      </w:r>
      <w:r>
        <w:rPr>
          <w:rFonts w:hint="eastAsia" w:ascii="宋体" w:hAnsi="宋体" w:eastAsia="宋体" w:cs="宋体"/>
          <w:color w:val="auto"/>
          <w:szCs w:val="28"/>
        </w:rPr>
        <w:fldChar w:fldCharType="end"/>
      </w:r>
    </w:p>
    <w:p w14:paraId="313CCF3F">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_Toc6127 </w:instrText>
      </w:r>
      <w:r>
        <w:rPr>
          <w:rFonts w:hint="eastAsia" w:ascii="宋体" w:hAnsi="宋体" w:eastAsia="宋体" w:cs="宋体"/>
          <w:szCs w:val="28"/>
        </w:rPr>
        <w:fldChar w:fldCharType="separate"/>
      </w:r>
      <w:r>
        <w:rPr>
          <w:rFonts w:hint="eastAsia" w:ascii="宋体" w:hAnsi="宋体" w:eastAsia="宋体" w:cs="宋体"/>
        </w:rPr>
        <w:t xml:space="preserve">2.4.9 </w:t>
      </w:r>
      <w:r>
        <w:rPr>
          <w:rFonts w:hint="eastAsia"/>
        </w:rPr>
        <w:t>防排水</w:t>
      </w:r>
      <w:r>
        <w:t>系统</w:t>
      </w:r>
      <w:r>
        <w:tab/>
      </w:r>
      <w:r>
        <w:fldChar w:fldCharType="begin"/>
      </w:r>
      <w:r>
        <w:instrText xml:space="preserve"> PAGEREF _Toc6127 \h </w:instrText>
      </w:r>
      <w:r>
        <w:fldChar w:fldCharType="separate"/>
      </w:r>
      <w:r>
        <w:t>- 35 -</w:t>
      </w:r>
      <w:r>
        <w:fldChar w:fldCharType="end"/>
      </w:r>
      <w:r>
        <w:rPr>
          <w:rFonts w:hint="eastAsia" w:ascii="宋体" w:hAnsi="宋体" w:eastAsia="宋体" w:cs="宋体"/>
          <w:color w:val="auto"/>
          <w:szCs w:val="28"/>
        </w:rPr>
        <w:fldChar w:fldCharType="end"/>
      </w:r>
    </w:p>
    <w:p w14:paraId="5B080803">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_Toc16516 </w:instrText>
      </w:r>
      <w:r>
        <w:rPr>
          <w:rFonts w:hint="eastAsia" w:ascii="宋体" w:hAnsi="宋体" w:eastAsia="宋体" w:cs="宋体"/>
          <w:szCs w:val="28"/>
        </w:rPr>
        <w:fldChar w:fldCharType="separate"/>
      </w:r>
      <w:r>
        <w:rPr>
          <w:rFonts w:hint="eastAsia" w:ascii="宋体" w:hAnsi="宋体" w:eastAsia="宋体" w:cs="宋体"/>
        </w:rPr>
        <w:t xml:space="preserve">2.4.10 </w:t>
      </w:r>
      <w:r>
        <w:t>排土场</w:t>
      </w:r>
      <w:r>
        <w:tab/>
      </w:r>
      <w:r>
        <w:fldChar w:fldCharType="begin"/>
      </w:r>
      <w:r>
        <w:instrText xml:space="preserve"> PAGEREF _Toc16516 \h </w:instrText>
      </w:r>
      <w:r>
        <w:fldChar w:fldCharType="separate"/>
      </w:r>
      <w:r>
        <w:t>- 36 -</w:t>
      </w:r>
      <w:r>
        <w:fldChar w:fldCharType="end"/>
      </w:r>
      <w:r>
        <w:rPr>
          <w:rFonts w:hint="eastAsia" w:ascii="宋体" w:hAnsi="宋体" w:eastAsia="宋体" w:cs="宋体"/>
          <w:color w:val="auto"/>
          <w:szCs w:val="28"/>
        </w:rPr>
        <w:fldChar w:fldCharType="end"/>
      </w:r>
    </w:p>
    <w:p w14:paraId="58E2D40E">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_Toc17157 </w:instrText>
      </w:r>
      <w:r>
        <w:rPr>
          <w:rFonts w:hint="eastAsia" w:ascii="宋体" w:hAnsi="宋体" w:eastAsia="宋体" w:cs="宋体"/>
          <w:szCs w:val="28"/>
        </w:rPr>
        <w:fldChar w:fldCharType="separate"/>
      </w:r>
      <w:r>
        <w:rPr>
          <w:rFonts w:hint="eastAsia" w:ascii="宋体" w:hAnsi="宋体" w:eastAsia="宋体" w:cs="宋体"/>
        </w:rPr>
        <w:t xml:space="preserve">2.4.11 </w:t>
      </w:r>
      <w:r>
        <w:t>安全管理及其他</w:t>
      </w:r>
      <w:r>
        <w:tab/>
      </w:r>
      <w:r>
        <w:fldChar w:fldCharType="begin"/>
      </w:r>
      <w:r>
        <w:instrText xml:space="preserve"> PAGEREF _Toc17157 \h </w:instrText>
      </w:r>
      <w:r>
        <w:fldChar w:fldCharType="separate"/>
      </w:r>
      <w:r>
        <w:t>- 37 -</w:t>
      </w:r>
      <w:r>
        <w:fldChar w:fldCharType="end"/>
      </w:r>
      <w:r>
        <w:rPr>
          <w:rFonts w:hint="eastAsia" w:ascii="宋体" w:hAnsi="宋体" w:eastAsia="宋体" w:cs="宋体"/>
          <w:color w:val="auto"/>
          <w:szCs w:val="28"/>
        </w:rPr>
        <w:fldChar w:fldCharType="end"/>
      </w:r>
    </w:p>
    <w:p w14:paraId="50253688">
      <w:pPr>
        <w:pStyle w:val="24"/>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_Toc14072 </w:instrText>
      </w:r>
      <w:r>
        <w:rPr>
          <w:rFonts w:hint="eastAsia" w:ascii="宋体" w:hAnsi="宋体" w:eastAsia="宋体" w:cs="宋体"/>
          <w:szCs w:val="28"/>
        </w:rPr>
        <w:fldChar w:fldCharType="separate"/>
      </w:r>
      <w:r>
        <w:rPr>
          <w:rFonts w:hint="eastAsia"/>
          <w:lang w:val="en-US" w:eastAsia="zh-CN"/>
        </w:rPr>
        <w:t>2.5. 典型案例</w:t>
      </w:r>
      <w:r>
        <w:tab/>
      </w:r>
      <w:r>
        <w:fldChar w:fldCharType="begin"/>
      </w:r>
      <w:r>
        <w:instrText xml:space="preserve"> PAGEREF _Toc14072 \h </w:instrText>
      </w:r>
      <w:r>
        <w:fldChar w:fldCharType="separate"/>
      </w:r>
      <w:r>
        <w:t>- 38 -</w:t>
      </w:r>
      <w:r>
        <w:fldChar w:fldCharType="end"/>
      </w:r>
      <w:r>
        <w:rPr>
          <w:rFonts w:hint="eastAsia" w:ascii="宋体" w:hAnsi="宋体" w:eastAsia="宋体" w:cs="宋体"/>
          <w:color w:val="auto"/>
          <w:szCs w:val="28"/>
        </w:rPr>
        <w:fldChar w:fldCharType="end"/>
      </w:r>
    </w:p>
    <w:p w14:paraId="17E375E0">
      <w:pPr>
        <w:pStyle w:val="22"/>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_Toc22576 </w:instrText>
      </w:r>
      <w:r>
        <w:rPr>
          <w:rFonts w:hint="eastAsia" w:ascii="宋体" w:hAnsi="宋体" w:eastAsia="宋体" w:cs="宋体"/>
          <w:szCs w:val="28"/>
        </w:rPr>
        <w:fldChar w:fldCharType="separate"/>
      </w:r>
      <w:r>
        <w:rPr>
          <w:rFonts w:hint="default"/>
        </w:rPr>
        <w:t xml:space="preserve">第3章 </w:t>
      </w:r>
      <w:r>
        <w:t>定性定量评价</w:t>
      </w:r>
      <w:r>
        <w:tab/>
      </w:r>
      <w:r>
        <w:fldChar w:fldCharType="begin"/>
      </w:r>
      <w:r>
        <w:instrText xml:space="preserve"> PAGEREF _Toc22576 \h </w:instrText>
      </w:r>
      <w:r>
        <w:fldChar w:fldCharType="separate"/>
      </w:r>
      <w:r>
        <w:t>- 44 -</w:t>
      </w:r>
      <w:r>
        <w:fldChar w:fldCharType="end"/>
      </w:r>
      <w:r>
        <w:rPr>
          <w:rFonts w:hint="eastAsia" w:ascii="宋体" w:hAnsi="宋体" w:eastAsia="宋体" w:cs="宋体"/>
          <w:color w:val="auto"/>
          <w:szCs w:val="28"/>
        </w:rPr>
        <w:fldChar w:fldCharType="end"/>
      </w:r>
    </w:p>
    <w:p w14:paraId="070925E6">
      <w:pPr>
        <w:pStyle w:val="24"/>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_Toc28421 </w:instrText>
      </w:r>
      <w:r>
        <w:rPr>
          <w:rFonts w:hint="eastAsia" w:ascii="宋体" w:hAnsi="宋体" w:eastAsia="宋体" w:cs="宋体"/>
          <w:szCs w:val="28"/>
        </w:rPr>
        <w:fldChar w:fldCharType="separate"/>
      </w:r>
      <w:r>
        <w:rPr>
          <w:rFonts w:hint="eastAsia"/>
          <w:lang w:val="en-US"/>
        </w:rPr>
        <w:t xml:space="preserve">3.1. </w:t>
      </w:r>
      <w:r>
        <w:rPr>
          <w:lang w:val="en-US"/>
        </w:rPr>
        <w:t>预评价单元划分</w:t>
      </w:r>
      <w:r>
        <w:tab/>
      </w:r>
      <w:r>
        <w:fldChar w:fldCharType="begin"/>
      </w:r>
      <w:r>
        <w:instrText xml:space="preserve"> PAGEREF _Toc28421 \h </w:instrText>
      </w:r>
      <w:r>
        <w:fldChar w:fldCharType="separate"/>
      </w:r>
      <w:r>
        <w:t>- 44 -</w:t>
      </w:r>
      <w:r>
        <w:fldChar w:fldCharType="end"/>
      </w:r>
      <w:r>
        <w:rPr>
          <w:rFonts w:hint="eastAsia" w:ascii="宋体" w:hAnsi="宋体" w:eastAsia="宋体" w:cs="宋体"/>
          <w:color w:val="auto"/>
          <w:szCs w:val="28"/>
        </w:rPr>
        <w:fldChar w:fldCharType="end"/>
      </w:r>
    </w:p>
    <w:p w14:paraId="2208AC34">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_Toc9723 </w:instrText>
      </w:r>
      <w:r>
        <w:rPr>
          <w:rFonts w:hint="eastAsia" w:ascii="宋体" w:hAnsi="宋体" w:eastAsia="宋体" w:cs="宋体"/>
          <w:szCs w:val="28"/>
        </w:rPr>
        <w:fldChar w:fldCharType="separate"/>
      </w:r>
      <w:r>
        <w:rPr>
          <w:rFonts w:hint="eastAsia" w:ascii="宋体" w:hAnsi="宋体" w:eastAsia="宋体" w:cs="宋体"/>
          <w:lang w:val="en-US"/>
        </w:rPr>
        <w:t xml:space="preserve">3.1.1 </w:t>
      </w:r>
      <w:r>
        <w:rPr>
          <w:lang w:val="en-US"/>
        </w:rPr>
        <w:t>预评价单元划分的原则</w:t>
      </w:r>
      <w:r>
        <w:tab/>
      </w:r>
      <w:r>
        <w:fldChar w:fldCharType="begin"/>
      </w:r>
      <w:r>
        <w:instrText xml:space="preserve"> PAGEREF _Toc9723 \h </w:instrText>
      </w:r>
      <w:r>
        <w:fldChar w:fldCharType="separate"/>
      </w:r>
      <w:r>
        <w:t>- 44 -</w:t>
      </w:r>
      <w:r>
        <w:fldChar w:fldCharType="end"/>
      </w:r>
      <w:r>
        <w:rPr>
          <w:rFonts w:hint="eastAsia" w:ascii="宋体" w:hAnsi="宋体" w:eastAsia="宋体" w:cs="宋体"/>
          <w:color w:val="auto"/>
          <w:szCs w:val="28"/>
        </w:rPr>
        <w:fldChar w:fldCharType="end"/>
      </w:r>
    </w:p>
    <w:p w14:paraId="5C8BFF31">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_Toc3559 </w:instrText>
      </w:r>
      <w:r>
        <w:rPr>
          <w:rFonts w:hint="eastAsia" w:ascii="宋体" w:hAnsi="宋体" w:eastAsia="宋体" w:cs="宋体"/>
          <w:szCs w:val="28"/>
        </w:rPr>
        <w:fldChar w:fldCharType="separate"/>
      </w:r>
      <w:r>
        <w:rPr>
          <w:rFonts w:hint="eastAsia" w:ascii="宋体" w:hAnsi="宋体" w:eastAsia="宋体" w:cs="宋体"/>
          <w:lang w:val="en-US"/>
        </w:rPr>
        <w:t xml:space="preserve">3.1.2 </w:t>
      </w:r>
      <w:r>
        <w:rPr>
          <w:lang w:val="en-US"/>
        </w:rPr>
        <w:t>评价单元的确定</w:t>
      </w:r>
      <w:r>
        <w:tab/>
      </w:r>
      <w:r>
        <w:fldChar w:fldCharType="begin"/>
      </w:r>
      <w:r>
        <w:instrText xml:space="preserve"> PAGEREF _Toc3559 \h </w:instrText>
      </w:r>
      <w:r>
        <w:fldChar w:fldCharType="separate"/>
      </w:r>
      <w:r>
        <w:t>- 44 -</w:t>
      </w:r>
      <w:r>
        <w:fldChar w:fldCharType="end"/>
      </w:r>
      <w:r>
        <w:rPr>
          <w:rFonts w:hint="eastAsia" w:ascii="宋体" w:hAnsi="宋体" w:eastAsia="宋体" w:cs="宋体"/>
          <w:color w:val="auto"/>
          <w:szCs w:val="28"/>
        </w:rPr>
        <w:fldChar w:fldCharType="end"/>
      </w:r>
    </w:p>
    <w:p w14:paraId="46674CEA">
      <w:pPr>
        <w:pStyle w:val="24"/>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_Toc29224 </w:instrText>
      </w:r>
      <w:r>
        <w:rPr>
          <w:rFonts w:hint="eastAsia" w:ascii="宋体" w:hAnsi="宋体" w:eastAsia="宋体" w:cs="宋体"/>
          <w:szCs w:val="28"/>
        </w:rPr>
        <w:fldChar w:fldCharType="separate"/>
      </w:r>
      <w:r>
        <w:rPr>
          <w:rFonts w:hint="eastAsia"/>
        </w:rPr>
        <w:t xml:space="preserve">3.2. </w:t>
      </w:r>
      <w:r>
        <w:rPr>
          <w:lang w:val="en-US"/>
        </w:rPr>
        <w:t>预评价方法的选择</w:t>
      </w:r>
      <w:r>
        <w:tab/>
      </w:r>
      <w:r>
        <w:fldChar w:fldCharType="begin"/>
      </w:r>
      <w:r>
        <w:instrText xml:space="preserve"> PAGEREF _Toc29224 \h </w:instrText>
      </w:r>
      <w:r>
        <w:fldChar w:fldCharType="separate"/>
      </w:r>
      <w:r>
        <w:t>- 45 -</w:t>
      </w:r>
      <w:r>
        <w:fldChar w:fldCharType="end"/>
      </w:r>
      <w:r>
        <w:rPr>
          <w:rFonts w:hint="eastAsia" w:ascii="宋体" w:hAnsi="宋体" w:eastAsia="宋体" w:cs="宋体"/>
          <w:color w:val="auto"/>
          <w:szCs w:val="28"/>
        </w:rPr>
        <w:fldChar w:fldCharType="end"/>
      </w:r>
    </w:p>
    <w:p w14:paraId="4D2552AE">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_Toc27139 </w:instrText>
      </w:r>
      <w:r>
        <w:rPr>
          <w:rFonts w:hint="eastAsia" w:ascii="宋体" w:hAnsi="宋体" w:eastAsia="宋体" w:cs="宋体"/>
          <w:szCs w:val="28"/>
        </w:rPr>
        <w:fldChar w:fldCharType="separate"/>
      </w:r>
      <w:r>
        <w:rPr>
          <w:rFonts w:hint="eastAsia" w:ascii="宋体" w:hAnsi="宋体" w:eastAsia="宋体" w:cs="宋体"/>
          <w:lang w:val="en-US"/>
        </w:rPr>
        <w:t xml:space="preserve">3.2.1 </w:t>
      </w:r>
      <w:r>
        <w:rPr>
          <w:lang w:val="en-US"/>
        </w:rPr>
        <w:t>预评价方法的选择原则</w:t>
      </w:r>
      <w:r>
        <w:tab/>
      </w:r>
      <w:r>
        <w:fldChar w:fldCharType="begin"/>
      </w:r>
      <w:r>
        <w:instrText xml:space="preserve"> PAGEREF _Toc27139 \h </w:instrText>
      </w:r>
      <w:r>
        <w:fldChar w:fldCharType="separate"/>
      </w:r>
      <w:r>
        <w:t>- 45 -</w:t>
      </w:r>
      <w:r>
        <w:fldChar w:fldCharType="end"/>
      </w:r>
      <w:r>
        <w:rPr>
          <w:rFonts w:hint="eastAsia" w:ascii="宋体" w:hAnsi="宋体" w:eastAsia="宋体" w:cs="宋体"/>
          <w:color w:val="auto"/>
          <w:szCs w:val="28"/>
        </w:rPr>
        <w:fldChar w:fldCharType="end"/>
      </w:r>
    </w:p>
    <w:p w14:paraId="649AE199">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_Toc27276 </w:instrText>
      </w:r>
      <w:r>
        <w:rPr>
          <w:rFonts w:hint="eastAsia" w:ascii="宋体" w:hAnsi="宋体" w:eastAsia="宋体" w:cs="宋体"/>
          <w:szCs w:val="28"/>
        </w:rPr>
        <w:fldChar w:fldCharType="separate"/>
      </w:r>
      <w:r>
        <w:rPr>
          <w:rFonts w:hint="eastAsia" w:ascii="宋体" w:hAnsi="宋体" w:eastAsia="宋体" w:cs="宋体"/>
          <w:lang w:val="en-US"/>
        </w:rPr>
        <w:t xml:space="preserve">3.2.2 </w:t>
      </w:r>
      <w:r>
        <w:rPr>
          <w:lang w:val="en-US"/>
        </w:rPr>
        <w:t>各单元采用的评价方法</w:t>
      </w:r>
      <w:r>
        <w:tab/>
      </w:r>
      <w:r>
        <w:fldChar w:fldCharType="begin"/>
      </w:r>
      <w:r>
        <w:instrText xml:space="preserve"> PAGEREF _Toc27276 \h </w:instrText>
      </w:r>
      <w:r>
        <w:fldChar w:fldCharType="separate"/>
      </w:r>
      <w:r>
        <w:t>- 45 -</w:t>
      </w:r>
      <w:r>
        <w:fldChar w:fldCharType="end"/>
      </w:r>
      <w:r>
        <w:rPr>
          <w:rFonts w:hint="eastAsia" w:ascii="宋体" w:hAnsi="宋体" w:eastAsia="宋体" w:cs="宋体"/>
          <w:color w:val="auto"/>
          <w:szCs w:val="28"/>
        </w:rPr>
        <w:fldChar w:fldCharType="end"/>
      </w:r>
    </w:p>
    <w:p w14:paraId="0C009E50">
      <w:pPr>
        <w:pStyle w:val="24"/>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_Toc28371 </w:instrText>
      </w:r>
      <w:r>
        <w:rPr>
          <w:rFonts w:hint="eastAsia" w:ascii="宋体" w:hAnsi="宋体" w:eastAsia="宋体" w:cs="宋体"/>
          <w:szCs w:val="28"/>
        </w:rPr>
        <w:fldChar w:fldCharType="separate"/>
      </w:r>
      <w:r>
        <w:rPr>
          <w:rFonts w:hint="eastAsia"/>
        </w:rPr>
        <w:t>3.3. 总平面布置单元</w:t>
      </w:r>
      <w:r>
        <w:tab/>
      </w:r>
      <w:r>
        <w:fldChar w:fldCharType="begin"/>
      </w:r>
      <w:r>
        <w:instrText xml:space="preserve"> PAGEREF _Toc28371 \h </w:instrText>
      </w:r>
      <w:r>
        <w:fldChar w:fldCharType="separate"/>
      </w:r>
      <w:r>
        <w:t>- 49 -</w:t>
      </w:r>
      <w:r>
        <w:fldChar w:fldCharType="end"/>
      </w:r>
      <w:r>
        <w:rPr>
          <w:rFonts w:hint="eastAsia" w:ascii="宋体" w:hAnsi="宋体" w:eastAsia="宋体" w:cs="宋体"/>
          <w:color w:val="auto"/>
          <w:szCs w:val="28"/>
        </w:rPr>
        <w:fldChar w:fldCharType="end"/>
      </w:r>
    </w:p>
    <w:p w14:paraId="431831DB">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_Toc21960 </w:instrText>
      </w:r>
      <w:r>
        <w:rPr>
          <w:rFonts w:hint="eastAsia" w:ascii="宋体" w:hAnsi="宋体" w:eastAsia="宋体" w:cs="宋体"/>
          <w:szCs w:val="28"/>
        </w:rPr>
        <w:fldChar w:fldCharType="separate"/>
      </w:r>
      <w:r>
        <w:rPr>
          <w:rFonts w:hint="eastAsia" w:ascii="宋体" w:hAnsi="宋体" w:eastAsia="宋体" w:cs="宋体"/>
        </w:rPr>
        <w:t xml:space="preserve">3.3.1 </w:t>
      </w:r>
      <w:r>
        <w:rPr>
          <w:rFonts w:hint="eastAsia"/>
        </w:rPr>
        <w:t>危险有害因素辨识与分析</w:t>
      </w:r>
      <w:r>
        <w:tab/>
      </w:r>
      <w:r>
        <w:fldChar w:fldCharType="begin"/>
      </w:r>
      <w:r>
        <w:instrText xml:space="preserve"> PAGEREF _Toc21960 \h </w:instrText>
      </w:r>
      <w:r>
        <w:fldChar w:fldCharType="separate"/>
      </w:r>
      <w:r>
        <w:t>- 49 -</w:t>
      </w:r>
      <w:r>
        <w:fldChar w:fldCharType="end"/>
      </w:r>
      <w:r>
        <w:rPr>
          <w:rFonts w:hint="eastAsia" w:ascii="宋体" w:hAnsi="宋体" w:eastAsia="宋体" w:cs="宋体"/>
          <w:color w:val="auto"/>
          <w:szCs w:val="28"/>
        </w:rPr>
        <w:fldChar w:fldCharType="end"/>
      </w:r>
    </w:p>
    <w:p w14:paraId="3DA6DA58">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_Toc30014 </w:instrText>
      </w:r>
      <w:r>
        <w:rPr>
          <w:rFonts w:hint="eastAsia" w:ascii="宋体" w:hAnsi="宋体" w:eastAsia="宋体" w:cs="宋体"/>
          <w:szCs w:val="28"/>
        </w:rPr>
        <w:fldChar w:fldCharType="separate"/>
      </w:r>
      <w:r>
        <w:rPr>
          <w:rFonts w:hint="eastAsia" w:ascii="宋体" w:hAnsi="宋体" w:eastAsia="宋体" w:cs="宋体"/>
        </w:rPr>
        <w:t xml:space="preserve">3.3.2 </w:t>
      </w:r>
      <w:r>
        <w:rPr>
          <w:rFonts w:hint="eastAsia"/>
        </w:rPr>
        <w:t>危险程度评价</w:t>
      </w:r>
      <w:r>
        <w:tab/>
      </w:r>
      <w:r>
        <w:fldChar w:fldCharType="begin"/>
      </w:r>
      <w:r>
        <w:instrText xml:space="preserve"> PAGEREF _Toc30014 \h </w:instrText>
      </w:r>
      <w:r>
        <w:fldChar w:fldCharType="separate"/>
      </w:r>
      <w:r>
        <w:t>- 50 -</w:t>
      </w:r>
      <w:r>
        <w:fldChar w:fldCharType="end"/>
      </w:r>
      <w:r>
        <w:rPr>
          <w:rFonts w:hint="eastAsia" w:ascii="宋体" w:hAnsi="宋体" w:eastAsia="宋体" w:cs="宋体"/>
          <w:color w:val="auto"/>
          <w:szCs w:val="28"/>
        </w:rPr>
        <w:fldChar w:fldCharType="end"/>
      </w:r>
    </w:p>
    <w:p w14:paraId="12860A8D">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_Toc19142 </w:instrText>
      </w:r>
      <w:r>
        <w:rPr>
          <w:rFonts w:hint="eastAsia" w:ascii="宋体" w:hAnsi="宋体" w:eastAsia="宋体" w:cs="宋体"/>
          <w:szCs w:val="28"/>
        </w:rPr>
        <w:fldChar w:fldCharType="separate"/>
      </w:r>
      <w:r>
        <w:rPr>
          <w:rFonts w:hint="eastAsia" w:ascii="宋体" w:hAnsi="宋体" w:eastAsia="宋体" w:cs="宋体"/>
        </w:rPr>
        <w:t xml:space="preserve">3.3.3 </w:t>
      </w:r>
      <w:r>
        <w:rPr>
          <w:rFonts w:hint="eastAsia"/>
        </w:rPr>
        <w:t>安全检查表分析评价</w:t>
      </w:r>
      <w:r>
        <w:tab/>
      </w:r>
      <w:r>
        <w:fldChar w:fldCharType="begin"/>
      </w:r>
      <w:r>
        <w:instrText xml:space="preserve"> PAGEREF _Toc19142 \h </w:instrText>
      </w:r>
      <w:r>
        <w:fldChar w:fldCharType="separate"/>
      </w:r>
      <w:r>
        <w:t>- 51 -</w:t>
      </w:r>
      <w:r>
        <w:fldChar w:fldCharType="end"/>
      </w:r>
      <w:r>
        <w:rPr>
          <w:rFonts w:hint="eastAsia" w:ascii="宋体" w:hAnsi="宋体" w:eastAsia="宋体" w:cs="宋体"/>
          <w:color w:val="auto"/>
          <w:szCs w:val="28"/>
        </w:rPr>
        <w:fldChar w:fldCharType="end"/>
      </w:r>
    </w:p>
    <w:p w14:paraId="4F91A3C4">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_Toc23458 </w:instrText>
      </w:r>
      <w:r>
        <w:rPr>
          <w:rFonts w:hint="eastAsia" w:ascii="宋体" w:hAnsi="宋体" w:eastAsia="宋体" w:cs="宋体"/>
          <w:szCs w:val="28"/>
        </w:rPr>
        <w:fldChar w:fldCharType="separate"/>
      </w:r>
      <w:r>
        <w:rPr>
          <w:rFonts w:hint="eastAsia" w:ascii="宋体" w:hAnsi="宋体" w:eastAsia="宋体" w:cs="宋体"/>
        </w:rPr>
        <w:t xml:space="preserve">3.3.4 </w:t>
      </w:r>
      <w:r>
        <w:rPr>
          <w:rFonts w:hint="eastAsia"/>
        </w:rPr>
        <w:t>《</w:t>
      </w:r>
      <w:r>
        <w:rPr>
          <w:rFonts w:hint="eastAsia"/>
          <w:lang w:eastAsia="zh-CN"/>
        </w:rPr>
        <w:t>初步设计</w:t>
      </w:r>
      <w:r>
        <w:rPr>
          <w:rFonts w:hint="eastAsia"/>
        </w:rPr>
        <w:t>》评述</w:t>
      </w:r>
      <w:r>
        <w:tab/>
      </w:r>
      <w:r>
        <w:fldChar w:fldCharType="begin"/>
      </w:r>
      <w:r>
        <w:instrText xml:space="preserve"> PAGEREF _Toc23458 \h </w:instrText>
      </w:r>
      <w:r>
        <w:fldChar w:fldCharType="separate"/>
      </w:r>
      <w:r>
        <w:t>- 53 -</w:t>
      </w:r>
      <w:r>
        <w:fldChar w:fldCharType="end"/>
      </w:r>
      <w:r>
        <w:rPr>
          <w:rFonts w:hint="eastAsia" w:ascii="宋体" w:hAnsi="宋体" w:eastAsia="宋体" w:cs="宋体"/>
          <w:color w:val="auto"/>
          <w:szCs w:val="28"/>
        </w:rPr>
        <w:fldChar w:fldCharType="end"/>
      </w:r>
    </w:p>
    <w:p w14:paraId="78603125">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_Toc11555 </w:instrText>
      </w:r>
      <w:r>
        <w:rPr>
          <w:rFonts w:hint="eastAsia" w:ascii="宋体" w:hAnsi="宋体" w:eastAsia="宋体" w:cs="宋体"/>
          <w:szCs w:val="28"/>
        </w:rPr>
        <w:fldChar w:fldCharType="separate"/>
      </w:r>
      <w:r>
        <w:rPr>
          <w:rFonts w:hint="eastAsia" w:ascii="宋体" w:hAnsi="宋体" w:eastAsia="宋体" w:cs="宋体"/>
        </w:rPr>
        <w:t xml:space="preserve">3.3.5 </w:t>
      </w:r>
      <w:r>
        <w:t>单元小结</w:t>
      </w:r>
      <w:r>
        <w:tab/>
      </w:r>
      <w:r>
        <w:fldChar w:fldCharType="begin"/>
      </w:r>
      <w:r>
        <w:instrText xml:space="preserve"> PAGEREF _Toc11555 \h </w:instrText>
      </w:r>
      <w:r>
        <w:fldChar w:fldCharType="separate"/>
      </w:r>
      <w:r>
        <w:t>- 53 -</w:t>
      </w:r>
      <w:r>
        <w:fldChar w:fldCharType="end"/>
      </w:r>
      <w:r>
        <w:rPr>
          <w:rFonts w:hint="eastAsia" w:ascii="宋体" w:hAnsi="宋体" w:eastAsia="宋体" w:cs="宋体"/>
          <w:color w:val="auto"/>
          <w:szCs w:val="28"/>
        </w:rPr>
        <w:fldChar w:fldCharType="end"/>
      </w:r>
    </w:p>
    <w:p w14:paraId="16BF1F66">
      <w:pPr>
        <w:pStyle w:val="24"/>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_Toc17167 </w:instrText>
      </w:r>
      <w:r>
        <w:rPr>
          <w:rFonts w:hint="eastAsia" w:ascii="宋体" w:hAnsi="宋体" w:eastAsia="宋体" w:cs="宋体"/>
          <w:szCs w:val="28"/>
        </w:rPr>
        <w:fldChar w:fldCharType="separate"/>
      </w:r>
      <w:r>
        <w:rPr>
          <w:rFonts w:hint="eastAsia"/>
        </w:rPr>
        <w:t>3.4. 开拓运输单元</w:t>
      </w:r>
      <w:r>
        <w:tab/>
      </w:r>
      <w:r>
        <w:fldChar w:fldCharType="begin"/>
      </w:r>
      <w:r>
        <w:instrText xml:space="preserve"> PAGEREF _Toc17167 \h </w:instrText>
      </w:r>
      <w:r>
        <w:fldChar w:fldCharType="separate"/>
      </w:r>
      <w:r>
        <w:t>- 53 -</w:t>
      </w:r>
      <w:r>
        <w:fldChar w:fldCharType="end"/>
      </w:r>
      <w:r>
        <w:rPr>
          <w:rFonts w:hint="eastAsia" w:ascii="宋体" w:hAnsi="宋体" w:eastAsia="宋体" w:cs="宋体"/>
          <w:color w:val="auto"/>
          <w:szCs w:val="28"/>
        </w:rPr>
        <w:fldChar w:fldCharType="end"/>
      </w:r>
    </w:p>
    <w:p w14:paraId="7DB0F589">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_Toc24050 </w:instrText>
      </w:r>
      <w:r>
        <w:rPr>
          <w:rFonts w:hint="eastAsia" w:ascii="宋体" w:hAnsi="宋体" w:eastAsia="宋体" w:cs="宋体"/>
          <w:szCs w:val="28"/>
        </w:rPr>
        <w:fldChar w:fldCharType="separate"/>
      </w:r>
      <w:r>
        <w:rPr>
          <w:rFonts w:hint="eastAsia" w:ascii="宋体" w:hAnsi="宋体" w:eastAsia="宋体" w:cs="宋体"/>
        </w:rPr>
        <w:t xml:space="preserve">3.4.1 </w:t>
      </w:r>
      <w:r>
        <w:rPr>
          <w:rFonts w:hint="eastAsia"/>
        </w:rPr>
        <w:t>危险有害因素辨识与分析</w:t>
      </w:r>
      <w:r>
        <w:tab/>
      </w:r>
      <w:r>
        <w:fldChar w:fldCharType="begin"/>
      </w:r>
      <w:r>
        <w:instrText xml:space="preserve"> PAGEREF _Toc24050 \h </w:instrText>
      </w:r>
      <w:r>
        <w:fldChar w:fldCharType="separate"/>
      </w:r>
      <w:r>
        <w:t>- 53 -</w:t>
      </w:r>
      <w:r>
        <w:fldChar w:fldCharType="end"/>
      </w:r>
      <w:r>
        <w:rPr>
          <w:rFonts w:hint="eastAsia" w:ascii="宋体" w:hAnsi="宋体" w:eastAsia="宋体" w:cs="宋体"/>
          <w:color w:val="auto"/>
          <w:szCs w:val="28"/>
        </w:rPr>
        <w:fldChar w:fldCharType="end"/>
      </w:r>
    </w:p>
    <w:p w14:paraId="2355CBF9">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_Toc17289 </w:instrText>
      </w:r>
      <w:r>
        <w:rPr>
          <w:rFonts w:hint="eastAsia" w:ascii="宋体" w:hAnsi="宋体" w:eastAsia="宋体" w:cs="宋体"/>
          <w:szCs w:val="28"/>
        </w:rPr>
        <w:fldChar w:fldCharType="separate"/>
      </w:r>
      <w:r>
        <w:rPr>
          <w:rFonts w:hint="eastAsia" w:ascii="宋体" w:hAnsi="宋体" w:eastAsia="宋体" w:cs="宋体"/>
        </w:rPr>
        <w:t xml:space="preserve">3.4.2 </w:t>
      </w:r>
      <w:r>
        <w:rPr>
          <w:rFonts w:hint="eastAsia"/>
        </w:rPr>
        <w:t>危险程度评价</w:t>
      </w:r>
      <w:r>
        <w:tab/>
      </w:r>
      <w:r>
        <w:fldChar w:fldCharType="begin"/>
      </w:r>
      <w:r>
        <w:instrText xml:space="preserve"> PAGEREF _Toc17289 \h </w:instrText>
      </w:r>
      <w:r>
        <w:fldChar w:fldCharType="separate"/>
      </w:r>
      <w:r>
        <w:t>- 54 -</w:t>
      </w:r>
      <w:r>
        <w:fldChar w:fldCharType="end"/>
      </w:r>
      <w:r>
        <w:rPr>
          <w:rFonts w:hint="eastAsia" w:ascii="宋体" w:hAnsi="宋体" w:eastAsia="宋体" w:cs="宋体"/>
          <w:color w:val="auto"/>
          <w:szCs w:val="28"/>
        </w:rPr>
        <w:fldChar w:fldCharType="end"/>
      </w:r>
    </w:p>
    <w:p w14:paraId="50F438C7">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_Toc19315 </w:instrText>
      </w:r>
      <w:r>
        <w:rPr>
          <w:rFonts w:hint="eastAsia" w:ascii="宋体" w:hAnsi="宋体" w:eastAsia="宋体" w:cs="宋体"/>
          <w:szCs w:val="28"/>
        </w:rPr>
        <w:fldChar w:fldCharType="separate"/>
      </w:r>
      <w:r>
        <w:rPr>
          <w:rFonts w:hint="eastAsia" w:ascii="宋体" w:hAnsi="宋体" w:eastAsia="宋体" w:cs="宋体"/>
        </w:rPr>
        <w:t xml:space="preserve">3.4.3 </w:t>
      </w:r>
      <w:r>
        <w:t>预先危险性分析</w:t>
      </w:r>
      <w:r>
        <w:rPr>
          <w:rFonts w:hint="eastAsia"/>
        </w:rPr>
        <w:t>评价</w:t>
      </w:r>
      <w:r>
        <w:tab/>
      </w:r>
      <w:r>
        <w:fldChar w:fldCharType="begin"/>
      </w:r>
      <w:r>
        <w:instrText xml:space="preserve"> PAGEREF _Toc19315 \h </w:instrText>
      </w:r>
      <w:r>
        <w:fldChar w:fldCharType="separate"/>
      </w:r>
      <w:r>
        <w:t>- 54 -</w:t>
      </w:r>
      <w:r>
        <w:fldChar w:fldCharType="end"/>
      </w:r>
      <w:r>
        <w:rPr>
          <w:rFonts w:hint="eastAsia" w:ascii="宋体" w:hAnsi="宋体" w:eastAsia="宋体" w:cs="宋体"/>
          <w:color w:val="auto"/>
          <w:szCs w:val="28"/>
        </w:rPr>
        <w:fldChar w:fldCharType="end"/>
      </w:r>
    </w:p>
    <w:p w14:paraId="39FAA9C6">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_Toc14166 </w:instrText>
      </w:r>
      <w:r>
        <w:rPr>
          <w:rFonts w:hint="eastAsia" w:ascii="宋体" w:hAnsi="宋体" w:eastAsia="宋体" w:cs="宋体"/>
          <w:szCs w:val="28"/>
        </w:rPr>
        <w:fldChar w:fldCharType="separate"/>
      </w:r>
      <w:r>
        <w:rPr>
          <w:rFonts w:hint="eastAsia" w:ascii="宋体" w:hAnsi="宋体" w:eastAsia="宋体" w:cs="宋体"/>
        </w:rPr>
        <w:t xml:space="preserve">3.4.4 </w:t>
      </w:r>
      <w:r>
        <w:rPr>
          <w:rFonts w:hint="eastAsia"/>
        </w:rPr>
        <w:t>安全检查表分析评价</w:t>
      </w:r>
      <w:r>
        <w:tab/>
      </w:r>
      <w:r>
        <w:fldChar w:fldCharType="begin"/>
      </w:r>
      <w:r>
        <w:instrText xml:space="preserve"> PAGEREF _Toc14166 \h </w:instrText>
      </w:r>
      <w:r>
        <w:fldChar w:fldCharType="separate"/>
      </w:r>
      <w:r>
        <w:t>- 56 -</w:t>
      </w:r>
      <w:r>
        <w:fldChar w:fldCharType="end"/>
      </w:r>
      <w:r>
        <w:rPr>
          <w:rFonts w:hint="eastAsia" w:ascii="宋体" w:hAnsi="宋体" w:eastAsia="宋体" w:cs="宋体"/>
          <w:color w:val="auto"/>
          <w:szCs w:val="28"/>
        </w:rPr>
        <w:fldChar w:fldCharType="end"/>
      </w:r>
    </w:p>
    <w:p w14:paraId="182CFC6D">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_Toc8123 </w:instrText>
      </w:r>
      <w:r>
        <w:rPr>
          <w:rFonts w:hint="eastAsia" w:ascii="宋体" w:hAnsi="宋体" w:eastAsia="宋体" w:cs="宋体"/>
          <w:szCs w:val="28"/>
        </w:rPr>
        <w:fldChar w:fldCharType="separate"/>
      </w:r>
      <w:r>
        <w:rPr>
          <w:rFonts w:hint="eastAsia" w:ascii="宋体" w:hAnsi="宋体" w:eastAsia="宋体" w:cs="宋体"/>
        </w:rPr>
        <w:t xml:space="preserve">3.4.5 </w:t>
      </w:r>
      <w:r>
        <w:rPr>
          <w:rFonts w:hint="eastAsia"/>
        </w:rPr>
        <w:t>《</w:t>
      </w:r>
      <w:r>
        <w:rPr>
          <w:rFonts w:hint="eastAsia"/>
          <w:lang w:eastAsia="zh-CN"/>
        </w:rPr>
        <w:t>初步设计</w:t>
      </w:r>
      <w:r>
        <w:rPr>
          <w:rFonts w:hint="eastAsia"/>
        </w:rPr>
        <w:t>》评述</w:t>
      </w:r>
      <w:r>
        <w:tab/>
      </w:r>
      <w:r>
        <w:fldChar w:fldCharType="begin"/>
      </w:r>
      <w:r>
        <w:instrText xml:space="preserve"> PAGEREF _Toc8123 \h </w:instrText>
      </w:r>
      <w:r>
        <w:fldChar w:fldCharType="separate"/>
      </w:r>
      <w:r>
        <w:t>- 58 -</w:t>
      </w:r>
      <w:r>
        <w:fldChar w:fldCharType="end"/>
      </w:r>
      <w:r>
        <w:rPr>
          <w:rFonts w:hint="eastAsia" w:ascii="宋体" w:hAnsi="宋体" w:eastAsia="宋体" w:cs="宋体"/>
          <w:color w:val="auto"/>
          <w:szCs w:val="28"/>
        </w:rPr>
        <w:fldChar w:fldCharType="end"/>
      </w:r>
    </w:p>
    <w:p w14:paraId="1ACAE4AE">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_Toc32148 </w:instrText>
      </w:r>
      <w:r>
        <w:rPr>
          <w:rFonts w:hint="eastAsia" w:ascii="宋体" w:hAnsi="宋体" w:eastAsia="宋体" w:cs="宋体"/>
          <w:szCs w:val="28"/>
        </w:rPr>
        <w:fldChar w:fldCharType="separate"/>
      </w:r>
      <w:r>
        <w:rPr>
          <w:rFonts w:hint="eastAsia" w:ascii="宋体" w:hAnsi="宋体" w:eastAsia="宋体" w:cs="宋体"/>
        </w:rPr>
        <w:t xml:space="preserve">3.4.6 </w:t>
      </w:r>
      <w:r>
        <w:rPr>
          <w:rFonts w:hint="eastAsia"/>
        </w:rPr>
        <w:t>单元小结</w:t>
      </w:r>
      <w:r>
        <w:tab/>
      </w:r>
      <w:r>
        <w:fldChar w:fldCharType="begin"/>
      </w:r>
      <w:r>
        <w:instrText xml:space="preserve"> PAGEREF _Toc32148 \h </w:instrText>
      </w:r>
      <w:r>
        <w:fldChar w:fldCharType="separate"/>
      </w:r>
      <w:r>
        <w:t>- 58 -</w:t>
      </w:r>
      <w:r>
        <w:fldChar w:fldCharType="end"/>
      </w:r>
      <w:r>
        <w:rPr>
          <w:rFonts w:hint="eastAsia" w:ascii="宋体" w:hAnsi="宋体" w:eastAsia="宋体" w:cs="宋体"/>
          <w:color w:val="auto"/>
          <w:szCs w:val="28"/>
        </w:rPr>
        <w:fldChar w:fldCharType="end"/>
      </w:r>
    </w:p>
    <w:p w14:paraId="45A91F59">
      <w:pPr>
        <w:pStyle w:val="24"/>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_Toc3421 </w:instrText>
      </w:r>
      <w:r>
        <w:rPr>
          <w:rFonts w:hint="eastAsia" w:ascii="宋体" w:hAnsi="宋体" w:eastAsia="宋体" w:cs="宋体"/>
          <w:szCs w:val="28"/>
        </w:rPr>
        <w:fldChar w:fldCharType="separate"/>
      </w:r>
      <w:r>
        <w:rPr>
          <w:rFonts w:hint="eastAsia"/>
        </w:rPr>
        <w:t>3.5. 采剥单元</w:t>
      </w:r>
      <w:r>
        <w:tab/>
      </w:r>
      <w:r>
        <w:fldChar w:fldCharType="begin"/>
      </w:r>
      <w:r>
        <w:instrText xml:space="preserve"> PAGEREF _Toc3421 \h </w:instrText>
      </w:r>
      <w:r>
        <w:fldChar w:fldCharType="separate"/>
      </w:r>
      <w:r>
        <w:t>- 58 -</w:t>
      </w:r>
      <w:r>
        <w:fldChar w:fldCharType="end"/>
      </w:r>
      <w:r>
        <w:rPr>
          <w:rFonts w:hint="eastAsia" w:ascii="宋体" w:hAnsi="宋体" w:eastAsia="宋体" w:cs="宋体"/>
          <w:color w:val="auto"/>
          <w:szCs w:val="28"/>
        </w:rPr>
        <w:fldChar w:fldCharType="end"/>
      </w:r>
    </w:p>
    <w:p w14:paraId="393B8343">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_Toc22195 </w:instrText>
      </w:r>
      <w:r>
        <w:rPr>
          <w:rFonts w:hint="eastAsia" w:ascii="宋体" w:hAnsi="宋体" w:eastAsia="宋体" w:cs="宋体"/>
          <w:szCs w:val="28"/>
        </w:rPr>
        <w:fldChar w:fldCharType="separate"/>
      </w:r>
      <w:r>
        <w:rPr>
          <w:rFonts w:hint="eastAsia" w:ascii="宋体" w:hAnsi="宋体" w:eastAsia="宋体" w:cs="宋体"/>
        </w:rPr>
        <w:t xml:space="preserve">3.5.1 </w:t>
      </w:r>
      <w:r>
        <w:rPr>
          <w:rFonts w:hint="eastAsia"/>
        </w:rPr>
        <w:t>危险有害因数辨识与分析</w:t>
      </w:r>
      <w:r>
        <w:tab/>
      </w:r>
      <w:r>
        <w:fldChar w:fldCharType="begin"/>
      </w:r>
      <w:r>
        <w:instrText xml:space="preserve"> PAGEREF _Toc22195 \h </w:instrText>
      </w:r>
      <w:r>
        <w:fldChar w:fldCharType="separate"/>
      </w:r>
      <w:r>
        <w:t>- 58 -</w:t>
      </w:r>
      <w:r>
        <w:fldChar w:fldCharType="end"/>
      </w:r>
      <w:r>
        <w:rPr>
          <w:rFonts w:hint="eastAsia" w:ascii="宋体" w:hAnsi="宋体" w:eastAsia="宋体" w:cs="宋体"/>
          <w:color w:val="auto"/>
          <w:szCs w:val="28"/>
        </w:rPr>
        <w:fldChar w:fldCharType="end"/>
      </w:r>
    </w:p>
    <w:p w14:paraId="7CA7EEBD">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_Toc29330 </w:instrText>
      </w:r>
      <w:r>
        <w:rPr>
          <w:rFonts w:hint="eastAsia" w:ascii="宋体" w:hAnsi="宋体" w:eastAsia="宋体" w:cs="宋体"/>
          <w:szCs w:val="28"/>
        </w:rPr>
        <w:fldChar w:fldCharType="separate"/>
      </w:r>
      <w:r>
        <w:rPr>
          <w:rFonts w:hint="eastAsia" w:ascii="宋体" w:hAnsi="宋体" w:eastAsia="宋体" w:cs="宋体"/>
        </w:rPr>
        <w:t xml:space="preserve">3.5.2 </w:t>
      </w:r>
      <w:r>
        <w:rPr>
          <w:rFonts w:hint="eastAsia"/>
        </w:rPr>
        <w:t>危险程度评价</w:t>
      </w:r>
      <w:r>
        <w:tab/>
      </w:r>
      <w:r>
        <w:fldChar w:fldCharType="begin"/>
      </w:r>
      <w:r>
        <w:instrText xml:space="preserve"> PAGEREF _Toc29330 \h </w:instrText>
      </w:r>
      <w:r>
        <w:fldChar w:fldCharType="separate"/>
      </w:r>
      <w:r>
        <w:t>- 59 -</w:t>
      </w:r>
      <w:r>
        <w:fldChar w:fldCharType="end"/>
      </w:r>
      <w:r>
        <w:rPr>
          <w:rFonts w:hint="eastAsia" w:ascii="宋体" w:hAnsi="宋体" w:eastAsia="宋体" w:cs="宋体"/>
          <w:color w:val="auto"/>
          <w:szCs w:val="28"/>
        </w:rPr>
        <w:fldChar w:fldCharType="end"/>
      </w:r>
    </w:p>
    <w:p w14:paraId="461DEF06">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_Toc20867 </w:instrText>
      </w:r>
      <w:r>
        <w:rPr>
          <w:rFonts w:hint="eastAsia" w:ascii="宋体" w:hAnsi="宋体" w:eastAsia="宋体" w:cs="宋体"/>
          <w:szCs w:val="28"/>
        </w:rPr>
        <w:fldChar w:fldCharType="separate"/>
      </w:r>
      <w:r>
        <w:rPr>
          <w:rFonts w:hint="eastAsia" w:ascii="宋体" w:hAnsi="宋体" w:eastAsia="宋体" w:cs="宋体"/>
        </w:rPr>
        <w:t xml:space="preserve">3.5.3 </w:t>
      </w:r>
      <w:r>
        <w:rPr>
          <w:rFonts w:hint="eastAsia"/>
        </w:rPr>
        <w:t>预先危险性分析</w:t>
      </w:r>
      <w:r>
        <w:tab/>
      </w:r>
      <w:r>
        <w:fldChar w:fldCharType="begin"/>
      </w:r>
      <w:r>
        <w:instrText xml:space="preserve"> PAGEREF _Toc20867 \h </w:instrText>
      </w:r>
      <w:r>
        <w:fldChar w:fldCharType="separate"/>
      </w:r>
      <w:r>
        <w:t>- 59 -</w:t>
      </w:r>
      <w:r>
        <w:fldChar w:fldCharType="end"/>
      </w:r>
      <w:r>
        <w:rPr>
          <w:rFonts w:hint="eastAsia" w:ascii="宋体" w:hAnsi="宋体" w:eastAsia="宋体" w:cs="宋体"/>
          <w:color w:val="auto"/>
          <w:szCs w:val="28"/>
        </w:rPr>
        <w:fldChar w:fldCharType="end"/>
      </w:r>
    </w:p>
    <w:p w14:paraId="3AD66882">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_Toc3702 </w:instrText>
      </w:r>
      <w:r>
        <w:rPr>
          <w:rFonts w:hint="eastAsia" w:ascii="宋体" w:hAnsi="宋体" w:eastAsia="宋体" w:cs="宋体"/>
          <w:szCs w:val="28"/>
        </w:rPr>
        <w:fldChar w:fldCharType="separate"/>
      </w:r>
      <w:r>
        <w:rPr>
          <w:rFonts w:hint="eastAsia" w:ascii="宋体" w:hAnsi="宋体" w:eastAsia="宋体" w:cs="宋体"/>
        </w:rPr>
        <w:t xml:space="preserve">3.5.4 </w:t>
      </w:r>
      <w:r>
        <w:rPr>
          <w:rFonts w:hint="eastAsia"/>
        </w:rPr>
        <w:t>安全检查表</w:t>
      </w:r>
      <w:r>
        <w:rPr>
          <w:rFonts w:hint="eastAsia"/>
          <w:lang w:val="en-US" w:eastAsia="zh-CN"/>
        </w:rPr>
        <w:t>分析评价</w:t>
      </w:r>
      <w:r>
        <w:tab/>
      </w:r>
      <w:r>
        <w:fldChar w:fldCharType="begin"/>
      </w:r>
      <w:r>
        <w:instrText xml:space="preserve"> PAGEREF _Toc3702 \h </w:instrText>
      </w:r>
      <w:r>
        <w:fldChar w:fldCharType="separate"/>
      </w:r>
      <w:r>
        <w:t>- 60 -</w:t>
      </w:r>
      <w:r>
        <w:fldChar w:fldCharType="end"/>
      </w:r>
      <w:r>
        <w:rPr>
          <w:rFonts w:hint="eastAsia" w:ascii="宋体" w:hAnsi="宋体" w:eastAsia="宋体" w:cs="宋体"/>
          <w:color w:val="auto"/>
          <w:szCs w:val="28"/>
        </w:rPr>
        <w:fldChar w:fldCharType="end"/>
      </w:r>
    </w:p>
    <w:p w14:paraId="14248243">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_Toc13817 </w:instrText>
      </w:r>
      <w:r>
        <w:rPr>
          <w:rFonts w:hint="eastAsia" w:ascii="宋体" w:hAnsi="宋体" w:eastAsia="宋体" w:cs="宋体"/>
          <w:szCs w:val="28"/>
        </w:rPr>
        <w:fldChar w:fldCharType="separate"/>
      </w:r>
      <w:r>
        <w:rPr>
          <w:rFonts w:hint="eastAsia" w:ascii="宋体" w:hAnsi="宋体" w:eastAsia="宋体" w:cs="宋体"/>
          <w:lang w:val="en-US" w:eastAsia="zh-CN"/>
        </w:rPr>
        <w:t xml:space="preserve">3.5.5 </w:t>
      </w:r>
      <w:r>
        <w:rPr>
          <w:rFonts w:hint="eastAsia"/>
          <w:lang w:val="en-US" w:eastAsia="zh-CN"/>
        </w:rPr>
        <w:t>《初步设计》评述</w:t>
      </w:r>
      <w:r>
        <w:tab/>
      </w:r>
      <w:r>
        <w:fldChar w:fldCharType="begin"/>
      </w:r>
      <w:r>
        <w:instrText xml:space="preserve"> PAGEREF _Toc13817 \h </w:instrText>
      </w:r>
      <w:r>
        <w:fldChar w:fldCharType="separate"/>
      </w:r>
      <w:r>
        <w:t>- 62 -</w:t>
      </w:r>
      <w:r>
        <w:fldChar w:fldCharType="end"/>
      </w:r>
      <w:r>
        <w:rPr>
          <w:rFonts w:hint="eastAsia" w:ascii="宋体" w:hAnsi="宋体" w:eastAsia="宋体" w:cs="宋体"/>
          <w:color w:val="auto"/>
          <w:szCs w:val="28"/>
        </w:rPr>
        <w:fldChar w:fldCharType="end"/>
      </w:r>
    </w:p>
    <w:p w14:paraId="1B51B418">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_Toc8528 </w:instrText>
      </w:r>
      <w:r>
        <w:rPr>
          <w:rFonts w:hint="eastAsia" w:ascii="宋体" w:hAnsi="宋体" w:eastAsia="宋体" w:cs="宋体"/>
          <w:szCs w:val="28"/>
        </w:rPr>
        <w:fldChar w:fldCharType="separate"/>
      </w:r>
      <w:r>
        <w:rPr>
          <w:rFonts w:hint="eastAsia" w:ascii="宋体" w:hAnsi="宋体" w:eastAsia="宋体" w:cs="宋体"/>
          <w:lang w:val="en-US" w:eastAsia="zh-CN"/>
        </w:rPr>
        <w:t xml:space="preserve">3.5.6 </w:t>
      </w:r>
      <w:r>
        <w:rPr>
          <w:rFonts w:hint="eastAsia"/>
          <w:lang w:val="en-US" w:eastAsia="zh-CN"/>
        </w:rPr>
        <w:t>单元小结</w:t>
      </w:r>
      <w:r>
        <w:tab/>
      </w:r>
      <w:r>
        <w:fldChar w:fldCharType="begin"/>
      </w:r>
      <w:r>
        <w:instrText xml:space="preserve"> PAGEREF _Toc8528 \h </w:instrText>
      </w:r>
      <w:r>
        <w:fldChar w:fldCharType="separate"/>
      </w:r>
      <w:r>
        <w:t>- 62 -</w:t>
      </w:r>
      <w:r>
        <w:fldChar w:fldCharType="end"/>
      </w:r>
      <w:r>
        <w:rPr>
          <w:rFonts w:hint="eastAsia" w:ascii="宋体" w:hAnsi="宋体" w:eastAsia="宋体" w:cs="宋体"/>
          <w:color w:val="auto"/>
          <w:szCs w:val="28"/>
        </w:rPr>
        <w:fldChar w:fldCharType="end"/>
      </w:r>
    </w:p>
    <w:p w14:paraId="6AC3B97A">
      <w:pPr>
        <w:pStyle w:val="24"/>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_Toc728 </w:instrText>
      </w:r>
      <w:r>
        <w:rPr>
          <w:rFonts w:hint="eastAsia" w:ascii="宋体" w:hAnsi="宋体" w:eastAsia="宋体" w:cs="宋体"/>
          <w:szCs w:val="28"/>
        </w:rPr>
        <w:fldChar w:fldCharType="separate"/>
      </w:r>
      <w:r>
        <w:rPr>
          <w:rFonts w:hint="eastAsia"/>
        </w:rPr>
        <w:t>3.6. 矿山</w:t>
      </w:r>
      <w:r>
        <w:rPr>
          <w:rFonts w:hint="eastAsia"/>
          <w:lang w:eastAsia="zh-CN"/>
        </w:rPr>
        <w:t>供配电设施单元</w:t>
      </w:r>
      <w:r>
        <w:tab/>
      </w:r>
      <w:r>
        <w:fldChar w:fldCharType="begin"/>
      </w:r>
      <w:r>
        <w:instrText xml:space="preserve"> PAGEREF _Toc728 \h </w:instrText>
      </w:r>
      <w:r>
        <w:fldChar w:fldCharType="separate"/>
      </w:r>
      <w:r>
        <w:t>- 62 -</w:t>
      </w:r>
      <w:r>
        <w:fldChar w:fldCharType="end"/>
      </w:r>
      <w:r>
        <w:rPr>
          <w:rFonts w:hint="eastAsia" w:ascii="宋体" w:hAnsi="宋体" w:eastAsia="宋体" w:cs="宋体"/>
          <w:color w:val="auto"/>
          <w:szCs w:val="28"/>
        </w:rPr>
        <w:fldChar w:fldCharType="end"/>
      </w:r>
    </w:p>
    <w:p w14:paraId="1390BC79">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_Toc22533 </w:instrText>
      </w:r>
      <w:r>
        <w:rPr>
          <w:rFonts w:hint="eastAsia" w:ascii="宋体" w:hAnsi="宋体" w:eastAsia="宋体" w:cs="宋体"/>
          <w:szCs w:val="28"/>
        </w:rPr>
        <w:fldChar w:fldCharType="separate"/>
      </w:r>
      <w:r>
        <w:rPr>
          <w:rFonts w:hint="eastAsia" w:ascii="宋体" w:hAnsi="宋体" w:eastAsia="宋体" w:cs="宋体"/>
        </w:rPr>
        <w:t xml:space="preserve">3.6.1 </w:t>
      </w:r>
      <w:r>
        <w:rPr>
          <w:rFonts w:hint="eastAsia"/>
        </w:rPr>
        <w:t>危险有害因素辨识与分析</w:t>
      </w:r>
      <w:r>
        <w:tab/>
      </w:r>
      <w:r>
        <w:fldChar w:fldCharType="begin"/>
      </w:r>
      <w:r>
        <w:instrText xml:space="preserve"> PAGEREF _Toc22533 \h </w:instrText>
      </w:r>
      <w:r>
        <w:fldChar w:fldCharType="separate"/>
      </w:r>
      <w:r>
        <w:t>- 62 -</w:t>
      </w:r>
      <w:r>
        <w:fldChar w:fldCharType="end"/>
      </w:r>
      <w:r>
        <w:rPr>
          <w:rFonts w:hint="eastAsia" w:ascii="宋体" w:hAnsi="宋体" w:eastAsia="宋体" w:cs="宋体"/>
          <w:color w:val="auto"/>
          <w:szCs w:val="28"/>
        </w:rPr>
        <w:fldChar w:fldCharType="end"/>
      </w:r>
    </w:p>
    <w:p w14:paraId="55B57AF1">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_Toc32223 </w:instrText>
      </w:r>
      <w:r>
        <w:rPr>
          <w:rFonts w:hint="eastAsia" w:ascii="宋体" w:hAnsi="宋体" w:eastAsia="宋体" w:cs="宋体"/>
          <w:szCs w:val="28"/>
        </w:rPr>
        <w:fldChar w:fldCharType="separate"/>
      </w:r>
      <w:r>
        <w:rPr>
          <w:rFonts w:hint="eastAsia" w:ascii="宋体" w:hAnsi="宋体" w:eastAsia="宋体" w:cs="宋体"/>
        </w:rPr>
        <w:t xml:space="preserve">3.6.2 </w:t>
      </w:r>
      <w:r>
        <w:rPr>
          <w:rFonts w:hint="eastAsia"/>
        </w:rPr>
        <w:t>危险程度评价</w:t>
      </w:r>
      <w:r>
        <w:tab/>
      </w:r>
      <w:r>
        <w:fldChar w:fldCharType="begin"/>
      </w:r>
      <w:r>
        <w:instrText xml:space="preserve"> PAGEREF _Toc32223 \h </w:instrText>
      </w:r>
      <w:r>
        <w:fldChar w:fldCharType="separate"/>
      </w:r>
      <w:r>
        <w:t>- 63 -</w:t>
      </w:r>
      <w:r>
        <w:fldChar w:fldCharType="end"/>
      </w:r>
      <w:r>
        <w:rPr>
          <w:rFonts w:hint="eastAsia" w:ascii="宋体" w:hAnsi="宋体" w:eastAsia="宋体" w:cs="宋体"/>
          <w:color w:val="auto"/>
          <w:szCs w:val="28"/>
        </w:rPr>
        <w:fldChar w:fldCharType="end"/>
      </w:r>
    </w:p>
    <w:p w14:paraId="30636B56">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_Toc9245 </w:instrText>
      </w:r>
      <w:r>
        <w:rPr>
          <w:rFonts w:hint="eastAsia" w:ascii="宋体" w:hAnsi="宋体" w:eastAsia="宋体" w:cs="宋体"/>
          <w:szCs w:val="28"/>
        </w:rPr>
        <w:fldChar w:fldCharType="separate"/>
      </w:r>
      <w:r>
        <w:rPr>
          <w:rFonts w:hint="eastAsia" w:ascii="宋体" w:hAnsi="宋体" w:eastAsia="宋体" w:cs="宋体"/>
        </w:rPr>
        <w:t xml:space="preserve">3.6.3 </w:t>
      </w:r>
      <w:r>
        <w:rPr>
          <w:rFonts w:hint="eastAsia"/>
        </w:rPr>
        <w:t>预先危险性分析表</w:t>
      </w:r>
      <w:r>
        <w:tab/>
      </w:r>
      <w:r>
        <w:fldChar w:fldCharType="begin"/>
      </w:r>
      <w:r>
        <w:instrText xml:space="preserve"> PAGEREF _Toc9245 \h </w:instrText>
      </w:r>
      <w:r>
        <w:fldChar w:fldCharType="separate"/>
      </w:r>
      <w:r>
        <w:t>- 64 -</w:t>
      </w:r>
      <w:r>
        <w:fldChar w:fldCharType="end"/>
      </w:r>
      <w:r>
        <w:rPr>
          <w:rFonts w:hint="eastAsia" w:ascii="宋体" w:hAnsi="宋体" w:eastAsia="宋体" w:cs="宋体"/>
          <w:color w:val="auto"/>
          <w:szCs w:val="28"/>
        </w:rPr>
        <w:fldChar w:fldCharType="end"/>
      </w:r>
    </w:p>
    <w:p w14:paraId="454610C2">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_Toc4654 </w:instrText>
      </w:r>
      <w:r>
        <w:rPr>
          <w:rFonts w:hint="eastAsia" w:ascii="宋体" w:hAnsi="宋体" w:eastAsia="宋体" w:cs="宋体"/>
          <w:szCs w:val="28"/>
        </w:rPr>
        <w:fldChar w:fldCharType="separate"/>
      </w:r>
      <w:r>
        <w:rPr>
          <w:rFonts w:hint="eastAsia" w:ascii="宋体" w:hAnsi="宋体" w:eastAsia="宋体" w:cs="宋体"/>
        </w:rPr>
        <w:t xml:space="preserve">3.6.4 </w:t>
      </w:r>
      <w:r>
        <w:rPr>
          <w:rFonts w:hint="eastAsia"/>
        </w:rPr>
        <w:t>安全检查表分析评价</w:t>
      </w:r>
      <w:r>
        <w:tab/>
      </w:r>
      <w:r>
        <w:fldChar w:fldCharType="begin"/>
      </w:r>
      <w:r>
        <w:instrText xml:space="preserve"> PAGEREF _Toc4654 \h </w:instrText>
      </w:r>
      <w:r>
        <w:fldChar w:fldCharType="separate"/>
      </w:r>
      <w:r>
        <w:t>- 65 -</w:t>
      </w:r>
      <w:r>
        <w:fldChar w:fldCharType="end"/>
      </w:r>
      <w:r>
        <w:rPr>
          <w:rFonts w:hint="eastAsia" w:ascii="宋体" w:hAnsi="宋体" w:eastAsia="宋体" w:cs="宋体"/>
          <w:color w:val="auto"/>
          <w:szCs w:val="28"/>
        </w:rPr>
        <w:fldChar w:fldCharType="end"/>
      </w:r>
    </w:p>
    <w:p w14:paraId="71CD09D1">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_Toc27915 </w:instrText>
      </w:r>
      <w:r>
        <w:rPr>
          <w:rFonts w:hint="eastAsia" w:ascii="宋体" w:hAnsi="宋体" w:eastAsia="宋体" w:cs="宋体"/>
          <w:szCs w:val="28"/>
        </w:rPr>
        <w:fldChar w:fldCharType="separate"/>
      </w:r>
      <w:r>
        <w:rPr>
          <w:rFonts w:hint="eastAsia" w:ascii="宋体" w:hAnsi="宋体" w:eastAsia="宋体" w:cs="宋体"/>
        </w:rPr>
        <w:t xml:space="preserve">3.6.5 </w:t>
      </w:r>
      <w:r>
        <w:rPr>
          <w:rFonts w:hint="eastAsia"/>
        </w:rPr>
        <w:t>《</w:t>
      </w:r>
      <w:r>
        <w:rPr>
          <w:rFonts w:hint="eastAsia"/>
          <w:lang w:eastAsia="zh-CN"/>
        </w:rPr>
        <w:t>初步设计</w:t>
      </w:r>
      <w:r>
        <w:rPr>
          <w:rFonts w:hint="eastAsia"/>
        </w:rPr>
        <w:t>》评述</w:t>
      </w:r>
      <w:r>
        <w:tab/>
      </w:r>
      <w:r>
        <w:fldChar w:fldCharType="begin"/>
      </w:r>
      <w:r>
        <w:instrText xml:space="preserve"> PAGEREF _Toc27915 \h </w:instrText>
      </w:r>
      <w:r>
        <w:fldChar w:fldCharType="separate"/>
      </w:r>
      <w:r>
        <w:t>- 68 -</w:t>
      </w:r>
      <w:r>
        <w:fldChar w:fldCharType="end"/>
      </w:r>
      <w:r>
        <w:rPr>
          <w:rFonts w:hint="eastAsia" w:ascii="宋体" w:hAnsi="宋体" w:eastAsia="宋体" w:cs="宋体"/>
          <w:color w:val="auto"/>
          <w:szCs w:val="28"/>
        </w:rPr>
        <w:fldChar w:fldCharType="end"/>
      </w:r>
    </w:p>
    <w:p w14:paraId="15BF0FCA">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_Toc22265 </w:instrText>
      </w:r>
      <w:r>
        <w:rPr>
          <w:rFonts w:hint="eastAsia" w:ascii="宋体" w:hAnsi="宋体" w:eastAsia="宋体" w:cs="宋体"/>
          <w:szCs w:val="28"/>
        </w:rPr>
        <w:fldChar w:fldCharType="separate"/>
      </w:r>
      <w:r>
        <w:rPr>
          <w:rFonts w:hint="eastAsia" w:ascii="宋体" w:hAnsi="宋体" w:eastAsia="宋体" w:cs="宋体"/>
        </w:rPr>
        <w:t xml:space="preserve">3.6.6 </w:t>
      </w:r>
      <w:r>
        <w:rPr>
          <w:rFonts w:hint="eastAsia"/>
        </w:rPr>
        <w:t>单元小结</w:t>
      </w:r>
      <w:r>
        <w:tab/>
      </w:r>
      <w:r>
        <w:fldChar w:fldCharType="begin"/>
      </w:r>
      <w:r>
        <w:instrText xml:space="preserve"> PAGEREF _Toc22265 \h </w:instrText>
      </w:r>
      <w:r>
        <w:fldChar w:fldCharType="separate"/>
      </w:r>
      <w:r>
        <w:t>- 68 -</w:t>
      </w:r>
      <w:r>
        <w:fldChar w:fldCharType="end"/>
      </w:r>
      <w:r>
        <w:rPr>
          <w:rFonts w:hint="eastAsia" w:ascii="宋体" w:hAnsi="宋体" w:eastAsia="宋体" w:cs="宋体"/>
          <w:color w:val="auto"/>
          <w:szCs w:val="28"/>
        </w:rPr>
        <w:fldChar w:fldCharType="end"/>
      </w:r>
    </w:p>
    <w:p w14:paraId="34403CB5">
      <w:pPr>
        <w:pStyle w:val="24"/>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_Toc11409 </w:instrText>
      </w:r>
      <w:r>
        <w:rPr>
          <w:rFonts w:hint="eastAsia" w:ascii="宋体" w:hAnsi="宋体" w:eastAsia="宋体" w:cs="宋体"/>
          <w:szCs w:val="28"/>
        </w:rPr>
        <w:fldChar w:fldCharType="separate"/>
      </w:r>
      <w:r>
        <w:rPr>
          <w:rFonts w:hint="eastAsia"/>
          <w:lang w:val="en-US" w:eastAsia="zh-CN"/>
        </w:rPr>
        <w:t xml:space="preserve">3.7. </w:t>
      </w:r>
      <w:r>
        <w:t>防排水单元</w:t>
      </w:r>
      <w:r>
        <w:tab/>
      </w:r>
      <w:r>
        <w:fldChar w:fldCharType="begin"/>
      </w:r>
      <w:r>
        <w:instrText xml:space="preserve"> PAGEREF _Toc11409 \h </w:instrText>
      </w:r>
      <w:r>
        <w:fldChar w:fldCharType="separate"/>
      </w:r>
      <w:r>
        <w:t>- 69 -</w:t>
      </w:r>
      <w:r>
        <w:fldChar w:fldCharType="end"/>
      </w:r>
      <w:r>
        <w:rPr>
          <w:rFonts w:hint="eastAsia" w:ascii="宋体" w:hAnsi="宋体" w:eastAsia="宋体" w:cs="宋体"/>
          <w:color w:val="auto"/>
          <w:szCs w:val="28"/>
        </w:rPr>
        <w:fldChar w:fldCharType="end"/>
      </w:r>
    </w:p>
    <w:p w14:paraId="3E268DAC">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_Toc10444 </w:instrText>
      </w:r>
      <w:r>
        <w:rPr>
          <w:rFonts w:hint="eastAsia" w:ascii="宋体" w:hAnsi="宋体" w:eastAsia="宋体" w:cs="宋体"/>
          <w:szCs w:val="28"/>
        </w:rPr>
        <w:fldChar w:fldCharType="separate"/>
      </w:r>
      <w:r>
        <w:rPr>
          <w:rFonts w:hint="eastAsia" w:ascii="宋体" w:hAnsi="宋体" w:eastAsia="宋体" w:cs="宋体"/>
        </w:rPr>
        <w:t xml:space="preserve">3.7.1 </w:t>
      </w:r>
      <w:r>
        <w:rPr>
          <w:rFonts w:hint="eastAsia"/>
        </w:rPr>
        <w:t>危险有害因素辨识与分析</w:t>
      </w:r>
      <w:r>
        <w:tab/>
      </w:r>
      <w:r>
        <w:fldChar w:fldCharType="begin"/>
      </w:r>
      <w:r>
        <w:instrText xml:space="preserve"> PAGEREF _Toc10444 \h </w:instrText>
      </w:r>
      <w:r>
        <w:fldChar w:fldCharType="separate"/>
      </w:r>
      <w:r>
        <w:t>- 69 -</w:t>
      </w:r>
      <w:r>
        <w:fldChar w:fldCharType="end"/>
      </w:r>
      <w:r>
        <w:rPr>
          <w:rFonts w:hint="eastAsia" w:ascii="宋体" w:hAnsi="宋体" w:eastAsia="宋体" w:cs="宋体"/>
          <w:color w:val="auto"/>
          <w:szCs w:val="28"/>
        </w:rPr>
        <w:fldChar w:fldCharType="end"/>
      </w:r>
    </w:p>
    <w:p w14:paraId="76709DFF">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_Toc22400 </w:instrText>
      </w:r>
      <w:r>
        <w:rPr>
          <w:rFonts w:hint="eastAsia" w:ascii="宋体" w:hAnsi="宋体" w:eastAsia="宋体" w:cs="宋体"/>
          <w:szCs w:val="28"/>
        </w:rPr>
        <w:fldChar w:fldCharType="separate"/>
      </w:r>
      <w:r>
        <w:rPr>
          <w:rFonts w:hint="eastAsia" w:ascii="宋体" w:hAnsi="宋体" w:eastAsia="宋体" w:cs="宋体"/>
        </w:rPr>
        <w:t xml:space="preserve">3.7.2 </w:t>
      </w:r>
      <w:r>
        <w:rPr>
          <w:rFonts w:hint="eastAsia"/>
        </w:rPr>
        <w:t>危险程度评价</w:t>
      </w:r>
      <w:r>
        <w:tab/>
      </w:r>
      <w:r>
        <w:fldChar w:fldCharType="begin"/>
      </w:r>
      <w:r>
        <w:instrText xml:space="preserve"> PAGEREF _Toc22400 \h </w:instrText>
      </w:r>
      <w:r>
        <w:fldChar w:fldCharType="separate"/>
      </w:r>
      <w:r>
        <w:t>- 70 -</w:t>
      </w:r>
      <w:r>
        <w:fldChar w:fldCharType="end"/>
      </w:r>
      <w:r>
        <w:rPr>
          <w:rFonts w:hint="eastAsia" w:ascii="宋体" w:hAnsi="宋体" w:eastAsia="宋体" w:cs="宋体"/>
          <w:color w:val="auto"/>
          <w:szCs w:val="28"/>
        </w:rPr>
        <w:fldChar w:fldCharType="end"/>
      </w:r>
    </w:p>
    <w:p w14:paraId="0447B9F7">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_Toc20967 </w:instrText>
      </w:r>
      <w:r>
        <w:rPr>
          <w:rFonts w:hint="eastAsia" w:ascii="宋体" w:hAnsi="宋体" w:eastAsia="宋体" w:cs="宋体"/>
          <w:szCs w:val="28"/>
        </w:rPr>
        <w:fldChar w:fldCharType="separate"/>
      </w:r>
      <w:r>
        <w:rPr>
          <w:rFonts w:hint="eastAsia" w:ascii="宋体" w:hAnsi="宋体" w:eastAsia="宋体" w:cs="宋体"/>
        </w:rPr>
        <w:t xml:space="preserve">3.7.3 </w:t>
      </w:r>
      <w:r>
        <w:rPr>
          <w:rFonts w:hint="eastAsia"/>
        </w:rPr>
        <w:t>预先危险性分析</w:t>
      </w:r>
      <w:r>
        <w:tab/>
      </w:r>
      <w:r>
        <w:fldChar w:fldCharType="begin"/>
      </w:r>
      <w:r>
        <w:instrText xml:space="preserve"> PAGEREF _Toc20967 \h </w:instrText>
      </w:r>
      <w:r>
        <w:fldChar w:fldCharType="separate"/>
      </w:r>
      <w:r>
        <w:t>- 70 -</w:t>
      </w:r>
      <w:r>
        <w:fldChar w:fldCharType="end"/>
      </w:r>
      <w:r>
        <w:rPr>
          <w:rFonts w:hint="eastAsia" w:ascii="宋体" w:hAnsi="宋体" w:eastAsia="宋体" w:cs="宋体"/>
          <w:color w:val="auto"/>
          <w:szCs w:val="28"/>
        </w:rPr>
        <w:fldChar w:fldCharType="end"/>
      </w:r>
    </w:p>
    <w:p w14:paraId="4FCDA921">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_Toc15642 </w:instrText>
      </w:r>
      <w:r>
        <w:rPr>
          <w:rFonts w:hint="eastAsia" w:ascii="宋体" w:hAnsi="宋体" w:eastAsia="宋体" w:cs="宋体"/>
          <w:szCs w:val="28"/>
        </w:rPr>
        <w:fldChar w:fldCharType="separate"/>
      </w:r>
      <w:r>
        <w:rPr>
          <w:rFonts w:hint="eastAsia" w:ascii="宋体" w:hAnsi="宋体" w:eastAsia="宋体" w:cs="宋体"/>
        </w:rPr>
        <w:t xml:space="preserve">3.7.4 </w:t>
      </w:r>
      <w:r>
        <w:rPr>
          <w:rFonts w:hint="eastAsia"/>
        </w:rPr>
        <w:t>安全检查表分析评价</w:t>
      </w:r>
      <w:r>
        <w:tab/>
      </w:r>
      <w:r>
        <w:fldChar w:fldCharType="begin"/>
      </w:r>
      <w:r>
        <w:instrText xml:space="preserve"> PAGEREF _Toc15642 \h </w:instrText>
      </w:r>
      <w:r>
        <w:fldChar w:fldCharType="separate"/>
      </w:r>
      <w:r>
        <w:t>- 71 -</w:t>
      </w:r>
      <w:r>
        <w:fldChar w:fldCharType="end"/>
      </w:r>
      <w:r>
        <w:rPr>
          <w:rFonts w:hint="eastAsia" w:ascii="宋体" w:hAnsi="宋体" w:eastAsia="宋体" w:cs="宋体"/>
          <w:color w:val="auto"/>
          <w:szCs w:val="28"/>
        </w:rPr>
        <w:fldChar w:fldCharType="end"/>
      </w:r>
    </w:p>
    <w:p w14:paraId="32599122">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_Toc25210 </w:instrText>
      </w:r>
      <w:r>
        <w:rPr>
          <w:rFonts w:hint="eastAsia" w:ascii="宋体" w:hAnsi="宋体" w:eastAsia="宋体" w:cs="宋体"/>
          <w:szCs w:val="28"/>
        </w:rPr>
        <w:fldChar w:fldCharType="separate"/>
      </w:r>
      <w:r>
        <w:rPr>
          <w:rFonts w:hint="eastAsia" w:ascii="宋体" w:hAnsi="宋体" w:eastAsia="宋体" w:cs="宋体"/>
        </w:rPr>
        <w:t xml:space="preserve">3.7.5 </w:t>
      </w:r>
      <w:r>
        <w:rPr>
          <w:rFonts w:hint="eastAsia"/>
        </w:rPr>
        <w:t>《</w:t>
      </w:r>
      <w:r>
        <w:rPr>
          <w:rFonts w:hint="eastAsia"/>
          <w:lang w:eastAsia="zh-CN"/>
        </w:rPr>
        <w:t>初步设计</w:t>
      </w:r>
      <w:r>
        <w:rPr>
          <w:rFonts w:hint="eastAsia"/>
        </w:rPr>
        <w:t>》评述</w:t>
      </w:r>
      <w:r>
        <w:tab/>
      </w:r>
      <w:r>
        <w:fldChar w:fldCharType="begin"/>
      </w:r>
      <w:r>
        <w:instrText xml:space="preserve"> PAGEREF _Toc25210 \h </w:instrText>
      </w:r>
      <w:r>
        <w:fldChar w:fldCharType="separate"/>
      </w:r>
      <w:r>
        <w:t>- 71 -</w:t>
      </w:r>
      <w:r>
        <w:fldChar w:fldCharType="end"/>
      </w:r>
      <w:r>
        <w:rPr>
          <w:rFonts w:hint="eastAsia" w:ascii="宋体" w:hAnsi="宋体" w:eastAsia="宋体" w:cs="宋体"/>
          <w:color w:val="auto"/>
          <w:szCs w:val="28"/>
        </w:rPr>
        <w:fldChar w:fldCharType="end"/>
      </w:r>
    </w:p>
    <w:p w14:paraId="73144D09">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_Toc6880 </w:instrText>
      </w:r>
      <w:r>
        <w:rPr>
          <w:rFonts w:hint="eastAsia" w:ascii="宋体" w:hAnsi="宋体" w:eastAsia="宋体" w:cs="宋体"/>
          <w:szCs w:val="28"/>
        </w:rPr>
        <w:fldChar w:fldCharType="separate"/>
      </w:r>
      <w:r>
        <w:rPr>
          <w:rFonts w:hint="eastAsia" w:ascii="宋体" w:hAnsi="宋体" w:eastAsia="宋体" w:cs="宋体"/>
        </w:rPr>
        <w:t xml:space="preserve">3.7.6 </w:t>
      </w:r>
      <w:r>
        <w:rPr>
          <w:rFonts w:hint="eastAsia"/>
        </w:rPr>
        <w:t>单元小结</w:t>
      </w:r>
      <w:r>
        <w:tab/>
      </w:r>
      <w:r>
        <w:fldChar w:fldCharType="begin"/>
      </w:r>
      <w:r>
        <w:instrText xml:space="preserve"> PAGEREF _Toc6880 \h </w:instrText>
      </w:r>
      <w:r>
        <w:fldChar w:fldCharType="separate"/>
      </w:r>
      <w:r>
        <w:t>- 72 -</w:t>
      </w:r>
      <w:r>
        <w:fldChar w:fldCharType="end"/>
      </w:r>
      <w:r>
        <w:rPr>
          <w:rFonts w:hint="eastAsia" w:ascii="宋体" w:hAnsi="宋体" w:eastAsia="宋体" w:cs="宋体"/>
          <w:color w:val="auto"/>
          <w:szCs w:val="28"/>
        </w:rPr>
        <w:fldChar w:fldCharType="end"/>
      </w:r>
    </w:p>
    <w:p w14:paraId="4028E5F8">
      <w:pPr>
        <w:pStyle w:val="24"/>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_Toc8141 </w:instrText>
      </w:r>
      <w:r>
        <w:rPr>
          <w:rFonts w:hint="eastAsia" w:ascii="宋体" w:hAnsi="宋体" w:eastAsia="宋体" w:cs="宋体"/>
          <w:szCs w:val="28"/>
        </w:rPr>
        <w:fldChar w:fldCharType="separate"/>
      </w:r>
      <w:r>
        <w:rPr>
          <w:rFonts w:hint="eastAsia"/>
        </w:rPr>
        <w:t xml:space="preserve">3.8. </w:t>
      </w:r>
      <w:r>
        <w:t>安全管理及其他单元</w:t>
      </w:r>
      <w:r>
        <w:tab/>
      </w:r>
      <w:r>
        <w:fldChar w:fldCharType="begin"/>
      </w:r>
      <w:r>
        <w:instrText xml:space="preserve"> PAGEREF _Toc8141 \h </w:instrText>
      </w:r>
      <w:r>
        <w:fldChar w:fldCharType="separate"/>
      </w:r>
      <w:r>
        <w:t>- 72 -</w:t>
      </w:r>
      <w:r>
        <w:fldChar w:fldCharType="end"/>
      </w:r>
      <w:r>
        <w:rPr>
          <w:rFonts w:hint="eastAsia" w:ascii="宋体" w:hAnsi="宋体" w:eastAsia="宋体" w:cs="宋体"/>
          <w:color w:val="auto"/>
          <w:szCs w:val="28"/>
        </w:rPr>
        <w:fldChar w:fldCharType="end"/>
      </w:r>
    </w:p>
    <w:p w14:paraId="644854F0">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_Toc20382 </w:instrText>
      </w:r>
      <w:r>
        <w:rPr>
          <w:rFonts w:hint="eastAsia" w:ascii="宋体" w:hAnsi="宋体" w:eastAsia="宋体" w:cs="宋体"/>
          <w:szCs w:val="28"/>
        </w:rPr>
        <w:fldChar w:fldCharType="separate"/>
      </w:r>
      <w:r>
        <w:rPr>
          <w:rFonts w:hint="eastAsia" w:ascii="宋体" w:hAnsi="宋体" w:eastAsia="宋体" w:cs="宋体"/>
        </w:rPr>
        <w:t xml:space="preserve">3.8.1 </w:t>
      </w:r>
      <w:r>
        <w:t>预先危险分析</w:t>
      </w:r>
      <w:r>
        <w:tab/>
      </w:r>
      <w:r>
        <w:fldChar w:fldCharType="begin"/>
      </w:r>
      <w:r>
        <w:instrText xml:space="preserve"> PAGEREF _Toc20382 \h </w:instrText>
      </w:r>
      <w:r>
        <w:fldChar w:fldCharType="separate"/>
      </w:r>
      <w:r>
        <w:t>- 72 -</w:t>
      </w:r>
      <w:r>
        <w:fldChar w:fldCharType="end"/>
      </w:r>
      <w:r>
        <w:rPr>
          <w:rFonts w:hint="eastAsia" w:ascii="宋体" w:hAnsi="宋体" w:eastAsia="宋体" w:cs="宋体"/>
          <w:color w:val="auto"/>
          <w:szCs w:val="28"/>
        </w:rPr>
        <w:fldChar w:fldCharType="end"/>
      </w:r>
    </w:p>
    <w:p w14:paraId="032C1618">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_Toc27028 </w:instrText>
      </w:r>
      <w:r>
        <w:rPr>
          <w:rFonts w:hint="eastAsia" w:ascii="宋体" w:hAnsi="宋体" w:eastAsia="宋体" w:cs="宋体"/>
          <w:szCs w:val="28"/>
        </w:rPr>
        <w:fldChar w:fldCharType="separate"/>
      </w:r>
      <w:r>
        <w:rPr>
          <w:rFonts w:hint="eastAsia" w:ascii="宋体" w:hAnsi="宋体" w:eastAsia="宋体" w:cs="宋体"/>
        </w:rPr>
        <w:t xml:space="preserve">3.8.2 </w:t>
      </w:r>
      <w:r>
        <w:t>安全检查表分析</w:t>
      </w:r>
      <w:r>
        <w:tab/>
      </w:r>
      <w:r>
        <w:fldChar w:fldCharType="begin"/>
      </w:r>
      <w:r>
        <w:instrText xml:space="preserve"> PAGEREF _Toc27028 \h </w:instrText>
      </w:r>
      <w:r>
        <w:fldChar w:fldCharType="separate"/>
      </w:r>
      <w:r>
        <w:t>- 75 -</w:t>
      </w:r>
      <w:r>
        <w:fldChar w:fldCharType="end"/>
      </w:r>
      <w:r>
        <w:rPr>
          <w:rFonts w:hint="eastAsia" w:ascii="宋体" w:hAnsi="宋体" w:eastAsia="宋体" w:cs="宋体"/>
          <w:color w:val="auto"/>
          <w:szCs w:val="28"/>
        </w:rPr>
        <w:fldChar w:fldCharType="end"/>
      </w:r>
    </w:p>
    <w:p w14:paraId="033820F2">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_Toc12262 </w:instrText>
      </w:r>
      <w:r>
        <w:rPr>
          <w:rFonts w:hint="eastAsia" w:ascii="宋体" w:hAnsi="宋体" w:eastAsia="宋体" w:cs="宋体"/>
          <w:szCs w:val="28"/>
        </w:rPr>
        <w:fldChar w:fldCharType="separate"/>
      </w:r>
      <w:r>
        <w:rPr>
          <w:rFonts w:hint="eastAsia" w:ascii="宋体" w:hAnsi="宋体" w:eastAsia="宋体" w:cs="宋体"/>
        </w:rPr>
        <w:t xml:space="preserve">3.8.3 </w:t>
      </w:r>
      <w:r>
        <w:rPr>
          <w:rFonts w:hint="eastAsia"/>
        </w:rPr>
        <w:t>《初步设计》评述</w:t>
      </w:r>
      <w:r>
        <w:tab/>
      </w:r>
      <w:r>
        <w:fldChar w:fldCharType="begin"/>
      </w:r>
      <w:r>
        <w:instrText xml:space="preserve"> PAGEREF _Toc12262 \h </w:instrText>
      </w:r>
      <w:r>
        <w:fldChar w:fldCharType="separate"/>
      </w:r>
      <w:r>
        <w:t>- 77 -</w:t>
      </w:r>
      <w:r>
        <w:fldChar w:fldCharType="end"/>
      </w:r>
      <w:r>
        <w:rPr>
          <w:rFonts w:hint="eastAsia" w:ascii="宋体" w:hAnsi="宋体" w:eastAsia="宋体" w:cs="宋体"/>
          <w:color w:val="auto"/>
          <w:szCs w:val="28"/>
        </w:rPr>
        <w:fldChar w:fldCharType="end"/>
      </w:r>
    </w:p>
    <w:p w14:paraId="69592C28">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_Toc12035 </w:instrText>
      </w:r>
      <w:r>
        <w:rPr>
          <w:rFonts w:hint="eastAsia" w:ascii="宋体" w:hAnsi="宋体" w:eastAsia="宋体" w:cs="宋体"/>
          <w:szCs w:val="28"/>
        </w:rPr>
        <w:fldChar w:fldCharType="separate"/>
      </w:r>
      <w:r>
        <w:rPr>
          <w:rFonts w:hint="eastAsia" w:ascii="宋体" w:hAnsi="宋体" w:eastAsia="宋体" w:cs="宋体"/>
        </w:rPr>
        <w:t xml:space="preserve">3.8.4 </w:t>
      </w:r>
      <w:r>
        <w:rPr>
          <w:rFonts w:hint="eastAsia"/>
        </w:rPr>
        <w:t>单元小结</w:t>
      </w:r>
      <w:r>
        <w:tab/>
      </w:r>
      <w:r>
        <w:fldChar w:fldCharType="begin"/>
      </w:r>
      <w:r>
        <w:instrText xml:space="preserve"> PAGEREF _Toc12035 \h </w:instrText>
      </w:r>
      <w:r>
        <w:fldChar w:fldCharType="separate"/>
      </w:r>
      <w:r>
        <w:t>- 77 -</w:t>
      </w:r>
      <w:r>
        <w:fldChar w:fldCharType="end"/>
      </w:r>
      <w:r>
        <w:rPr>
          <w:rFonts w:hint="eastAsia" w:ascii="宋体" w:hAnsi="宋体" w:eastAsia="宋体" w:cs="宋体"/>
          <w:color w:val="auto"/>
          <w:szCs w:val="28"/>
        </w:rPr>
        <w:fldChar w:fldCharType="end"/>
      </w:r>
    </w:p>
    <w:p w14:paraId="63BFCAB0">
      <w:pPr>
        <w:pStyle w:val="24"/>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_Toc20321 </w:instrText>
      </w:r>
      <w:r>
        <w:rPr>
          <w:rFonts w:hint="eastAsia" w:ascii="宋体" w:hAnsi="宋体" w:eastAsia="宋体" w:cs="宋体"/>
          <w:szCs w:val="28"/>
        </w:rPr>
        <w:fldChar w:fldCharType="separate"/>
      </w:r>
      <w:r>
        <w:rPr>
          <w:rFonts w:hint="eastAsia"/>
        </w:rPr>
        <w:t>3.9. 重大危险源辨识单元</w:t>
      </w:r>
      <w:r>
        <w:tab/>
      </w:r>
      <w:r>
        <w:fldChar w:fldCharType="begin"/>
      </w:r>
      <w:r>
        <w:instrText xml:space="preserve"> PAGEREF _Toc20321 \h </w:instrText>
      </w:r>
      <w:r>
        <w:fldChar w:fldCharType="separate"/>
      </w:r>
      <w:r>
        <w:t>- 77 -</w:t>
      </w:r>
      <w:r>
        <w:fldChar w:fldCharType="end"/>
      </w:r>
      <w:r>
        <w:rPr>
          <w:rFonts w:hint="eastAsia" w:ascii="宋体" w:hAnsi="宋体" w:eastAsia="宋体" w:cs="宋体"/>
          <w:color w:val="auto"/>
          <w:szCs w:val="28"/>
        </w:rPr>
        <w:fldChar w:fldCharType="end"/>
      </w:r>
    </w:p>
    <w:p w14:paraId="324CF40E">
      <w:pPr>
        <w:pStyle w:val="22"/>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_Toc6492 </w:instrText>
      </w:r>
      <w:r>
        <w:rPr>
          <w:rFonts w:hint="eastAsia" w:ascii="宋体" w:hAnsi="宋体" w:eastAsia="宋体" w:cs="宋体"/>
          <w:szCs w:val="28"/>
        </w:rPr>
        <w:fldChar w:fldCharType="separate"/>
      </w:r>
      <w:r>
        <w:rPr>
          <w:rFonts w:hint="default"/>
        </w:rPr>
        <w:t xml:space="preserve">第4章 </w:t>
      </w:r>
      <w:r>
        <w:t>安全对策措施及建议</w:t>
      </w:r>
      <w:r>
        <w:tab/>
      </w:r>
      <w:r>
        <w:fldChar w:fldCharType="begin"/>
      </w:r>
      <w:r>
        <w:instrText xml:space="preserve"> PAGEREF _Toc6492 \h </w:instrText>
      </w:r>
      <w:r>
        <w:fldChar w:fldCharType="separate"/>
      </w:r>
      <w:r>
        <w:t>- 79 -</w:t>
      </w:r>
      <w:r>
        <w:fldChar w:fldCharType="end"/>
      </w:r>
      <w:r>
        <w:rPr>
          <w:rFonts w:hint="eastAsia" w:ascii="宋体" w:hAnsi="宋体" w:eastAsia="宋体" w:cs="宋体"/>
          <w:color w:val="auto"/>
          <w:szCs w:val="28"/>
        </w:rPr>
        <w:fldChar w:fldCharType="end"/>
      </w:r>
    </w:p>
    <w:p w14:paraId="2215A334">
      <w:pPr>
        <w:pStyle w:val="24"/>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_Toc28055 </w:instrText>
      </w:r>
      <w:r>
        <w:rPr>
          <w:rFonts w:hint="eastAsia" w:ascii="宋体" w:hAnsi="宋体" w:eastAsia="宋体" w:cs="宋体"/>
          <w:szCs w:val="28"/>
        </w:rPr>
        <w:fldChar w:fldCharType="separate"/>
      </w:r>
      <w:r>
        <w:rPr>
          <w:rFonts w:hint="eastAsia"/>
        </w:rPr>
        <w:t>4.1. 安全对策措施建议的主要原则</w:t>
      </w:r>
      <w:r>
        <w:tab/>
      </w:r>
      <w:r>
        <w:fldChar w:fldCharType="begin"/>
      </w:r>
      <w:r>
        <w:instrText xml:space="preserve"> PAGEREF _Toc28055 \h </w:instrText>
      </w:r>
      <w:r>
        <w:fldChar w:fldCharType="separate"/>
      </w:r>
      <w:r>
        <w:t>- 79 -</w:t>
      </w:r>
      <w:r>
        <w:fldChar w:fldCharType="end"/>
      </w:r>
      <w:r>
        <w:rPr>
          <w:rFonts w:hint="eastAsia" w:ascii="宋体" w:hAnsi="宋体" w:eastAsia="宋体" w:cs="宋体"/>
          <w:color w:val="auto"/>
          <w:szCs w:val="28"/>
        </w:rPr>
        <w:fldChar w:fldCharType="end"/>
      </w:r>
    </w:p>
    <w:p w14:paraId="66FB0BC8">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_Toc13 </w:instrText>
      </w:r>
      <w:r>
        <w:rPr>
          <w:rFonts w:hint="eastAsia" w:ascii="宋体" w:hAnsi="宋体" w:eastAsia="宋体" w:cs="宋体"/>
          <w:szCs w:val="28"/>
        </w:rPr>
        <w:fldChar w:fldCharType="separate"/>
      </w:r>
      <w:r>
        <w:rPr>
          <w:rFonts w:hint="eastAsia" w:ascii="宋体" w:hAnsi="宋体" w:eastAsia="宋体" w:cs="宋体"/>
        </w:rPr>
        <w:t xml:space="preserve">4.1.1 </w:t>
      </w:r>
      <w:r>
        <w:rPr>
          <w:rFonts w:hint="eastAsia"/>
        </w:rPr>
        <w:t>安全对策措施的基本要求</w:t>
      </w:r>
      <w:r>
        <w:tab/>
      </w:r>
      <w:r>
        <w:fldChar w:fldCharType="begin"/>
      </w:r>
      <w:r>
        <w:instrText xml:space="preserve"> PAGEREF _Toc13 \h </w:instrText>
      </w:r>
      <w:r>
        <w:fldChar w:fldCharType="separate"/>
      </w:r>
      <w:r>
        <w:t>- 79 -</w:t>
      </w:r>
      <w:r>
        <w:fldChar w:fldCharType="end"/>
      </w:r>
      <w:r>
        <w:rPr>
          <w:rFonts w:hint="eastAsia" w:ascii="宋体" w:hAnsi="宋体" w:eastAsia="宋体" w:cs="宋体"/>
          <w:color w:val="auto"/>
          <w:szCs w:val="28"/>
        </w:rPr>
        <w:fldChar w:fldCharType="end"/>
      </w:r>
    </w:p>
    <w:p w14:paraId="2411509F">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_Toc27176 </w:instrText>
      </w:r>
      <w:r>
        <w:rPr>
          <w:rFonts w:hint="eastAsia" w:ascii="宋体" w:hAnsi="宋体" w:eastAsia="宋体" w:cs="宋体"/>
          <w:szCs w:val="28"/>
        </w:rPr>
        <w:fldChar w:fldCharType="separate"/>
      </w:r>
      <w:r>
        <w:rPr>
          <w:rFonts w:hint="eastAsia" w:ascii="宋体" w:hAnsi="宋体" w:eastAsia="宋体" w:cs="宋体"/>
        </w:rPr>
        <w:t xml:space="preserve">4.1.2 </w:t>
      </w:r>
      <w:r>
        <w:rPr>
          <w:rFonts w:hint="eastAsia"/>
        </w:rPr>
        <w:t>制定安全对策措施建议的原则</w:t>
      </w:r>
      <w:r>
        <w:tab/>
      </w:r>
      <w:r>
        <w:fldChar w:fldCharType="begin"/>
      </w:r>
      <w:r>
        <w:instrText xml:space="preserve"> PAGEREF _Toc27176 \h </w:instrText>
      </w:r>
      <w:r>
        <w:fldChar w:fldCharType="separate"/>
      </w:r>
      <w:r>
        <w:t>- 79 -</w:t>
      </w:r>
      <w:r>
        <w:fldChar w:fldCharType="end"/>
      </w:r>
      <w:r>
        <w:rPr>
          <w:rFonts w:hint="eastAsia" w:ascii="宋体" w:hAnsi="宋体" w:eastAsia="宋体" w:cs="宋体"/>
          <w:color w:val="auto"/>
          <w:szCs w:val="28"/>
        </w:rPr>
        <w:fldChar w:fldCharType="end"/>
      </w:r>
    </w:p>
    <w:p w14:paraId="20F6F768">
      <w:pPr>
        <w:pStyle w:val="24"/>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_Toc6804 </w:instrText>
      </w:r>
      <w:r>
        <w:rPr>
          <w:rFonts w:hint="eastAsia" w:ascii="宋体" w:hAnsi="宋体" w:eastAsia="宋体" w:cs="宋体"/>
          <w:szCs w:val="28"/>
        </w:rPr>
        <w:fldChar w:fldCharType="separate"/>
      </w:r>
      <w:r>
        <w:rPr>
          <w:rFonts w:hint="eastAsia"/>
        </w:rPr>
        <w:t xml:space="preserve">4.2. </w:t>
      </w:r>
      <w:r>
        <w:rPr>
          <w:rFonts w:hint="eastAsia"/>
          <w:lang w:eastAsia="zh-CN"/>
        </w:rPr>
        <w:t>《</w:t>
      </w:r>
      <w:r>
        <w:rPr>
          <w:rFonts w:hint="eastAsia"/>
        </w:rPr>
        <w:t>初步设计</w:t>
      </w:r>
      <w:r>
        <w:rPr>
          <w:rFonts w:hint="eastAsia"/>
          <w:lang w:eastAsia="zh-CN"/>
        </w:rPr>
        <w:t>》</w:t>
      </w:r>
      <w:r>
        <w:rPr>
          <w:rFonts w:hint="eastAsia"/>
        </w:rPr>
        <w:t>中提出的</w:t>
      </w:r>
      <w:r>
        <w:rPr>
          <w:rFonts w:hint="eastAsia"/>
          <w:lang w:val="en-US" w:eastAsia="zh-CN"/>
        </w:rPr>
        <w:t>对策措施及建议</w:t>
      </w:r>
      <w:r>
        <w:tab/>
      </w:r>
      <w:r>
        <w:fldChar w:fldCharType="begin"/>
      </w:r>
      <w:r>
        <w:instrText xml:space="preserve"> PAGEREF _Toc6804 \h </w:instrText>
      </w:r>
      <w:r>
        <w:fldChar w:fldCharType="separate"/>
      </w:r>
      <w:r>
        <w:t>- 79 -</w:t>
      </w:r>
      <w:r>
        <w:fldChar w:fldCharType="end"/>
      </w:r>
      <w:r>
        <w:rPr>
          <w:rFonts w:hint="eastAsia" w:ascii="宋体" w:hAnsi="宋体" w:eastAsia="宋体" w:cs="宋体"/>
          <w:color w:val="auto"/>
          <w:szCs w:val="28"/>
        </w:rPr>
        <w:fldChar w:fldCharType="end"/>
      </w:r>
    </w:p>
    <w:p w14:paraId="3A04FAB2">
      <w:pPr>
        <w:pStyle w:val="24"/>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_Toc899 </w:instrText>
      </w:r>
      <w:r>
        <w:rPr>
          <w:rFonts w:hint="eastAsia" w:ascii="宋体" w:hAnsi="宋体" w:eastAsia="宋体" w:cs="宋体"/>
          <w:szCs w:val="28"/>
        </w:rPr>
        <w:fldChar w:fldCharType="separate"/>
      </w:r>
      <w:r>
        <w:rPr>
          <w:rFonts w:hint="eastAsia"/>
        </w:rPr>
        <w:t xml:space="preserve">4.3. </w:t>
      </w:r>
      <w:r>
        <w:rPr>
          <w:rFonts w:hint="eastAsia"/>
          <w:lang w:val="en-US" w:eastAsia="zh-CN"/>
        </w:rPr>
        <w:t>《初步设计》中存在的不足</w:t>
      </w:r>
      <w:r>
        <w:tab/>
      </w:r>
      <w:r>
        <w:fldChar w:fldCharType="begin"/>
      </w:r>
      <w:r>
        <w:instrText xml:space="preserve"> PAGEREF _Toc899 \h </w:instrText>
      </w:r>
      <w:r>
        <w:fldChar w:fldCharType="separate"/>
      </w:r>
      <w:r>
        <w:t>- 80 -</w:t>
      </w:r>
      <w:r>
        <w:fldChar w:fldCharType="end"/>
      </w:r>
      <w:r>
        <w:rPr>
          <w:rFonts w:hint="eastAsia" w:ascii="宋体" w:hAnsi="宋体" w:eastAsia="宋体" w:cs="宋体"/>
          <w:color w:val="auto"/>
          <w:szCs w:val="28"/>
        </w:rPr>
        <w:fldChar w:fldCharType="end"/>
      </w:r>
    </w:p>
    <w:p w14:paraId="0079B3C8">
      <w:pPr>
        <w:pStyle w:val="24"/>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_Toc18125 </w:instrText>
      </w:r>
      <w:r>
        <w:rPr>
          <w:rFonts w:hint="eastAsia" w:ascii="宋体" w:hAnsi="宋体" w:eastAsia="宋体" w:cs="宋体"/>
          <w:szCs w:val="28"/>
        </w:rPr>
        <w:fldChar w:fldCharType="separate"/>
      </w:r>
      <w:r>
        <w:rPr>
          <w:rFonts w:hint="eastAsia"/>
        </w:rPr>
        <w:t xml:space="preserve">4.4. </w:t>
      </w:r>
      <w:r>
        <w:rPr>
          <w:lang w:val="en-US"/>
        </w:rPr>
        <w:t>各单元应补充和完善</w:t>
      </w:r>
      <w:r>
        <w:rPr>
          <w:rFonts w:hint="eastAsia"/>
          <w:lang w:val="en-US" w:eastAsia="zh-CN"/>
        </w:rPr>
        <w:t>的安全对策措施</w:t>
      </w:r>
      <w:r>
        <w:tab/>
      </w:r>
      <w:r>
        <w:fldChar w:fldCharType="begin"/>
      </w:r>
      <w:r>
        <w:instrText xml:space="preserve"> PAGEREF _Toc18125 \h </w:instrText>
      </w:r>
      <w:r>
        <w:fldChar w:fldCharType="separate"/>
      </w:r>
      <w:r>
        <w:t>- 81 -</w:t>
      </w:r>
      <w:r>
        <w:fldChar w:fldCharType="end"/>
      </w:r>
      <w:r>
        <w:rPr>
          <w:rFonts w:hint="eastAsia" w:ascii="宋体" w:hAnsi="宋体" w:eastAsia="宋体" w:cs="宋体"/>
          <w:color w:val="auto"/>
          <w:szCs w:val="28"/>
        </w:rPr>
        <w:fldChar w:fldCharType="end"/>
      </w:r>
    </w:p>
    <w:p w14:paraId="125370CB">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_Toc31903 </w:instrText>
      </w:r>
      <w:r>
        <w:rPr>
          <w:rFonts w:hint="eastAsia" w:ascii="宋体" w:hAnsi="宋体" w:eastAsia="宋体" w:cs="宋体"/>
          <w:szCs w:val="28"/>
        </w:rPr>
        <w:fldChar w:fldCharType="separate"/>
      </w:r>
      <w:r>
        <w:rPr>
          <w:rFonts w:hint="eastAsia" w:ascii="宋体" w:hAnsi="宋体" w:eastAsia="宋体" w:cs="宋体"/>
        </w:rPr>
        <w:t xml:space="preserve">4.4.1 </w:t>
      </w:r>
      <w:r>
        <w:t>总平面布置单元</w:t>
      </w:r>
      <w:r>
        <w:rPr>
          <w:rFonts w:hint="default"/>
        </w:rPr>
        <w:t>安全对策措施建议</w:t>
      </w:r>
      <w:r>
        <w:tab/>
      </w:r>
      <w:r>
        <w:fldChar w:fldCharType="begin"/>
      </w:r>
      <w:r>
        <w:instrText xml:space="preserve"> PAGEREF _Toc31903 \h </w:instrText>
      </w:r>
      <w:r>
        <w:fldChar w:fldCharType="separate"/>
      </w:r>
      <w:r>
        <w:t>- 81 -</w:t>
      </w:r>
      <w:r>
        <w:fldChar w:fldCharType="end"/>
      </w:r>
      <w:r>
        <w:rPr>
          <w:rFonts w:hint="eastAsia" w:ascii="宋体" w:hAnsi="宋体" w:eastAsia="宋体" w:cs="宋体"/>
          <w:color w:val="auto"/>
          <w:szCs w:val="28"/>
        </w:rPr>
        <w:fldChar w:fldCharType="end"/>
      </w:r>
    </w:p>
    <w:p w14:paraId="5625F26A">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_Toc11853 </w:instrText>
      </w:r>
      <w:r>
        <w:rPr>
          <w:rFonts w:hint="eastAsia" w:ascii="宋体" w:hAnsi="宋体" w:eastAsia="宋体" w:cs="宋体"/>
          <w:szCs w:val="28"/>
        </w:rPr>
        <w:fldChar w:fldCharType="separate"/>
      </w:r>
      <w:r>
        <w:rPr>
          <w:rFonts w:hint="eastAsia" w:ascii="宋体" w:hAnsi="宋体" w:eastAsia="宋体" w:cs="宋体"/>
        </w:rPr>
        <w:t xml:space="preserve">4.4.2 </w:t>
      </w:r>
      <w:r>
        <w:rPr>
          <w:rFonts w:hint="eastAsia"/>
        </w:rPr>
        <w:t>开拓运输</w:t>
      </w:r>
      <w:r>
        <w:t>单元</w:t>
      </w:r>
      <w:r>
        <w:rPr>
          <w:rFonts w:hint="default"/>
        </w:rPr>
        <w:t>安全对策措施建议</w:t>
      </w:r>
      <w:r>
        <w:tab/>
      </w:r>
      <w:r>
        <w:fldChar w:fldCharType="begin"/>
      </w:r>
      <w:r>
        <w:instrText xml:space="preserve"> PAGEREF _Toc11853 \h </w:instrText>
      </w:r>
      <w:r>
        <w:fldChar w:fldCharType="separate"/>
      </w:r>
      <w:r>
        <w:t>- 81 -</w:t>
      </w:r>
      <w:r>
        <w:fldChar w:fldCharType="end"/>
      </w:r>
      <w:r>
        <w:rPr>
          <w:rFonts w:hint="eastAsia" w:ascii="宋体" w:hAnsi="宋体" w:eastAsia="宋体" w:cs="宋体"/>
          <w:color w:val="auto"/>
          <w:szCs w:val="28"/>
        </w:rPr>
        <w:fldChar w:fldCharType="end"/>
      </w:r>
    </w:p>
    <w:p w14:paraId="790F5695">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_Toc26952 </w:instrText>
      </w:r>
      <w:r>
        <w:rPr>
          <w:rFonts w:hint="eastAsia" w:ascii="宋体" w:hAnsi="宋体" w:eastAsia="宋体" w:cs="宋体"/>
          <w:szCs w:val="28"/>
        </w:rPr>
        <w:fldChar w:fldCharType="separate"/>
      </w:r>
      <w:r>
        <w:rPr>
          <w:rFonts w:hint="eastAsia" w:ascii="宋体" w:hAnsi="宋体" w:eastAsia="宋体" w:cs="宋体"/>
        </w:rPr>
        <w:t xml:space="preserve">4.4.3 </w:t>
      </w:r>
      <w:r>
        <w:rPr>
          <w:rFonts w:hint="eastAsia"/>
          <w:lang w:val="en-US" w:eastAsia="zh-CN"/>
        </w:rPr>
        <w:t>采剥</w:t>
      </w:r>
      <w:r>
        <w:t>单元</w:t>
      </w:r>
      <w:r>
        <w:rPr>
          <w:rFonts w:hint="default"/>
        </w:rPr>
        <w:t>安全对策措施建议</w:t>
      </w:r>
      <w:r>
        <w:tab/>
      </w:r>
      <w:r>
        <w:fldChar w:fldCharType="begin"/>
      </w:r>
      <w:r>
        <w:instrText xml:space="preserve"> PAGEREF _Toc26952 \h </w:instrText>
      </w:r>
      <w:r>
        <w:fldChar w:fldCharType="separate"/>
      </w:r>
      <w:r>
        <w:t>- 82 -</w:t>
      </w:r>
      <w:r>
        <w:fldChar w:fldCharType="end"/>
      </w:r>
      <w:r>
        <w:rPr>
          <w:rFonts w:hint="eastAsia" w:ascii="宋体" w:hAnsi="宋体" w:eastAsia="宋体" w:cs="宋体"/>
          <w:color w:val="auto"/>
          <w:szCs w:val="28"/>
        </w:rPr>
        <w:fldChar w:fldCharType="end"/>
      </w:r>
    </w:p>
    <w:p w14:paraId="076C59E4">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_Toc11255 </w:instrText>
      </w:r>
      <w:r>
        <w:rPr>
          <w:rFonts w:hint="eastAsia" w:ascii="宋体" w:hAnsi="宋体" w:eastAsia="宋体" w:cs="宋体"/>
          <w:szCs w:val="28"/>
        </w:rPr>
        <w:fldChar w:fldCharType="separate"/>
      </w:r>
      <w:r>
        <w:rPr>
          <w:rFonts w:hint="eastAsia" w:ascii="宋体" w:hAnsi="宋体" w:eastAsia="宋体" w:cs="宋体"/>
          <w:lang w:val="en-US" w:eastAsia="zh-CN"/>
        </w:rPr>
        <w:t xml:space="preserve">4.4.4 </w:t>
      </w:r>
      <w:r>
        <w:rPr>
          <w:rFonts w:hint="eastAsia"/>
          <w:lang w:val="en-US" w:eastAsia="zh-CN"/>
        </w:rPr>
        <w:t>矿山供配电设施单元</w:t>
      </w:r>
      <w:r>
        <w:rPr>
          <w:rFonts w:hint="default"/>
          <w:lang w:val="en-US" w:eastAsia="zh-CN"/>
        </w:rPr>
        <w:t>安全对策措施建议</w:t>
      </w:r>
      <w:r>
        <w:tab/>
      </w:r>
      <w:r>
        <w:fldChar w:fldCharType="begin"/>
      </w:r>
      <w:r>
        <w:instrText xml:space="preserve"> PAGEREF _Toc11255 \h </w:instrText>
      </w:r>
      <w:r>
        <w:fldChar w:fldCharType="separate"/>
      </w:r>
      <w:r>
        <w:t>- 82 -</w:t>
      </w:r>
      <w:r>
        <w:fldChar w:fldCharType="end"/>
      </w:r>
      <w:r>
        <w:rPr>
          <w:rFonts w:hint="eastAsia" w:ascii="宋体" w:hAnsi="宋体" w:eastAsia="宋体" w:cs="宋体"/>
          <w:color w:val="auto"/>
          <w:szCs w:val="28"/>
        </w:rPr>
        <w:fldChar w:fldCharType="end"/>
      </w:r>
    </w:p>
    <w:p w14:paraId="0339A855">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_Toc7672 </w:instrText>
      </w:r>
      <w:r>
        <w:rPr>
          <w:rFonts w:hint="eastAsia" w:ascii="宋体" w:hAnsi="宋体" w:eastAsia="宋体" w:cs="宋体"/>
          <w:szCs w:val="28"/>
        </w:rPr>
        <w:fldChar w:fldCharType="separate"/>
      </w:r>
      <w:r>
        <w:rPr>
          <w:rFonts w:hint="eastAsia" w:ascii="宋体" w:hAnsi="宋体" w:eastAsia="宋体" w:cs="宋体"/>
          <w:lang w:val="en-US" w:eastAsia="zh-CN"/>
        </w:rPr>
        <w:t xml:space="preserve">4.4.5 </w:t>
      </w:r>
      <w:r>
        <w:rPr>
          <w:rFonts w:hint="eastAsia"/>
          <w:lang w:val="en-US" w:eastAsia="zh-CN"/>
        </w:rPr>
        <w:t>防排水</w:t>
      </w:r>
      <w:r>
        <w:t>单元</w:t>
      </w:r>
      <w:r>
        <w:rPr>
          <w:rFonts w:hint="default"/>
        </w:rPr>
        <w:t>安全对策措施建议</w:t>
      </w:r>
      <w:r>
        <w:tab/>
      </w:r>
      <w:r>
        <w:fldChar w:fldCharType="begin"/>
      </w:r>
      <w:r>
        <w:instrText xml:space="preserve"> PAGEREF _Toc7672 \h </w:instrText>
      </w:r>
      <w:r>
        <w:fldChar w:fldCharType="separate"/>
      </w:r>
      <w:r>
        <w:t>- 83 -</w:t>
      </w:r>
      <w:r>
        <w:fldChar w:fldCharType="end"/>
      </w:r>
      <w:r>
        <w:rPr>
          <w:rFonts w:hint="eastAsia" w:ascii="宋体" w:hAnsi="宋体" w:eastAsia="宋体" w:cs="宋体"/>
          <w:color w:val="auto"/>
          <w:szCs w:val="28"/>
        </w:rPr>
        <w:fldChar w:fldCharType="end"/>
      </w:r>
    </w:p>
    <w:p w14:paraId="4D36E393">
      <w:pPr>
        <w:pStyle w:val="16"/>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_Toc6906 </w:instrText>
      </w:r>
      <w:r>
        <w:rPr>
          <w:rFonts w:hint="eastAsia" w:ascii="宋体" w:hAnsi="宋体" w:eastAsia="宋体" w:cs="宋体"/>
          <w:szCs w:val="28"/>
        </w:rPr>
        <w:fldChar w:fldCharType="separate"/>
      </w:r>
      <w:r>
        <w:rPr>
          <w:rFonts w:hint="eastAsia" w:ascii="宋体" w:hAnsi="宋体" w:eastAsia="宋体" w:cs="宋体"/>
          <w:lang w:val="en-US" w:eastAsia="zh-CN"/>
        </w:rPr>
        <w:t xml:space="preserve">4.4.6 </w:t>
      </w:r>
      <w:r>
        <w:rPr>
          <w:rFonts w:hint="eastAsia"/>
          <w:lang w:val="en-US" w:eastAsia="zh-CN"/>
        </w:rPr>
        <w:t>安全管理及其他</w:t>
      </w:r>
      <w:r>
        <w:t>单元</w:t>
      </w:r>
      <w:r>
        <w:rPr>
          <w:rFonts w:hint="default"/>
        </w:rPr>
        <w:t>安全对策措施建议</w:t>
      </w:r>
      <w:r>
        <w:tab/>
      </w:r>
      <w:r>
        <w:fldChar w:fldCharType="begin"/>
      </w:r>
      <w:r>
        <w:instrText xml:space="preserve"> PAGEREF _Toc6906 \h </w:instrText>
      </w:r>
      <w:r>
        <w:fldChar w:fldCharType="separate"/>
      </w:r>
      <w:r>
        <w:t>- 84 -</w:t>
      </w:r>
      <w:r>
        <w:fldChar w:fldCharType="end"/>
      </w:r>
      <w:r>
        <w:rPr>
          <w:rFonts w:hint="eastAsia" w:ascii="宋体" w:hAnsi="宋体" w:eastAsia="宋体" w:cs="宋体"/>
          <w:color w:val="auto"/>
          <w:szCs w:val="28"/>
        </w:rPr>
        <w:fldChar w:fldCharType="end"/>
      </w:r>
    </w:p>
    <w:p w14:paraId="75310A18">
      <w:pPr>
        <w:pStyle w:val="22"/>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_Toc26455 </w:instrText>
      </w:r>
      <w:r>
        <w:rPr>
          <w:rFonts w:hint="eastAsia" w:ascii="宋体" w:hAnsi="宋体" w:eastAsia="宋体" w:cs="宋体"/>
          <w:szCs w:val="28"/>
        </w:rPr>
        <w:fldChar w:fldCharType="separate"/>
      </w:r>
      <w:r>
        <w:rPr>
          <w:rFonts w:hint="default"/>
        </w:rPr>
        <w:t xml:space="preserve">第5章 </w:t>
      </w:r>
      <w:r>
        <w:t>评价结论</w:t>
      </w:r>
      <w:r>
        <w:tab/>
      </w:r>
      <w:r>
        <w:fldChar w:fldCharType="begin"/>
      </w:r>
      <w:r>
        <w:instrText xml:space="preserve"> PAGEREF _Toc26455 \h </w:instrText>
      </w:r>
      <w:r>
        <w:fldChar w:fldCharType="separate"/>
      </w:r>
      <w:r>
        <w:t>- 87 -</w:t>
      </w:r>
      <w:r>
        <w:fldChar w:fldCharType="end"/>
      </w:r>
      <w:r>
        <w:rPr>
          <w:rFonts w:hint="eastAsia" w:ascii="宋体" w:hAnsi="宋体" w:eastAsia="宋体" w:cs="宋体"/>
          <w:color w:val="auto"/>
          <w:szCs w:val="28"/>
        </w:rPr>
        <w:fldChar w:fldCharType="end"/>
      </w:r>
    </w:p>
    <w:p w14:paraId="3D46B47F">
      <w:pPr>
        <w:pStyle w:val="24"/>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_Toc17094 </w:instrText>
      </w:r>
      <w:r>
        <w:rPr>
          <w:rFonts w:hint="eastAsia" w:ascii="宋体" w:hAnsi="宋体" w:eastAsia="宋体" w:cs="宋体"/>
          <w:szCs w:val="28"/>
        </w:rPr>
        <w:fldChar w:fldCharType="separate"/>
      </w:r>
      <w:r>
        <w:rPr>
          <w:rFonts w:hint="eastAsia"/>
        </w:rPr>
        <w:t>5.1. 主要危险、有害因素评价结果</w:t>
      </w:r>
      <w:r>
        <w:tab/>
      </w:r>
      <w:r>
        <w:fldChar w:fldCharType="begin"/>
      </w:r>
      <w:r>
        <w:instrText xml:space="preserve"> PAGEREF _Toc17094 \h </w:instrText>
      </w:r>
      <w:r>
        <w:fldChar w:fldCharType="separate"/>
      </w:r>
      <w:r>
        <w:t>- 87 -</w:t>
      </w:r>
      <w:r>
        <w:fldChar w:fldCharType="end"/>
      </w:r>
      <w:r>
        <w:rPr>
          <w:rFonts w:hint="eastAsia" w:ascii="宋体" w:hAnsi="宋体" w:eastAsia="宋体" w:cs="宋体"/>
          <w:color w:val="auto"/>
          <w:szCs w:val="28"/>
        </w:rPr>
        <w:fldChar w:fldCharType="end"/>
      </w:r>
    </w:p>
    <w:p w14:paraId="719707E3">
      <w:pPr>
        <w:pStyle w:val="24"/>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_Toc3797 </w:instrText>
      </w:r>
      <w:r>
        <w:rPr>
          <w:rFonts w:hint="eastAsia" w:ascii="宋体" w:hAnsi="宋体" w:eastAsia="宋体" w:cs="宋体"/>
          <w:szCs w:val="28"/>
        </w:rPr>
        <w:fldChar w:fldCharType="separate"/>
      </w:r>
      <w:r>
        <w:rPr>
          <w:rFonts w:hint="eastAsia"/>
        </w:rPr>
        <w:t>5.2. 项目应重点防范的重大危险、有害因素</w:t>
      </w:r>
      <w:r>
        <w:tab/>
      </w:r>
      <w:r>
        <w:fldChar w:fldCharType="begin"/>
      </w:r>
      <w:r>
        <w:instrText xml:space="preserve"> PAGEREF _Toc3797 \h </w:instrText>
      </w:r>
      <w:r>
        <w:fldChar w:fldCharType="separate"/>
      </w:r>
      <w:r>
        <w:t>- 87 -</w:t>
      </w:r>
      <w:r>
        <w:fldChar w:fldCharType="end"/>
      </w:r>
      <w:r>
        <w:rPr>
          <w:rFonts w:hint="eastAsia" w:ascii="宋体" w:hAnsi="宋体" w:eastAsia="宋体" w:cs="宋体"/>
          <w:color w:val="auto"/>
          <w:szCs w:val="28"/>
        </w:rPr>
        <w:fldChar w:fldCharType="end"/>
      </w:r>
    </w:p>
    <w:p w14:paraId="5CA154CC">
      <w:pPr>
        <w:pStyle w:val="24"/>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_Toc28616 </w:instrText>
      </w:r>
      <w:r>
        <w:rPr>
          <w:rFonts w:hint="eastAsia" w:ascii="宋体" w:hAnsi="宋体" w:eastAsia="宋体" w:cs="宋体"/>
          <w:szCs w:val="28"/>
        </w:rPr>
        <w:fldChar w:fldCharType="separate"/>
      </w:r>
      <w:r>
        <w:rPr>
          <w:rFonts w:hint="eastAsia"/>
        </w:rPr>
        <w:t>5.3. 项目应重视的安全对策措施建议</w:t>
      </w:r>
      <w:r>
        <w:tab/>
      </w:r>
      <w:r>
        <w:fldChar w:fldCharType="begin"/>
      </w:r>
      <w:r>
        <w:instrText xml:space="preserve"> PAGEREF _Toc28616 \h </w:instrText>
      </w:r>
      <w:r>
        <w:fldChar w:fldCharType="separate"/>
      </w:r>
      <w:r>
        <w:t>- 88 -</w:t>
      </w:r>
      <w:r>
        <w:fldChar w:fldCharType="end"/>
      </w:r>
      <w:r>
        <w:rPr>
          <w:rFonts w:hint="eastAsia" w:ascii="宋体" w:hAnsi="宋体" w:eastAsia="宋体" w:cs="宋体"/>
          <w:color w:val="auto"/>
          <w:szCs w:val="28"/>
        </w:rPr>
        <w:fldChar w:fldCharType="end"/>
      </w:r>
    </w:p>
    <w:p w14:paraId="63DE7A37">
      <w:pPr>
        <w:pStyle w:val="24"/>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_Toc7419 </w:instrText>
      </w:r>
      <w:r>
        <w:rPr>
          <w:rFonts w:hint="eastAsia" w:ascii="宋体" w:hAnsi="宋体" w:eastAsia="宋体" w:cs="宋体"/>
          <w:szCs w:val="28"/>
        </w:rPr>
        <w:fldChar w:fldCharType="separate"/>
      </w:r>
      <w:r>
        <w:rPr>
          <w:rFonts w:hint="eastAsia"/>
        </w:rPr>
        <w:t>5.4. 评价结果综述</w:t>
      </w:r>
      <w:r>
        <w:tab/>
      </w:r>
      <w:r>
        <w:fldChar w:fldCharType="begin"/>
      </w:r>
      <w:r>
        <w:instrText xml:space="preserve"> PAGEREF _Toc7419 \h </w:instrText>
      </w:r>
      <w:r>
        <w:fldChar w:fldCharType="separate"/>
      </w:r>
      <w:r>
        <w:t>- 88 -</w:t>
      </w:r>
      <w:r>
        <w:fldChar w:fldCharType="end"/>
      </w:r>
      <w:r>
        <w:rPr>
          <w:rFonts w:hint="eastAsia" w:ascii="宋体" w:hAnsi="宋体" w:eastAsia="宋体" w:cs="宋体"/>
          <w:color w:val="auto"/>
          <w:szCs w:val="28"/>
        </w:rPr>
        <w:fldChar w:fldCharType="end"/>
      </w:r>
    </w:p>
    <w:p w14:paraId="7DEF6264">
      <w:pPr>
        <w:pStyle w:val="24"/>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_Toc1773 </w:instrText>
      </w:r>
      <w:r>
        <w:rPr>
          <w:rFonts w:hint="eastAsia" w:ascii="宋体" w:hAnsi="宋体" w:eastAsia="宋体" w:cs="宋体"/>
          <w:szCs w:val="28"/>
        </w:rPr>
        <w:fldChar w:fldCharType="separate"/>
      </w:r>
      <w:r>
        <w:rPr>
          <w:rFonts w:hint="eastAsia"/>
        </w:rPr>
        <w:t>5.5. 安全预评价结论</w:t>
      </w:r>
      <w:r>
        <w:tab/>
      </w:r>
      <w:r>
        <w:fldChar w:fldCharType="begin"/>
      </w:r>
      <w:r>
        <w:instrText xml:space="preserve"> PAGEREF _Toc1773 \h </w:instrText>
      </w:r>
      <w:r>
        <w:fldChar w:fldCharType="separate"/>
      </w:r>
      <w:r>
        <w:t>- 89 -</w:t>
      </w:r>
      <w:r>
        <w:fldChar w:fldCharType="end"/>
      </w:r>
      <w:r>
        <w:rPr>
          <w:rFonts w:hint="eastAsia" w:ascii="宋体" w:hAnsi="宋体" w:eastAsia="宋体" w:cs="宋体"/>
          <w:color w:val="auto"/>
          <w:szCs w:val="28"/>
        </w:rPr>
        <w:fldChar w:fldCharType="end"/>
      </w:r>
    </w:p>
    <w:p w14:paraId="35418837">
      <w:pPr>
        <w:pStyle w:val="22"/>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_Toc3944 </w:instrText>
      </w:r>
      <w:r>
        <w:rPr>
          <w:rFonts w:hint="eastAsia" w:ascii="宋体" w:hAnsi="宋体" w:eastAsia="宋体" w:cs="宋体"/>
          <w:szCs w:val="28"/>
        </w:rPr>
        <w:fldChar w:fldCharType="separate"/>
      </w:r>
      <w:r>
        <w:rPr>
          <w:rFonts w:hint="default"/>
        </w:rPr>
        <w:t xml:space="preserve">第6章 </w:t>
      </w:r>
      <w:r>
        <w:t>附</w:t>
      </w:r>
      <w:r>
        <w:rPr>
          <w:rFonts w:hint="eastAsia"/>
        </w:rPr>
        <w:t>件</w:t>
      </w:r>
      <w:r>
        <w:rPr>
          <w:rFonts w:hint="eastAsia"/>
          <w:lang w:val="en-US" w:eastAsia="zh-CN"/>
        </w:rPr>
        <w:t>及附图</w:t>
      </w:r>
      <w:r>
        <w:tab/>
      </w:r>
      <w:r>
        <w:fldChar w:fldCharType="begin"/>
      </w:r>
      <w:r>
        <w:instrText xml:space="preserve"> PAGEREF _Toc3944 \h </w:instrText>
      </w:r>
      <w:r>
        <w:fldChar w:fldCharType="separate"/>
      </w:r>
      <w:r>
        <w:t>- 91 -</w:t>
      </w:r>
      <w:r>
        <w:fldChar w:fldCharType="end"/>
      </w:r>
      <w:r>
        <w:rPr>
          <w:rFonts w:hint="eastAsia" w:ascii="宋体" w:hAnsi="宋体" w:eastAsia="宋体" w:cs="宋体"/>
          <w:color w:val="auto"/>
          <w:szCs w:val="28"/>
        </w:rPr>
        <w:fldChar w:fldCharType="end"/>
      </w:r>
    </w:p>
    <w:p w14:paraId="10BA79A2">
      <w:pPr>
        <w:pStyle w:val="24"/>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_Toc4658 </w:instrText>
      </w:r>
      <w:r>
        <w:rPr>
          <w:rFonts w:hint="eastAsia" w:ascii="宋体" w:hAnsi="宋体" w:eastAsia="宋体" w:cs="宋体"/>
          <w:szCs w:val="28"/>
        </w:rPr>
        <w:fldChar w:fldCharType="separate"/>
      </w:r>
      <w:r>
        <w:rPr>
          <w:rFonts w:hint="eastAsia"/>
          <w:lang w:val="en-US" w:eastAsia="zh-CN"/>
        </w:rPr>
        <w:t>6.1. 附件</w:t>
      </w:r>
      <w:r>
        <w:tab/>
      </w:r>
      <w:r>
        <w:fldChar w:fldCharType="begin"/>
      </w:r>
      <w:r>
        <w:instrText xml:space="preserve"> PAGEREF _Toc4658 \h </w:instrText>
      </w:r>
      <w:r>
        <w:fldChar w:fldCharType="separate"/>
      </w:r>
      <w:r>
        <w:t>- 91 -</w:t>
      </w:r>
      <w:r>
        <w:fldChar w:fldCharType="end"/>
      </w:r>
      <w:r>
        <w:rPr>
          <w:rFonts w:hint="eastAsia" w:ascii="宋体" w:hAnsi="宋体" w:eastAsia="宋体" w:cs="宋体"/>
          <w:color w:val="auto"/>
          <w:szCs w:val="28"/>
        </w:rPr>
        <w:fldChar w:fldCharType="end"/>
      </w:r>
    </w:p>
    <w:p w14:paraId="5C14AEFE">
      <w:pPr>
        <w:pStyle w:val="24"/>
        <w:keepNext w:val="0"/>
        <w:keepLines w:val="0"/>
        <w:pageBreakBefore w:val="0"/>
        <w:widowControl w:val="0"/>
        <w:tabs>
          <w:tab w:val="right" w:leader="dot" w:pos="8902"/>
        </w:tabs>
        <w:kinsoku/>
        <w:wordWrap/>
        <w:overflowPunct/>
        <w:topLinePunct w:val="0"/>
        <w:autoSpaceDE/>
        <w:autoSpaceDN/>
        <w:bidi w:val="0"/>
        <w:adjustRightInd/>
        <w:snapToGrid/>
        <w:spacing w:line="440" w:lineRule="exact"/>
        <w:ind w:firstLine="0" w:firstLineChars="0"/>
        <w:textAlignment w:val="auto"/>
      </w:pPr>
      <w:r>
        <w:rPr>
          <w:rFonts w:hint="eastAsia" w:ascii="宋体" w:hAnsi="宋体" w:eastAsia="宋体" w:cs="宋体"/>
          <w:color w:val="auto"/>
          <w:szCs w:val="28"/>
        </w:rPr>
        <w:fldChar w:fldCharType="begin"/>
      </w:r>
      <w:r>
        <w:rPr>
          <w:rFonts w:hint="eastAsia" w:ascii="宋体" w:hAnsi="宋体" w:eastAsia="宋体" w:cs="宋体"/>
          <w:szCs w:val="28"/>
        </w:rPr>
        <w:instrText xml:space="preserve"> HYPERLINK \l _Toc10135 </w:instrText>
      </w:r>
      <w:r>
        <w:rPr>
          <w:rFonts w:hint="eastAsia" w:ascii="宋体" w:hAnsi="宋体" w:eastAsia="宋体" w:cs="宋体"/>
          <w:szCs w:val="28"/>
        </w:rPr>
        <w:fldChar w:fldCharType="separate"/>
      </w:r>
      <w:r>
        <w:rPr>
          <w:rFonts w:hint="eastAsia"/>
        </w:rPr>
        <w:t xml:space="preserve">6.2. </w:t>
      </w:r>
      <w:r>
        <w:rPr>
          <w:rFonts w:hint="eastAsia"/>
          <w:lang w:val="en-US" w:eastAsia="zh-CN"/>
        </w:rPr>
        <w:t>附图</w:t>
      </w:r>
      <w:r>
        <w:tab/>
      </w:r>
      <w:r>
        <w:fldChar w:fldCharType="begin"/>
      </w:r>
      <w:r>
        <w:instrText xml:space="preserve"> PAGEREF _Toc10135 \h </w:instrText>
      </w:r>
      <w:r>
        <w:fldChar w:fldCharType="separate"/>
      </w:r>
      <w:r>
        <w:t>- 91 -</w:t>
      </w:r>
      <w:r>
        <w:fldChar w:fldCharType="end"/>
      </w:r>
      <w:r>
        <w:rPr>
          <w:rFonts w:hint="eastAsia" w:ascii="宋体" w:hAnsi="宋体" w:eastAsia="宋体" w:cs="宋体"/>
          <w:color w:val="auto"/>
          <w:szCs w:val="28"/>
        </w:rPr>
        <w:fldChar w:fldCharType="end"/>
      </w:r>
    </w:p>
    <w:p w14:paraId="0EE0B368">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auto"/>
        <w:rPr>
          <w:rFonts w:hint="eastAsia" w:ascii="宋体" w:hAnsi="宋体" w:cs="宋体"/>
          <w:color w:val="auto"/>
        </w:rPr>
        <w:sectPr>
          <w:headerReference r:id="rId8" w:type="default"/>
          <w:footerReference r:id="rId9" w:type="default"/>
          <w:pgSz w:w="11906" w:h="16838"/>
          <w:pgMar w:top="1417" w:right="1417" w:bottom="1417" w:left="1587" w:header="851" w:footer="992" w:gutter="0"/>
          <w:pgBorders>
            <w:top w:val="none" w:sz="0" w:space="0"/>
            <w:left w:val="none" w:sz="0" w:space="0"/>
            <w:bottom w:val="none" w:sz="0" w:space="0"/>
            <w:right w:val="none" w:sz="0" w:space="0"/>
          </w:pgBorders>
          <w:pgNumType w:fmt="upperRoman" w:start="1"/>
          <w:cols w:space="720" w:num="1"/>
          <w:docGrid w:type="lines" w:linePitch="312" w:charSpace="0"/>
        </w:sectPr>
      </w:pPr>
      <w:r>
        <w:rPr>
          <w:rFonts w:hint="eastAsia" w:ascii="宋体" w:hAnsi="宋体" w:eastAsia="宋体" w:cs="宋体"/>
          <w:color w:val="auto"/>
          <w:szCs w:val="28"/>
        </w:rPr>
        <w:fldChar w:fldCharType="end"/>
      </w:r>
    </w:p>
    <w:p w14:paraId="6D352A29">
      <w:pPr>
        <w:pStyle w:val="2"/>
        <w:bidi w:val="0"/>
      </w:pPr>
      <w:bookmarkStart w:id="1" w:name="_Toc7844"/>
      <w:r>
        <w:t>评价对象与依据</w:t>
      </w:r>
      <w:bookmarkEnd w:id="1"/>
    </w:p>
    <w:p w14:paraId="364B4D10">
      <w:pPr>
        <w:pStyle w:val="3"/>
        <w:bidi w:val="0"/>
      </w:pPr>
      <w:bookmarkStart w:id="2" w:name="_Toc11627"/>
      <w:r>
        <w:t>评价对象和范围</w:t>
      </w:r>
      <w:bookmarkEnd w:id="2"/>
    </w:p>
    <w:p w14:paraId="3E7C1591">
      <w:pPr>
        <w:pStyle w:val="4"/>
        <w:bidi w:val="0"/>
      </w:pPr>
      <w:bookmarkStart w:id="3" w:name="_Toc13746"/>
      <w:r>
        <w:t>评价对象</w:t>
      </w:r>
      <w:bookmarkEnd w:id="3"/>
    </w:p>
    <w:p w14:paraId="364A8EFB">
      <w:pPr>
        <w:keepNext w:val="0"/>
        <w:keepLines w:val="0"/>
        <w:widowControl/>
        <w:suppressLineNumbers w:val="0"/>
        <w:jc w:val="left"/>
      </w:pPr>
      <w:r>
        <w:rPr>
          <w:rFonts w:hint="eastAsia" w:ascii="宋体" w:hAnsi="宋体" w:eastAsia="宋体" w:cs="宋体"/>
          <w:color w:val="000000"/>
          <w:kern w:val="0"/>
          <w:sz w:val="28"/>
          <w:szCs w:val="28"/>
          <w:lang w:val="en-US" w:eastAsia="zh-CN" w:bidi="ar"/>
        </w:rPr>
        <w:t>根据企业的委托和评价协议，评价对象为：</w:t>
      </w:r>
      <w:r>
        <w:rPr>
          <w:rFonts w:hint="eastAsia"/>
          <w:lang w:val="en-US" w:eastAsia="zh-CN"/>
        </w:rPr>
        <w:t>元谋中鼎砂石有限公司大物茂砂厂</w:t>
      </w:r>
      <w:r>
        <w:rPr>
          <w:rFonts w:hint="eastAsia" w:ascii="宋体" w:hAnsi="宋体" w:cs="宋体"/>
          <w:color w:val="000000"/>
          <w:sz w:val="28"/>
          <w:szCs w:val="28"/>
          <w:lang w:val="en-GB" w:eastAsia="zh-CN"/>
        </w:rPr>
        <w:t>露天采矿工程</w:t>
      </w:r>
      <w:r>
        <w:t>。</w:t>
      </w:r>
    </w:p>
    <w:p w14:paraId="034B53EB">
      <w:pPr>
        <w:pStyle w:val="4"/>
        <w:bidi w:val="0"/>
        <w:rPr>
          <w:rFonts w:hint="eastAsia"/>
        </w:rPr>
      </w:pPr>
      <w:bookmarkStart w:id="4" w:name="_Toc15735"/>
      <w:r>
        <w:rPr>
          <w:rFonts w:hint="eastAsia"/>
        </w:rPr>
        <w:t>评价范围</w:t>
      </w:r>
      <w:bookmarkEnd w:id="4"/>
    </w:p>
    <w:p w14:paraId="0C5D9C9F">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cs="宋体"/>
          <w:color w:val="auto"/>
          <w:sz w:val="28"/>
          <w:szCs w:val="28"/>
        </w:rPr>
      </w:pPr>
      <w:r>
        <w:rPr>
          <w:rFonts w:hint="eastAsia" w:ascii="宋体" w:hAnsi="宋体" w:cs="宋体"/>
          <w:color w:val="000000"/>
          <w:sz w:val="28"/>
          <w:szCs w:val="28"/>
          <w:lang w:val="en-GB"/>
        </w:rPr>
        <w:t>根据</w:t>
      </w:r>
      <w:r>
        <w:rPr>
          <w:rFonts w:hint="eastAsia" w:ascii="宋体" w:hAnsi="宋体" w:cs="宋体"/>
          <w:color w:val="000000"/>
          <w:sz w:val="28"/>
          <w:szCs w:val="28"/>
          <w:lang w:val="en-GB" w:eastAsia="zh-CN"/>
        </w:rPr>
        <w:t>《元谋中鼎砂石有限公司大物茂砂厂（10万t/a）露天采矿工程初步设计》</w:t>
      </w:r>
      <w:r>
        <w:rPr>
          <w:rFonts w:hint="eastAsia" w:ascii="宋体" w:hAnsi="宋体" w:cs="宋体"/>
          <w:color w:val="000000"/>
          <w:sz w:val="28"/>
          <w:szCs w:val="28"/>
          <w:lang w:val="en-GB"/>
        </w:rPr>
        <w:t>（以下简称初步设计）的内容及组成，本次评价范围为：</w:t>
      </w:r>
      <w:r>
        <w:rPr>
          <w:rFonts w:hint="eastAsia" w:ascii="宋体" w:hAnsi="宋体" w:cs="宋体"/>
          <w:color w:val="000000"/>
          <w:sz w:val="28"/>
          <w:szCs w:val="28"/>
          <w:lang w:val="en-GB" w:eastAsia="zh-CN"/>
        </w:rPr>
        <w:t>元谋中鼎砂石有限公司</w:t>
      </w:r>
      <w:r>
        <w:rPr>
          <w:rFonts w:hint="eastAsia"/>
          <w:lang w:val="en-US" w:eastAsia="zh-CN"/>
        </w:rPr>
        <w:t>大物茂砂厂</w:t>
      </w:r>
      <w:r>
        <w:rPr>
          <w:rFonts w:ascii="宋体" w:hAnsi="宋体" w:cs="宋体"/>
          <w:color w:val="auto"/>
          <w:sz w:val="28"/>
          <w:szCs w:val="28"/>
        </w:rPr>
        <w:t>矿区</w:t>
      </w:r>
      <w:r>
        <w:rPr>
          <w:rFonts w:hint="eastAsia" w:ascii="宋体" w:hAnsi="宋体"/>
          <w:color w:val="auto"/>
          <w:sz w:val="28"/>
          <w:szCs w:val="28"/>
        </w:rPr>
        <w:t>初步设计</w:t>
      </w:r>
      <w:r>
        <w:rPr>
          <w:rFonts w:ascii="宋体" w:hAnsi="宋体" w:cs="宋体"/>
          <w:color w:val="auto"/>
          <w:sz w:val="28"/>
          <w:szCs w:val="28"/>
        </w:rPr>
        <w:t>范围内的露天开采系统，</w:t>
      </w:r>
      <w:r>
        <w:rPr>
          <w:rFonts w:hint="eastAsia" w:ascii="宋体" w:hAnsi="宋体" w:cs="宋体"/>
          <w:color w:val="auto"/>
          <w:sz w:val="28"/>
          <w:szCs w:val="28"/>
        </w:rPr>
        <w:t>包括总平面布置、开拓运输、采剥工艺、矿山供配电设施、防排水系统、公用辅助设施及安全管理。</w:t>
      </w:r>
    </w:p>
    <w:p w14:paraId="060A038D">
      <w:pPr>
        <w:keepNext w:val="0"/>
        <w:keepLines w:val="0"/>
        <w:pageBreakBefore w:val="0"/>
        <w:widowControl w:val="0"/>
        <w:kinsoku/>
        <w:wordWrap/>
        <w:overflowPunct/>
        <w:topLinePunct w:val="0"/>
        <w:autoSpaceDE/>
        <w:autoSpaceDN/>
        <w:bidi w:val="0"/>
        <w:adjustRightInd/>
        <w:snapToGrid/>
        <w:ind w:firstLine="560" w:firstLineChars="200"/>
        <w:textAlignment w:val="auto"/>
      </w:pPr>
      <w:r>
        <w:t>本次评价范围不包括</w:t>
      </w:r>
      <w:r>
        <w:rPr>
          <w:rFonts w:hint="eastAsia"/>
        </w:rPr>
        <w:t>外部运输、职业</w:t>
      </w:r>
      <w:r>
        <w:t>病及防治、消防和环境保护等方面，但在报告中有所涉及，有关这些方面的问题，企业在建设和生产过程中应严格执行国家相关</w:t>
      </w:r>
      <w:r>
        <w:rPr>
          <w:rFonts w:hint="eastAsia"/>
          <w:lang w:eastAsia="zh-CN"/>
        </w:rPr>
        <w:t>法律法规</w:t>
      </w:r>
      <w:r>
        <w:t>、标准和规范要求。</w:t>
      </w:r>
    </w:p>
    <w:p w14:paraId="7EBDBA84">
      <w:pPr>
        <w:pStyle w:val="3"/>
        <w:bidi w:val="0"/>
      </w:pPr>
      <w:bookmarkStart w:id="5" w:name="_Toc18698"/>
      <w:r>
        <w:t>评价依据</w:t>
      </w:r>
      <w:bookmarkEnd w:id="5"/>
    </w:p>
    <w:p w14:paraId="6BC901CB">
      <w:pPr>
        <w:pStyle w:val="4"/>
        <w:bidi w:val="0"/>
        <w:rPr>
          <w:rFonts w:hint="eastAsia"/>
        </w:rPr>
      </w:pPr>
      <w:bookmarkStart w:id="6" w:name="_Toc10141"/>
      <w:bookmarkStart w:id="7" w:name="_Toc441841701"/>
      <w:bookmarkStart w:id="8" w:name="_Toc351619713"/>
      <w:bookmarkStart w:id="9" w:name="_Toc111601638"/>
      <w:bookmarkStart w:id="10" w:name="_Toc103418722"/>
      <w:bookmarkStart w:id="11" w:name="_Toc424205806"/>
      <w:bookmarkStart w:id="12" w:name="_Toc31815"/>
      <w:bookmarkStart w:id="13" w:name="_Toc419278700"/>
      <w:bookmarkStart w:id="14" w:name="_Toc136406249"/>
      <w:bookmarkStart w:id="15" w:name="_Toc2605"/>
      <w:bookmarkStart w:id="16" w:name="_Toc3174"/>
      <w:bookmarkStart w:id="17" w:name="_Toc20109"/>
      <w:bookmarkStart w:id="18" w:name="_Toc28566"/>
      <w:r>
        <w:rPr>
          <w:rFonts w:hint="eastAsia"/>
        </w:rPr>
        <w:t>法律</w:t>
      </w:r>
      <w:bookmarkEnd w:id="6"/>
      <w:bookmarkEnd w:id="7"/>
      <w:bookmarkEnd w:id="8"/>
      <w:bookmarkEnd w:id="9"/>
      <w:bookmarkEnd w:id="10"/>
      <w:bookmarkEnd w:id="11"/>
      <w:bookmarkEnd w:id="12"/>
      <w:bookmarkEnd w:id="13"/>
      <w:bookmarkEnd w:id="14"/>
      <w:r>
        <w:rPr>
          <w:rFonts w:hint="eastAsia"/>
        </w:rPr>
        <w:t>法规</w:t>
      </w:r>
      <w:bookmarkEnd w:id="15"/>
      <w:bookmarkEnd w:id="16"/>
      <w:bookmarkEnd w:id="17"/>
      <w:bookmarkEnd w:id="18"/>
    </w:p>
    <w:p w14:paraId="29A93F0B">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left="0" w:leftChars="0" w:firstLine="560" w:firstLineChars="200"/>
        <w:textAlignment w:val="auto"/>
        <w:rPr>
          <w:rFonts w:ascii="宋体" w:hAnsi="宋体"/>
          <w:color w:val="auto"/>
          <w:sz w:val="28"/>
          <w:szCs w:val="28"/>
        </w:rPr>
      </w:pPr>
      <w:bookmarkStart w:id="19" w:name="_Hlk85048745"/>
      <w:bookmarkStart w:id="20" w:name="_Toc27"/>
      <w:bookmarkStart w:id="21" w:name="_Toc103418724"/>
      <w:bookmarkStart w:id="22" w:name="_Toc351619714"/>
      <w:bookmarkStart w:id="23" w:name="_Toc27866"/>
      <w:r>
        <w:rPr>
          <w:rFonts w:hint="eastAsia" w:ascii="宋体" w:hAnsi="宋体"/>
          <w:color w:val="auto"/>
          <w:sz w:val="28"/>
          <w:szCs w:val="28"/>
        </w:rPr>
        <w:t>《中华人民共和国安全生产法》（</w:t>
      </w:r>
      <w:r>
        <w:rPr>
          <w:rFonts w:hint="eastAsia" w:ascii="宋体" w:hAnsi="宋体" w:cs="宋体"/>
          <w:color w:val="000000"/>
          <w:sz w:val="28"/>
          <w:szCs w:val="28"/>
          <w:lang w:val="en-GB"/>
        </w:rPr>
        <w:t>中华人民共和国主席令第88号</w:t>
      </w:r>
      <w:r>
        <w:rPr>
          <w:rFonts w:hint="eastAsia" w:ascii="宋体" w:hAnsi="宋体" w:cs="宋体"/>
          <w:color w:val="000000"/>
          <w:sz w:val="28"/>
          <w:szCs w:val="28"/>
          <w:lang w:val="en-GB" w:eastAsia="zh-CN"/>
        </w:rPr>
        <w:t>，</w:t>
      </w:r>
      <w:r>
        <w:rPr>
          <w:rFonts w:ascii="宋体" w:hAnsi="宋体"/>
          <w:color w:val="auto"/>
          <w:sz w:val="28"/>
          <w:szCs w:val="28"/>
        </w:rPr>
        <w:t>根据2021年6月10日第十三届全国人民代表大会常务委员会第二十九次会议《关于修改〈中华人民共和国安全生产法〉的决定》第三次修正</w:t>
      </w:r>
      <w:r>
        <w:rPr>
          <w:rFonts w:hint="eastAsia" w:ascii="宋体" w:hAnsi="宋体"/>
          <w:color w:val="auto"/>
          <w:sz w:val="28"/>
          <w:szCs w:val="28"/>
        </w:rPr>
        <w:t>，2021年9月1日施行）</w:t>
      </w:r>
      <w:bookmarkEnd w:id="19"/>
      <w:r>
        <w:rPr>
          <w:rFonts w:hint="eastAsia" w:ascii="宋体" w:hAnsi="宋体"/>
          <w:color w:val="auto"/>
          <w:sz w:val="28"/>
          <w:szCs w:val="28"/>
          <w:lang w:eastAsia="zh-CN"/>
        </w:rPr>
        <w:t>；</w:t>
      </w:r>
    </w:p>
    <w:p w14:paraId="49FAE8B9">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left="0" w:leftChars="0" w:firstLine="560" w:firstLineChars="200"/>
        <w:textAlignment w:val="auto"/>
        <w:rPr>
          <w:rFonts w:ascii="宋体" w:hAnsi="宋体" w:cs="宋体"/>
          <w:color w:val="auto"/>
          <w:sz w:val="28"/>
          <w:szCs w:val="28"/>
        </w:rPr>
      </w:pPr>
      <w:r>
        <w:rPr>
          <w:rFonts w:hint="eastAsia" w:ascii="宋体" w:hAnsi="宋体" w:cs="宋体"/>
          <w:color w:val="auto"/>
          <w:sz w:val="28"/>
          <w:szCs w:val="28"/>
        </w:rPr>
        <w:t>《中华人民共和国矿山安全法》（中华人民共和国第</w:t>
      </w:r>
      <w:r>
        <w:rPr>
          <w:rFonts w:ascii="宋体" w:hAnsi="宋体" w:cs="宋体"/>
          <w:color w:val="auto"/>
          <w:sz w:val="28"/>
          <w:szCs w:val="28"/>
        </w:rPr>
        <w:t>18</w:t>
      </w:r>
      <w:r>
        <w:rPr>
          <w:rFonts w:hint="eastAsia" w:ascii="宋体" w:hAnsi="宋体" w:cs="宋体"/>
          <w:color w:val="auto"/>
          <w:sz w:val="28"/>
          <w:szCs w:val="28"/>
        </w:rPr>
        <w:t>号令修订，</w:t>
      </w:r>
      <w:r>
        <w:rPr>
          <w:rFonts w:ascii="宋体" w:hAnsi="宋体" w:cs="宋体"/>
          <w:color w:val="auto"/>
          <w:sz w:val="28"/>
          <w:szCs w:val="28"/>
        </w:rPr>
        <w:t>2009</w:t>
      </w:r>
      <w:r>
        <w:rPr>
          <w:rFonts w:hint="eastAsia" w:ascii="宋体" w:hAnsi="宋体" w:cs="宋体"/>
          <w:color w:val="auto"/>
          <w:sz w:val="28"/>
          <w:szCs w:val="28"/>
        </w:rPr>
        <w:t>年</w:t>
      </w:r>
      <w:r>
        <w:rPr>
          <w:rFonts w:ascii="宋体" w:hAnsi="宋体" w:cs="宋体"/>
          <w:color w:val="auto"/>
          <w:sz w:val="28"/>
          <w:szCs w:val="28"/>
        </w:rPr>
        <w:t>08</w:t>
      </w:r>
      <w:r>
        <w:rPr>
          <w:rFonts w:hint="eastAsia" w:ascii="宋体" w:hAnsi="宋体" w:cs="宋体"/>
          <w:color w:val="auto"/>
          <w:sz w:val="28"/>
          <w:szCs w:val="28"/>
        </w:rPr>
        <w:t>月</w:t>
      </w:r>
      <w:r>
        <w:rPr>
          <w:rFonts w:ascii="宋体" w:hAnsi="宋体" w:cs="宋体"/>
          <w:color w:val="auto"/>
          <w:sz w:val="28"/>
          <w:szCs w:val="28"/>
        </w:rPr>
        <w:t>27</w:t>
      </w:r>
      <w:r>
        <w:rPr>
          <w:rFonts w:hint="eastAsia" w:ascii="宋体" w:hAnsi="宋体" w:cs="宋体"/>
          <w:color w:val="auto"/>
          <w:sz w:val="28"/>
          <w:szCs w:val="28"/>
        </w:rPr>
        <w:t>日施行）；</w:t>
      </w:r>
    </w:p>
    <w:p w14:paraId="4E783F9E">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left="0" w:leftChars="0" w:firstLine="560" w:firstLineChars="200"/>
        <w:textAlignment w:val="auto"/>
        <w:rPr>
          <w:rFonts w:ascii="宋体" w:hAnsi="宋体"/>
          <w:color w:val="auto"/>
          <w:sz w:val="28"/>
          <w:szCs w:val="28"/>
        </w:rPr>
      </w:pPr>
      <w:r>
        <w:rPr>
          <w:rFonts w:hint="eastAsia" w:ascii="宋体" w:hAnsi="宋体"/>
          <w:color w:val="auto"/>
          <w:sz w:val="28"/>
          <w:szCs w:val="28"/>
        </w:rPr>
        <w:t>《中华人民共和国矿产资源法》（1986年3月19日第六届全国人民代表大会常务委员会第十五次会议通过根据1996年8月29日第八届全国人民代表大会常务委员会第二十一次会议《关于修改〈中华人民共和国矿产资源法〉的决定》修正2009年8月27日第十一届全国人民代表大会常务委员会第十次会议《全国人民代表大会常务委员会关于修改部分法律的决定》修正。）；</w:t>
      </w:r>
    </w:p>
    <w:p w14:paraId="41AFB7EE">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left="0" w:leftChars="0" w:firstLine="560" w:firstLineChars="200"/>
        <w:textAlignment w:val="auto"/>
        <w:rPr>
          <w:rFonts w:ascii="宋体" w:hAnsi="宋体" w:cs="宋体"/>
          <w:color w:val="auto"/>
          <w:sz w:val="28"/>
          <w:szCs w:val="28"/>
        </w:rPr>
      </w:pPr>
      <w:r>
        <w:rPr>
          <w:rFonts w:hint="eastAsia" w:ascii="宋体" w:hAnsi="宋体"/>
          <w:color w:val="auto"/>
          <w:sz w:val="28"/>
          <w:szCs w:val="28"/>
        </w:rPr>
        <w:t>《中华人民共和国劳动合同法》（中华人民共和国主席令</w:t>
      </w:r>
      <w:r>
        <w:rPr>
          <w:rFonts w:hint="eastAsia" w:ascii="宋体" w:hAnsi="宋体"/>
          <w:color w:val="auto"/>
          <w:sz w:val="28"/>
          <w:szCs w:val="28"/>
          <w:lang w:eastAsia="zh-CN"/>
        </w:rPr>
        <w:t>〔2012〕</w:t>
      </w:r>
      <w:r>
        <w:rPr>
          <w:rFonts w:hint="eastAsia" w:ascii="宋体" w:hAnsi="宋体"/>
          <w:color w:val="auto"/>
          <w:sz w:val="28"/>
          <w:szCs w:val="28"/>
        </w:rPr>
        <w:t>73号，自</w:t>
      </w:r>
      <w:r>
        <w:rPr>
          <w:rFonts w:ascii="宋体" w:hAnsi="宋体"/>
          <w:color w:val="auto"/>
          <w:sz w:val="28"/>
          <w:szCs w:val="28"/>
        </w:rPr>
        <w:t>2013</w:t>
      </w:r>
      <w:r>
        <w:rPr>
          <w:rFonts w:hint="eastAsia" w:ascii="宋体" w:hAnsi="宋体"/>
          <w:color w:val="auto"/>
          <w:sz w:val="28"/>
          <w:szCs w:val="28"/>
        </w:rPr>
        <w:t>年</w:t>
      </w:r>
      <w:r>
        <w:rPr>
          <w:rFonts w:ascii="宋体" w:hAnsi="宋体"/>
          <w:color w:val="auto"/>
          <w:sz w:val="28"/>
          <w:szCs w:val="28"/>
        </w:rPr>
        <w:t>7</w:t>
      </w:r>
      <w:r>
        <w:rPr>
          <w:rFonts w:hint="eastAsia" w:ascii="宋体" w:hAnsi="宋体"/>
          <w:color w:val="auto"/>
          <w:sz w:val="28"/>
          <w:szCs w:val="28"/>
        </w:rPr>
        <w:t>月</w:t>
      </w:r>
      <w:r>
        <w:rPr>
          <w:rFonts w:ascii="宋体" w:hAnsi="宋体"/>
          <w:color w:val="auto"/>
          <w:sz w:val="28"/>
          <w:szCs w:val="28"/>
        </w:rPr>
        <w:t>1</w:t>
      </w:r>
      <w:r>
        <w:rPr>
          <w:rFonts w:hint="eastAsia" w:ascii="宋体" w:hAnsi="宋体"/>
          <w:color w:val="auto"/>
          <w:sz w:val="28"/>
          <w:szCs w:val="28"/>
        </w:rPr>
        <w:t>日起施行）；</w:t>
      </w:r>
    </w:p>
    <w:p w14:paraId="0B122089">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left="0" w:leftChars="0" w:firstLine="560" w:firstLineChars="200"/>
        <w:textAlignment w:val="auto"/>
        <w:rPr>
          <w:rFonts w:ascii="宋体" w:hAnsi="宋体" w:cs="宋体"/>
          <w:color w:val="auto"/>
          <w:sz w:val="28"/>
          <w:szCs w:val="28"/>
        </w:rPr>
      </w:pPr>
      <w:r>
        <w:rPr>
          <w:rFonts w:hint="eastAsia" w:ascii="宋体" w:hAnsi="宋体"/>
          <w:color w:val="auto"/>
          <w:sz w:val="28"/>
          <w:szCs w:val="28"/>
        </w:rPr>
        <w:t>《中华人民共和国环境保护法》（中华人民共和国主席令第9号，自2015年1月1日起施行）；</w:t>
      </w:r>
    </w:p>
    <w:p w14:paraId="7B2EE11C">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left="0" w:leftChars="0" w:firstLine="560" w:firstLineChars="200"/>
        <w:textAlignment w:val="auto"/>
        <w:rPr>
          <w:rFonts w:ascii="宋体" w:hAnsi="宋体" w:cs="宋体"/>
          <w:color w:val="auto"/>
          <w:sz w:val="28"/>
          <w:szCs w:val="28"/>
        </w:rPr>
      </w:pPr>
      <w:r>
        <w:rPr>
          <w:rFonts w:ascii="宋体" w:hAnsi="宋体"/>
          <w:color w:val="auto"/>
          <w:sz w:val="28"/>
          <w:szCs w:val="28"/>
        </w:rPr>
        <w:t>《中华人民共和国职业病防治法》（中华人民共和国主席令第</w:t>
      </w:r>
      <w:r>
        <w:rPr>
          <w:rFonts w:hint="eastAsia" w:ascii="宋体" w:hAnsi="宋体"/>
          <w:color w:val="auto"/>
          <w:sz w:val="28"/>
          <w:szCs w:val="28"/>
        </w:rPr>
        <w:t>24</w:t>
      </w:r>
      <w:r>
        <w:rPr>
          <w:rFonts w:ascii="宋体" w:hAnsi="宋体"/>
          <w:color w:val="auto"/>
          <w:sz w:val="28"/>
          <w:szCs w:val="28"/>
        </w:rPr>
        <w:t>号，2018年</w:t>
      </w:r>
      <w:r>
        <w:rPr>
          <w:rFonts w:hint="eastAsia" w:ascii="宋体" w:hAnsi="宋体"/>
          <w:color w:val="auto"/>
          <w:sz w:val="28"/>
          <w:szCs w:val="28"/>
        </w:rPr>
        <w:t>1</w:t>
      </w:r>
      <w:r>
        <w:rPr>
          <w:rFonts w:ascii="宋体" w:hAnsi="宋体"/>
          <w:color w:val="auto"/>
          <w:sz w:val="28"/>
          <w:szCs w:val="28"/>
        </w:rPr>
        <w:t>2月29日</w:t>
      </w:r>
      <w:r>
        <w:rPr>
          <w:rFonts w:hint="eastAsia" w:ascii="宋体" w:hAnsi="宋体"/>
          <w:color w:val="auto"/>
          <w:sz w:val="28"/>
          <w:szCs w:val="28"/>
        </w:rPr>
        <w:t>第三次修正</w:t>
      </w:r>
      <w:r>
        <w:rPr>
          <w:rFonts w:ascii="宋体" w:hAnsi="宋体"/>
          <w:color w:val="auto"/>
          <w:sz w:val="28"/>
          <w:szCs w:val="28"/>
        </w:rPr>
        <w:t>）</w:t>
      </w:r>
      <w:r>
        <w:rPr>
          <w:rFonts w:hint="eastAsia" w:ascii="宋体" w:hAnsi="宋体"/>
          <w:color w:val="auto"/>
          <w:sz w:val="28"/>
          <w:szCs w:val="28"/>
          <w:lang w:eastAsia="zh-CN"/>
        </w:rPr>
        <w:t>；</w:t>
      </w:r>
    </w:p>
    <w:p w14:paraId="491CDA57">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left="0" w:leftChars="0" w:firstLine="560" w:firstLineChars="200"/>
        <w:textAlignment w:val="auto"/>
        <w:rPr>
          <w:rFonts w:ascii="宋体" w:hAnsi="宋体" w:cs="宋体"/>
          <w:color w:val="auto"/>
          <w:sz w:val="28"/>
          <w:szCs w:val="28"/>
        </w:rPr>
      </w:pPr>
      <w:r>
        <w:rPr>
          <w:rFonts w:hint="eastAsia" w:ascii="宋体" w:hAnsi="宋体" w:cs="宋体"/>
          <w:color w:val="auto"/>
          <w:sz w:val="28"/>
          <w:szCs w:val="28"/>
        </w:rPr>
        <w:t>《中华人民共和国劳动法》（中华人民共和国主席令24号，自</w:t>
      </w:r>
      <w:r>
        <w:rPr>
          <w:rFonts w:ascii="宋体" w:hAnsi="宋体" w:cs="宋体"/>
          <w:color w:val="auto"/>
          <w:sz w:val="28"/>
          <w:szCs w:val="28"/>
        </w:rPr>
        <w:t>20</w:t>
      </w:r>
      <w:r>
        <w:rPr>
          <w:rFonts w:hint="eastAsia" w:ascii="宋体" w:hAnsi="宋体" w:cs="宋体"/>
          <w:color w:val="auto"/>
          <w:sz w:val="28"/>
          <w:szCs w:val="28"/>
        </w:rPr>
        <w:t>18年12月29日起施行）；</w:t>
      </w:r>
    </w:p>
    <w:p w14:paraId="6D52ED0F">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left="0" w:leftChars="0" w:firstLine="560" w:firstLineChars="200"/>
        <w:textAlignment w:val="auto"/>
        <w:rPr>
          <w:rFonts w:ascii="宋体" w:hAnsi="宋体"/>
          <w:color w:val="auto"/>
          <w:sz w:val="28"/>
          <w:szCs w:val="28"/>
        </w:rPr>
      </w:pPr>
      <w:r>
        <w:rPr>
          <w:rFonts w:ascii="宋体" w:hAnsi="宋体"/>
          <w:color w:val="auto"/>
          <w:sz w:val="28"/>
          <w:szCs w:val="28"/>
        </w:rPr>
        <w:t>《中华人民共和国消防法》（2019年4月23日第十三届全国人民代表大会常务委员会第十次会议《关于修改〈中华人民共和国建筑法〉等八部法律的决定》修正）</w:t>
      </w:r>
      <w:r>
        <w:rPr>
          <w:rFonts w:hint="eastAsia" w:ascii="宋体" w:hAnsi="宋体"/>
          <w:color w:val="auto"/>
          <w:sz w:val="28"/>
          <w:szCs w:val="28"/>
          <w:lang w:eastAsia="zh-CN"/>
        </w:rPr>
        <w:t>，</w:t>
      </w:r>
      <w:r>
        <w:rPr>
          <w:rFonts w:ascii="宋体" w:hAnsi="宋体"/>
          <w:color w:val="auto"/>
          <w:sz w:val="28"/>
          <w:szCs w:val="28"/>
        </w:rPr>
        <w:t>2021年4月29日第十三届全国人民代表大会常务委员会第二十八次会议通过）；</w:t>
      </w:r>
    </w:p>
    <w:p w14:paraId="4626A30C">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《中华人民共和国突发事件应对法》（国家主席令第69号，2024年6月28日第十四届全国人民代表大会常务委员会第十次会议修订</w:t>
      </w:r>
      <w:r>
        <w:rPr>
          <w:rFonts w:hint="eastAsia" w:ascii="宋体" w:hAnsi="宋体" w:eastAsia="宋体" w:cs="Times New Roman"/>
          <w:color w:val="auto"/>
          <w:sz w:val="28"/>
          <w:szCs w:val="28"/>
          <w:lang w:eastAsia="zh-CN"/>
        </w:rPr>
        <w:t>，</w:t>
      </w:r>
      <w:r>
        <w:rPr>
          <w:rFonts w:hint="eastAsia" w:ascii="宋体" w:hAnsi="宋体" w:eastAsia="宋体" w:cs="Times New Roman"/>
          <w:color w:val="auto"/>
          <w:sz w:val="28"/>
          <w:szCs w:val="28"/>
          <w:lang w:val="en-US" w:eastAsia="zh-CN"/>
        </w:rPr>
        <w:t>自</w:t>
      </w:r>
      <w:r>
        <w:rPr>
          <w:rFonts w:hint="eastAsia" w:ascii="宋体" w:hAnsi="宋体" w:eastAsia="宋体" w:cs="Times New Roman"/>
          <w:color w:val="auto"/>
          <w:sz w:val="28"/>
          <w:szCs w:val="28"/>
        </w:rPr>
        <w:t>2024年11月1日起施行）</w:t>
      </w:r>
      <w:r>
        <w:rPr>
          <w:rFonts w:hint="eastAsia" w:ascii="宋体" w:hAnsi="宋体" w:eastAsia="宋体" w:cs="Times New Roman"/>
          <w:color w:val="auto"/>
          <w:sz w:val="28"/>
          <w:szCs w:val="28"/>
          <w:lang w:eastAsia="zh-CN"/>
        </w:rPr>
        <w:t>。</w:t>
      </w:r>
    </w:p>
    <w:p w14:paraId="6267E7FB">
      <w:pPr>
        <w:pStyle w:val="4"/>
        <w:bidi w:val="0"/>
        <w:rPr>
          <w:rFonts w:hint="eastAsia"/>
        </w:rPr>
      </w:pPr>
      <w:bookmarkStart w:id="24" w:name="_Toc19029"/>
      <w:bookmarkStart w:id="25" w:name="_Toc30986"/>
      <w:bookmarkStart w:id="26" w:name="_Toc424205807"/>
      <w:bookmarkStart w:id="27" w:name="_Toc419278701"/>
      <w:bookmarkStart w:id="28" w:name="_Toc6926"/>
      <w:bookmarkStart w:id="29" w:name="_Toc441841702"/>
      <w:bookmarkStart w:id="30" w:name="_Toc9192"/>
      <w:r>
        <w:rPr>
          <w:rFonts w:hint="eastAsia"/>
        </w:rPr>
        <w:t>行政法规</w:t>
      </w:r>
      <w:bookmarkEnd w:id="24"/>
      <w:bookmarkEnd w:id="25"/>
      <w:bookmarkEnd w:id="26"/>
      <w:bookmarkEnd w:id="27"/>
      <w:bookmarkEnd w:id="28"/>
      <w:bookmarkEnd w:id="29"/>
      <w:bookmarkEnd w:id="30"/>
    </w:p>
    <w:p w14:paraId="0E87EA8E">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ascii="宋体" w:hAnsi="宋体"/>
          <w:color w:val="auto"/>
          <w:sz w:val="28"/>
          <w:szCs w:val="28"/>
        </w:rPr>
      </w:pPr>
      <w:r>
        <w:rPr>
          <w:rFonts w:hint="eastAsia" w:ascii="宋体" w:hAnsi="宋体"/>
          <w:color w:val="auto"/>
          <w:sz w:val="28"/>
          <w:szCs w:val="28"/>
        </w:rPr>
        <w:t>《中华人民共和国矿山安全法实施条例》（中华人民共和国劳动部令[1996]4号，</w:t>
      </w:r>
      <w:r>
        <w:rPr>
          <w:rFonts w:ascii="宋体" w:hAnsi="宋体"/>
          <w:color w:val="auto"/>
          <w:sz w:val="28"/>
          <w:szCs w:val="28"/>
        </w:rPr>
        <w:t>自1996年10月</w:t>
      </w:r>
      <w:r>
        <w:rPr>
          <w:rFonts w:hint="eastAsia" w:ascii="宋体" w:hAnsi="宋体"/>
          <w:color w:val="auto"/>
          <w:sz w:val="28"/>
          <w:szCs w:val="28"/>
        </w:rPr>
        <w:t>30</w:t>
      </w:r>
      <w:r>
        <w:rPr>
          <w:rFonts w:ascii="宋体" w:hAnsi="宋体"/>
          <w:color w:val="auto"/>
          <w:sz w:val="28"/>
          <w:szCs w:val="28"/>
        </w:rPr>
        <w:t>日起施行）；</w:t>
      </w:r>
    </w:p>
    <w:p w14:paraId="67FE5753">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ascii="宋体" w:hAnsi="宋体"/>
          <w:color w:val="auto"/>
          <w:sz w:val="28"/>
          <w:szCs w:val="28"/>
        </w:rPr>
      </w:pPr>
      <w:r>
        <w:rPr>
          <w:rFonts w:hint="eastAsia" w:ascii="宋体" w:hAnsi="宋体"/>
          <w:color w:val="auto"/>
          <w:sz w:val="28"/>
          <w:szCs w:val="28"/>
        </w:rPr>
        <w:t>《地质灾害防治条例》（国务院令第394号令，</w:t>
      </w:r>
      <w:r>
        <w:rPr>
          <w:rFonts w:ascii="宋体" w:hAnsi="宋体"/>
          <w:color w:val="auto"/>
          <w:sz w:val="28"/>
          <w:szCs w:val="28"/>
        </w:rPr>
        <w:t>自2004年3月1日起施行）；</w:t>
      </w:r>
    </w:p>
    <w:p w14:paraId="2FFDDFDD">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ascii="宋体" w:hAnsi="宋体"/>
          <w:color w:val="auto"/>
          <w:sz w:val="28"/>
          <w:szCs w:val="28"/>
        </w:rPr>
      </w:pPr>
      <w:r>
        <w:rPr>
          <w:rFonts w:hint="eastAsia" w:ascii="宋体" w:hAnsi="宋体"/>
          <w:color w:val="auto"/>
          <w:sz w:val="28"/>
          <w:szCs w:val="28"/>
        </w:rPr>
        <w:t>《生产安全事故报告和调查处理条例》（中华人民共和国国务院令第493号，自2007年6月1日起施行）；</w:t>
      </w:r>
    </w:p>
    <w:p w14:paraId="6E714401">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ascii="宋体" w:hAnsi="宋体"/>
          <w:color w:val="auto"/>
          <w:sz w:val="28"/>
          <w:szCs w:val="28"/>
        </w:rPr>
      </w:pPr>
      <w:r>
        <w:rPr>
          <w:rFonts w:hint="eastAsia" w:ascii="宋体" w:hAnsi="宋体"/>
          <w:color w:val="auto"/>
          <w:sz w:val="28"/>
          <w:szCs w:val="28"/>
        </w:rPr>
        <w:t>《特种设备安全监察条例》</w:t>
      </w:r>
      <w:r>
        <w:rPr>
          <w:rFonts w:ascii="宋体" w:hAnsi="宋体"/>
          <w:color w:val="auto"/>
          <w:sz w:val="28"/>
          <w:szCs w:val="28"/>
        </w:rPr>
        <w:t>（中华人民共和国国务院令第549号，自2009年5月1日起施行</w:t>
      </w:r>
      <w:r>
        <w:rPr>
          <w:rFonts w:hint="eastAsia" w:ascii="宋体" w:hAnsi="宋体"/>
          <w:color w:val="auto"/>
          <w:sz w:val="28"/>
          <w:szCs w:val="28"/>
        </w:rPr>
        <w:t>）</w:t>
      </w:r>
      <w:r>
        <w:rPr>
          <w:rFonts w:ascii="宋体" w:hAnsi="宋体"/>
          <w:color w:val="auto"/>
          <w:sz w:val="28"/>
          <w:szCs w:val="28"/>
        </w:rPr>
        <w:t>；</w:t>
      </w:r>
    </w:p>
    <w:p w14:paraId="2D3ACE73">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ascii="宋体" w:hAnsi="宋体"/>
          <w:color w:val="auto"/>
          <w:sz w:val="28"/>
          <w:szCs w:val="28"/>
        </w:rPr>
      </w:pPr>
      <w:r>
        <w:rPr>
          <w:rFonts w:hint="eastAsia" w:ascii="宋体" w:hAnsi="宋体"/>
          <w:color w:val="auto"/>
          <w:sz w:val="28"/>
          <w:szCs w:val="28"/>
        </w:rPr>
        <w:t>《工伤保险条例》（中华人民共和国国务院令[2011]586号，</w:t>
      </w:r>
      <w:r>
        <w:rPr>
          <w:rFonts w:ascii="宋体" w:hAnsi="宋体"/>
          <w:color w:val="auto"/>
          <w:sz w:val="28"/>
          <w:szCs w:val="28"/>
        </w:rPr>
        <w:t>自2011年1月1日起施行）；</w:t>
      </w:r>
    </w:p>
    <w:p w14:paraId="4A4F1BEE">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ascii="宋体" w:hAnsi="宋体" w:cs="宋体"/>
          <w:color w:val="auto"/>
          <w:sz w:val="28"/>
          <w:szCs w:val="28"/>
        </w:rPr>
      </w:pPr>
      <w:r>
        <w:rPr>
          <w:rFonts w:ascii="宋体" w:hAnsi="宋体" w:cs="宋体"/>
          <w:color w:val="auto"/>
          <w:sz w:val="28"/>
          <w:szCs w:val="28"/>
        </w:rPr>
        <w:t>《电力设施保护条例》（国务院令第239号</w:t>
      </w:r>
      <w:r>
        <w:rPr>
          <w:rFonts w:hint="eastAsia" w:ascii="宋体" w:hAnsi="宋体" w:cs="宋体"/>
          <w:color w:val="auto"/>
          <w:sz w:val="28"/>
          <w:szCs w:val="28"/>
        </w:rPr>
        <w:t>，</w:t>
      </w:r>
      <w:r>
        <w:rPr>
          <w:rFonts w:ascii="宋体" w:hAnsi="宋体" w:cs="宋体"/>
          <w:color w:val="auto"/>
          <w:sz w:val="28"/>
          <w:szCs w:val="28"/>
        </w:rPr>
        <w:t>自2011年1月8日起施行）</w:t>
      </w:r>
      <w:r>
        <w:rPr>
          <w:rFonts w:hint="eastAsia" w:ascii="宋体" w:hAnsi="宋体" w:cs="宋体"/>
          <w:color w:val="auto"/>
          <w:sz w:val="28"/>
          <w:szCs w:val="28"/>
        </w:rPr>
        <w:t>；</w:t>
      </w:r>
    </w:p>
    <w:p w14:paraId="36F4E412">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ascii="宋体" w:hAnsi="宋体" w:cs="宋体"/>
          <w:color w:val="auto"/>
          <w:sz w:val="28"/>
          <w:szCs w:val="28"/>
        </w:rPr>
      </w:pPr>
      <w:r>
        <w:rPr>
          <w:rFonts w:hint="eastAsia" w:ascii="宋体" w:hAnsi="宋体" w:cs="宋体"/>
          <w:color w:val="auto"/>
          <w:sz w:val="28"/>
          <w:szCs w:val="28"/>
        </w:rPr>
        <w:t>《公路安全保护条例》（中华人民共和国国务院令第593号，自2011年7月1日起施行）</w:t>
      </w:r>
      <w:r>
        <w:rPr>
          <w:rFonts w:hint="eastAsia" w:ascii="宋体" w:hAnsi="宋体" w:cs="宋体"/>
          <w:color w:val="auto"/>
          <w:sz w:val="28"/>
          <w:szCs w:val="28"/>
          <w:lang w:eastAsia="zh-CN"/>
        </w:rPr>
        <w:t>；</w:t>
      </w:r>
    </w:p>
    <w:p w14:paraId="468FB8D9">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ascii="宋体" w:hAnsi="宋体"/>
          <w:color w:val="auto"/>
          <w:sz w:val="28"/>
          <w:szCs w:val="28"/>
        </w:rPr>
      </w:pPr>
      <w:r>
        <w:rPr>
          <w:rFonts w:hint="eastAsia" w:ascii="宋体" w:hAnsi="宋体"/>
          <w:color w:val="auto"/>
          <w:sz w:val="28"/>
          <w:szCs w:val="28"/>
        </w:rPr>
        <w:t>《安全生产许可证条例》（根据</w:t>
      </w:r>
      <w:r>
        <w:rPr>
          <w:rFonts w:ascii="宋体" w:hAnsi="宋体"/>
          <w:color w:val="auto"/>
          <w:sz w:val="28"/>
          <w:szCs w:val="28"/>
        </w:rPr>
        <w:t>2014</w:t>
      </w:r>
      <w:r>
        <w:rPr>
          <w:rFonts w:hint="eastAsia" w:ascii="宋体" w:hAnsi="宋体"/>
          <w:color w:val="auto"/>
          <w:sz w:val="28"/>
          <w:szCs w:val="28"/>
        </w:rPr>
        <w:t>年</w:t>
      </w:r>
      <w:r>
        <w:rPr>
          <w:rFonts w:ascii="宋体" w:hAnsi="宋体"/>
          <w:color w:val="auto"/>
          <w:sz w:val="28"/>
          <w:szCs w:val="28"/>
        </w:rPr>
        <w:t>7</w:t>
      </w:r>
      <w:r>
        <w:rPr>
          <w:rFonts w:hint="eastAsia" w:ascii="宋体" w:hAnsi="宋体"/>
          <w:color w:val="auto"/>
          <w:sz w:val="28"/>
          <w:szCs w:val="28"/>
        </w:rPr>
        <w:t>月</w:t>
      </w:r>
      <w:r>
        <w:rPr>
          <w:rFonts w:ascii="宋体" w:hAnsi="宋体"/>
          <w:color w:val="auto"/>
          <w:sz w:val="28"/>
          <w:szCs w:val="28"/>
        </w:rPr>
        <w:t>9</w:t>
      </w:r>
      <w:r>
        <w:rPr>
          <w:rFonts w:hint="eastAsia" w:ascii="宋体" w:hAnsi="宋体"/>
          <w:color w:val="auto"/>
          <w:sz w:val="28"/>
          <w:szCs w:val="28"/>
        </w:rPr>
        <w:t>日国务院第</w:t>
      </w:r>
      <w:r>
        <w:rPr>
          <w:rFonts w:ascii="宋体" w:hAnsi="宋体"/>
          <w:color w:val="auto"/>
          <w:sz w:val="28"/>
          <w:szCs w:val="28"/>
        </w:rPr>
        <w:t>54</w:t>
      </w:r>
      <w:r>
        <w:rPr>
          <w:rFonts w:hint="eastAsia" w:ascii="宋体" w:hAnsi="宋体"/>
          <w:color w:val="auto"/>
          <w:sz w:val="28"/>
          <w:szCs w:val="28"/>
        </w:rPr>
        <w:t>次常务会议通过</w:t>
      </w:r>
      <w:r>
        <w:rPr>
          <w:rFonts w:hint="eastAsia" w:ascii="宋体" w:hAnsi="宋体"/>
          <w:color w:val="auto"/>
          <w:sz w:val="28"/>
          <w:szCs w:val="28"/>
          <w:lang w:eastAsia="zh-CN"/>
        </w:rPr>
        <w:t>，</w:t>
      </w:r>
      <w:r>
        <w:rPr>
          <w:rFonts w:ascii="宋体" w:hAnsi="宋体"/>
          <w:color w:val="auto"/>
          <w:sz w:val="28"/>
          <w:szCs w:val="28"/>
        </w:rPr>
        <w:t>2014</w:t>
      </w:r>
      <w:r>
        <w:rPr>
          <w:rFonts w:hint="eastAsia" w:ascii="宋体" w:hAnsi="宋体"/>
          <w:color w:val="auto"/>
          <w:sz w:val="28"/>
          <w:szCs w:val="28"/>
        </w:rPr>
        <w:t>年</w:t>
      </w:r>
      <w:r>
        <w:rPr>
          <w:rFonts w:ascii="宋体" w:hAnsi="宋体"/>
          <w:color w:val="auto"/>
          <w:sz w:val="28"/>
          <w:szCs w:val="28"/>
        </w:rPr>
        <w:t>7</w:t>
      </w:r>
      <w:r>
        <w:rPr>
          <w:rFonts w:hint="eastAsia" w:ascii="宋体" w:hAnsi="宋体"/>
          <w:color w:val="auto"/>
          <w:sz w:val="28"/>
          <w:szCs w:val="28"/>
        </w:rPr>
        <w:t>月</w:t>
      </w:r>
      <w:r>
        <w:rPr>
          <w:rFonts w:ascii="宋体" w:hAnsi="宋体"/>
          <w:color w:val="auto"/>
          <w:sz w:val="28"/>
          <w:szCs w:val="28"/>
        </w:rPr>
        <w:t>29</w:t>
      </w:r>
      <w:r>
        <w:rPr>
          <w:rFonts w:hint="eastAsia" w:ascii="宋体" w:hAnsi="宋体"/>
          <w:color w:val="auto"/>
          <w:sz w:val="28"/>
          <w:szCs w:val="28"/>
        </w:rPr>
        <w:t>日中华人民共和国国务院令第</w:t>
      </w:r>
      <w:r>
        <w:rPr>
          <w:rFonts w:ascii="宋体" w:hAnsi="宋体"/>
          <w:color w:val="auto"/>
          <w:sz w:val="28"/>
          <w:szCs w:val="28"/>
        </w:rPr>
        <w:t>653</w:t>
      </w:r>
      <w:r>
        <w:rPr>
          <w:rFonts w:hint="eastAsia" w:ascii="宋体" w:hAnsi="宋体"/>
          <w:color w:val="auto"/>
          <w:sz w:val="28"/>
          <w:szCs w:val="28"/>
        </w:rPr>
        <w:t>号公布施行的《国务院关于修改部分行政法规的决定》第二次修正）</w:t>
      </w:r>
      <w:r>
        <w:rPr>
          <w:rFonts w:ascii="宋体" w:hAnsi="宋体"/>
          <w:color w:val="auto"/>
          <w:sz w:val="28"/>
          <w:szCs w:val="28"/>
        </w:rPr>
        <w:t>；</w:t>
      </w:r>
    </w:p>
    <w:p w14:paraId="566E1145">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cs="宋体"/>
          <w:color w:val="auto"/>
          <w:sz w:val="28"/>
          <w:szCs w:val="28"/>
        </w:rPr>
      </w:pPr>
      <w:r>
        <w:rPr>
          <w:rFonts w:hint="eastAsia" w:ascii="宋体" w:hAnsi="宋体" w:cs="宋体"/>
          <w:color w:val="auto"/>
          <w:sz w:val="28"/>
          <w:szCs w:val="28"/>
        </w:rPr>
        <w:t>《生产安全事故应急条例》（国务院令第708号</w:t>
      </w:r>
      <w:r>
        <w:rPr>
          <w:rFonts w:hint="eastAsia" w:ascii="宋体" w:hAnsi="宋体" w:cs="宋体"/>
          <w:color w:val="auto"/>
          <w:sz w:val="28"/>
          <w:szCs w:val="28"/>
          <w:lang w:eastAsia="zh-CN"/>
        </w:rPr>
        <w:t>，</w:t>
      </w:r>
      <w:r>
        <w:rPr>
          <w:rFonts w:hint="eastAsia" w:ascii="宋体" w:hAnsi="宋体" w:cs="宋体"/>
          <w:color w:val="auto"/>
          <w:sz w:val="28"/>
          <w:szCs w:val="28"/>
        </w:rPr>
        <w:t>自2019年4月1日起施行）。</w:t>
      </w:r>
    </w:p>
    <w:p w14:paraId="1E334FE5">
      <w:pPr>
        <w:pStyle w:val="4"/>
        <w:bidi w:val="0"/>
        <w:rPr>
          <w:rFonts w:hint="eastAsia"/>
        </w:rPr>
      </w:pPr>
      <w:bookmarkStart w:id="31" w:name="_Toc4195"/>
      <w:bookmarkStart w:id="32" w:name="_Toc18624"/>
      <w:bookmarkStart w:id="33" w:name="_Toc419278702"/>
      <w:bookmarkStart w:id="34" w:name="_Toc17431"/>
      <w:bookmarkStart w:id="35" w:name="_Toc441841703"/>
      <w:bookmarkStart w:id="36" w:name="_Toc31572"/>
      <w:bookmarkStart w:id="37" w:name="_Toc424205808"/>
      <w:r>
        <w:rPr>
          <w:rFonts w:hint="eastAsia"/>
        </w:rPr>
        <w:t>部门规章</w:t>
      </w:r>
      <w:bookmarkEnd w:id="31"/>
      <w:bookmarkEnd w:id="32"/>
      <w:bookmarkEnd w:id="33"/>
      <w:bookmarkEnd w:id="34"/>
      <w:bookmarkEnd w:id="35"/>
      <w:bookmarkEnd w:id="36"/>
      <w:bookmarkEnd w:id="37"/>
    </w:p>
    <w:p w14:paraId="3B4516BB">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left="0" w:leftChars="0" w:firstLine="560" w:firstLineChars="200"/>
        <w:textAlignment w:val="auto"/>
        <w:rPr>
          <w:rFonts w:ascii="宋体" w:hAnsi="宋体" w:cs="宋体"/>
          <w:color w:val="auto"/>
          <w:sz w:val="28"/>
          <w:szCs w:val="28"/>
        </w:rPr>
      </w:pPr>
      <w:r>
        <w:rPr>
          <w:rFonts w:ascii="宋体" w:hAnsi="宋体" w:cs="宋体"/>
          <w:color w:val="auto"/>
          <w:sz w:val="28"/>
          <w:szCs w:val="28"/>
        </w:rPr>
        <w:t>《安全生产事故隐患排查治理暂行规定》（</w:t>
      </w:r>
      <w:r>
        <w:rPr>
          <w:rFonts w:hint="eastAsia" w:ascii="宋体" w:hAnsi="宋体" w:cs="宋体"/>
          <w:color w:val="auto"/>
          <w:sz w:val="28"/>
          <w:szCs w:val="28"/>
          <w:lang w:eastAsia="zh-CN"/>
        </w:rPr>
        <w:t>原国家安全生产监督管理总局</w:t>
      </w:r>
      <w:r>
        <w:rPr>
          <w:rFonts w:ascii="宋体" w:hAnsi="宋体" w:cs="宋体"/>
          <w:color w:val="auto"/>
          <w:sz w:val="28"/>
          <w:szCs w:val="28"/>
        </w:rPr>
        <w:t>令第16号公布，自2008年2月1日起施行）；</w:t>
      </w:r>
    </w:p>
    <w:p w14:paraId="11B04496">
      <w:pPr>
        <w:keepNext w:val="0"/>
        <w:keepLines w:val="0"/>
        <w:pageBreakBefore w:val="0"/>
        <w:widowControl w:val="0"/>
        <w:numPr>
          <w:ilvl w:val="0"/>
          <w:numId w:val="7"/>
        </w:numPr>
        <w:kinsoku/>
        <w:wordWrap/>
        <w:overflowPunct/>
        <w:topLinePunct w:val="0"/>
        <w:autoSpaceDE/>
        <w:autoSpaceDN/>
        <w:bidi w:val="0"/>
        <w:adjustRightInd/>
        <w:snapToGrid/>
        <w:ind w:left="0" w:leftChars="0" w:firstLine="560" w:firstLineChars="200"/>
        <w:textAlignment w:val="auto"/>
        <w:rPr>
          <w:color w:val="auto"/>
        </w:rPr>
      </w:pPr>
      <w:r>
        <w:rPr>
          <w:rFonts w:hint="eastAsia"/>
          <w:color w:val="auto"/>
        </w:rPr>
        <w:t>《</w:t>
      </w:r>
      <w:r>
        <w:rPr>
          <w:rFonts w:hint="default"/>
          <w:color w:val="auto"/>
        </w:rPr>
        <w:fldChar w:fldCharType="begin"/>
      </w:r>
      <w:r>
        <w:rPr>
          <w:rFonts w:hint="default"/>
          <w:color w:val="auto"/>
        </w:rPr>
        <w:instrText xml:space="preserve"> HYPERLINK "https://baike.baidu.com/item/%E5%B7%A5%E4%BD%9C%E5%9C%BA%E6%89%80%E8%81%8C%E4%B8%9A%E5%8D%AB%E7%94%9F%E7%9B%91%E7%9D%A3%E7%AE%A1%E7%90%86%E8%A7%84%E5%AE%9A/1030399?fromModule=lemma_inlink" \t "https://baike.baidu.com/item/_blank" </w:instrText>
      </w:r>
      <w:r>
        <w:rPr>
          <w:rFonts w:hint="default"/>
          <w:color w:val="auto"/>
        </w:rPr>
        <w:fldChar w:fldCharType="separate"/>
      </w:r>
      <w:r>
        <w:rPr>
          <w:rStyle w:val="32"/>
          <w:rFonts w:hint="default" w:ascii="Helvetica" w:hAnsi="Helvetica" w:eastAsia="Helvetica" w:cs="Helvetica"/>
          <w:i w:val="0"/>
          <w:iCs w:val="0"/>
          <w:caps w:val="0"/>
          <w:color w:val="auto"/>
          <w:spacing w:val="0"/>
          <w:szCs w:val="14"/>
          <w:u w:val="none"/>
          <w:shd w:val="clear" w:fill="FFFFFF"/>
        </w:rPr>
        <w:t>工作场所职业卫生监督管理规定</w:t>
      </w:r>
      <w:r>
        <w:rPr>
          <w:rFonts w:hint="default"/>
          <w:color w:val="auto"/>
        </w:rPr>
        <w:fldChar w:fldCharType="end"/>
      </w:r>
      <w:r>
        <w:rPr>
          <w:rFonts w:hint="eastAsia"/>
          <w:color w:val="auto"/>
        </w:rPr>
        <w:t>》（</w:t>
      </w:r>
      <w:r>
        <w:rPr>
          <w:rFonts w:hint="eastAsia"/>
          <w:color w:val="auto"/>
          <w:lang w:eastAsia="zh-CN"/>
        </w:rPr>
        <w:t>原国家安全生产监督管理总局</w:t>
      </w:r>
      <w:r>
        <w:rPr>
          <w:color w:val="auto"/>
        </w:rPr>
        <w:t>令第47号</w:t>
      </w:r>
      <w:r>
        <w:rPr>
          <w:rFonts w:hint="eastAsia"/>
          <w:color w:val="auto"/>
          <w:lang w:val="en-US" w:eastAsia="zh-CN"/>
        </w:rPr>
        <w:t>，自</w:t>
      </w:r>
      <w:r>
        <w:rPr>
          <w:color w:val="auto"/>
        </w:rPr>
        <w:t>2012年6月1日起</w:t>
      </w:r>
      <w:r>
        <w:rPr>
          <w:rFonts w:hint="eastAsia"/>
          <w:color w:val="auto"/>
          <w:lang w:val="en-US" w:eastAsia="zh-CN"/>
        </w:rPr>
        <w:t>施行</w:t>
      </w:r>
      <w:r>
        <w:rPr>
          <w:rFonts w:hint="eastAsia"/>
          <w:color w:val="auto"/>
        </w:rPr>
        <w:t>）</w:t>
      </w:r>
      <w:r>
        <w:rPr>
          <w:color w:val="auto"/>
        </w:rPr>
        <w:t>；</w:t>
      </w:r>
    </w:p>
    <w:p w14:paraId="20058AC1">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color w:val="auto"/>
          <w:sz w:val="28"/>
          <w:szCs w:val="28"/>
        </w:rPr>
      </w:pPr>
      <w:r>
        <w:rPr>
          <w:rFonts w:hint="eastAsia" w:ascii="宋体" w:hAnsi="宋体"/>
          <w:color w:val="auto"/>
          <w:sz w:val="28"/>
          <w:szCs w:val="28"/>
        </w:rPr>
        <w:t>《国家安全监管总局关于修改〈生产经营单位安全培训规定〉等11件规章的决定》（</w:t>
      </w:r>
      <w:r>
        <w:rPr>
          <w:rFonts w:hint="eastAsia" w:ascii="宋体" w:hAnsi="宋体"/>
          <w:color w:val="auto"/>
          <w:sz w:val="28"/>
          <w:szCs w:val="28"/>
          <w:lang w:eastAsia="zh-CN"/>
        </w:rPr>
        <w:t>原国家安全生产监督管理总局</w:t>
      </w:r>
      <w:r>
        <w:rPr>
          <w:rFonts w:hint="eastAsia" w:ascii="宋体" w:hAnsi="宋体"/>
          <w:color w:val="auto"/>
          <w:sz w:val="28"/>
          <w:szCs w:val="28"/>
        </w:rPr>
        <w:t>令第63号</w:t>
      </w:r>
      <w:r>
        <w:rPr>
          <w:rFonts w:hint="eastAsia" w:ascii="宋体" w:hAnsi="宋体"/>
          <w:color w:val="auto"/>
          <w:sz w:val="28"/>
          <w:szCs w:val="28"/>
          <w:lang w:eastAsia="zh-CN"/>
        </w:rPr>
        <w:t>，</w:t>
      </w:r>
      <w:r>
        <w:rPr>
          <w:rFonts w:hint="eastAsia" w:ascii="宋体" w:hAnsi="宋体"/>
          <w:color w:val="auto"/>
          <w:sz w:val="28"/>
          <w:szCs w:val="28"/>
          <w:lang w:val="en-US" w:eastAsia="zh-CN"/>
        </w:rPr>
        <w:t>自</w:t>
      </w:r>
      <w:r>
        <w:rPr>
          <w:rFonts w:hint="eastAsia" w:ascii="宋体" w:hAnsi="宋体"/>
          <w:color w:val="auto"/>
          <w:sz w:val="28"/>
          <w:szCs w:val="28"/>
        </w:rPr>
        <w:t>2013年8月29日</w:t>
      </w:r>
      <w:r>
        <w:rPr>
          <w:rFonts w:hint="eastAsia" w:ascii="宋体" w:hAnsi="宋体"/>
          <w:color w:val="auto"/>
          <w:sz w:val="28"/>
          <w:szCs w:val="28"/>
          <w:lang w:val="en-US" w:eastAsia="zh-CN"/>
        </w:rPr>
        <w:t>起施行</w:t>
      </w:r>
      <w:r>
        <w:rPr>
          <w:rFonts w:hint="eastAsia" w:ascii="宋体" w:hAnsi="宋体"/>
          <w:color w:val="auto"/>
          <w:sz w:val="28"/>
          <w:szCs w:val="28"/>
        </w:rPr>
        <w:t>）；</w:t>
      </w:r>
    </w:p>
    <w:p w14:paraId="6AE1DF71">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left="0" w:leftChars="0" w:firstLine="560" w:firstLineChars="200"/>
        <w:textAlignment w:val="auto"/>
        <w:rPr>
          <w:rFonts w:ascii="宋体" w:hAnsi="宋体" w:cs="宋体"/>
          <w:color w:val="auto"/>
          <w:sz w:val="28"/>
          <w:szCs w:val="28"/>
        </w:rPr>
      </w:pPr>
      <w:r>
        <w:rPr>
          <w:rFonts w:hint="eastAsia" w:ascii="宋体" w:hAnsi="宋体"/>
          <w:color w:val="auto"/>
          <w:sz w:val="28"/>
          <w:szCs w:val="28"/>
        </w:rPr>
        <w:t>《</w:t>
      </w:r>
      <w:r>
        <w:rPr>
          <w:rFonts w:ascii="宋体" w:hAnsi="宋体"/>
          <w:color w:val="auto"/>
          <w:sz w:val="28"/>
          <w:szCs w:val="28"/>
        </w:rPr>
        <w:t>国家安全监管总局关于严防十类非煤矿山生产安全事故的通知</w:t>
      </w:r>
      <w:r>
        <w:rPr>
          <w:rFonts w:hint="eastAsia" w:ascii="宋体" w:hAnsi="宋体"/>
          <w:color w:val="auto"/>
          <w:sz w:val="28"/>
          <w:szCs w:val="28"/>
        </w:rPr>
        <w:t>》（</w:t>
      </w:r>
      <w:r>
        <w:rPr>
          <w:rFonts w:ascii="宋体" w:hAnsi="宋体"/>
          <w:color w:val="auto"/>
          <w:sz w:val="28"/>
          <w:szCs w:val="28"/>
        </w:rPr>
        <w:t>安监总管一〔2014〕48号</w:t>
      </w:r>
      <w:r>
        <w:rPr>
          <w:rFonts w:hint="eastAsia" w:ascii="宋体" w:hAnsi="宋体"/>
          <w:color w:val="auto"/>
          <w:sz w:val="28"/>
          <w:szCs w:val="28"/>
        </w:rPr>
        <w:t>，</w:t>
      </w:r>
      <w:r>
        <w:rPr>
          <w:rFonts w:ascii="宋体" w:hAnsi="宋体"/>
          <w:color w:val="auto"/>
          <w:sz w:val="28"/>
          <w:szCs w:val="28"/>
        </w:rPr>
        <w:t>自2014年5月28日起施行</w:t>
      </w:r>
      <w:r>
        <w:rPr>
          <w:rFonts w:hint="eastAsia" w:ascii="宋体" w:hAnsi="宋体"/>
          <w:color w:val="auto"/>
          <w:sz w:val="28"/>
          <w:szCs w:val="28"/>
        </w:rPr>
        <w:t>）；</w:t>
      </w:r>
    </w:p>
    <w:p w14:paraId="044467F5">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left="0" w:leftChars="0" w:firstLine="560" w:firstLineChars="200"/>
        <w:textAlignment w:val="auto"/>
        <w:rPr>
          <w:rFonts w:ascii="宋体" w:hAnsi="宋体" w:cs="宋体"/>
          <w:color w:val="auto"/>
          <w:sz w:val="28"/>
          <w:szCs w:val="28"/>
        </w:rPr>
      </w:pPr>
      <w:r>
        <w:rPr>
          <w:rFonts w:ascii="宋体" w:hAnsi="宋体"/>
          <w:color w:val="auto"/>
          <w:sz w:val="28"/>
          <w:szCs w:val="28"/>
        </w:rPr>
        <w:t>《建设项目安全设施“三同时”监督管理办法》（2010年12月14日国家安全监管总局令第36号公布，根据2015年4月2日国家安全监管总局令第77号修正）</w:t>
      </w:r>
      <w:r>
        <w:rPr>
          <w:rFonts w:ascii="宋体" w:hAnsi="宋体" w:cs="宋体"/>
          <w:color w:val="auto"/>
          <w:sz w:val="28"/>
          <w:szCs w:val="28"/>
        </w:rPr>
        <w:t>；</w:t>
      </w:r>
    </w:p>
    <w:p w14:paraId="0866BC43">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left="0" w:leftChars="0" w:firstLine="560" w:firstLineChars="200"/>
        <w:textAlignment w:val="auto"/>
        <w:rPr>
          <w:rFonts w:ascii="宋体" w:hAnsi="宋体" w:cs="宋体"/>
          <w:color w:val="auto"/>
          <w:sz w:val="28"/>
          <w:szCs w:val="28"/>
        </w:rPr>
      </w:pPr>
      <w:r>
        <w:rPr>
          <w:rFonts w:hint="eastAsia" w:ascii="宋体" w:hAnsi="宋体" w:cs="宋体"/>
          <w:color w:val="auto"/>
          <w:sz w:val="28"/>
          <w:szCs w:val="28"/>
        </w:rPr>
        <w:t>《国家安全监管总局关于发布金属非金属矿山禁止使用的设备及目录（第二批）的通知》（安监总管</w:t>
      </w:r>
      <w:r>
        <w:rPr>
          <w:rFonts w:hint="eastAsia" w:ascii="宋体" w:hAnsi="宋体" w:cs="宋体"/>
          <w:color w:val="auto"/>
          <w:sz w:val="28"/>
          <w:szCs w:val="28"/>
          <w:lang w:val="en-US" w:eastAsia="zh-CN"/>
        </w:rPr>
        <w:t>一</w:t>
      </w:r>
      <w:r>
        <w:rPr>
          <w:rFonts w:hint="eastAsia" w:ascii="宋体" w:hAnsi="宋体" w:cs="宋体"/>
          <w:color w:val="auto"/>
          <w:sz w:val="28"/>
          <w:szCs w:val="28"/>
        </w:rPr>
        <w:t>〔2015〕13号）；</w:t>
      </w:r>
    </w:p>
    <w:p w14:paraId="1442FB2D">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left="0" w:leftChars="0" w:firstLine="560" w:firstLineChars="200"/>
        <w:textAlignment w:val="auto"/>
        <w:rPr>
          <w:rFonts w:ascii="宋体" w:hAnsi="宋体" w:cs="宋体"/>
          <w:color w:val="auto"/>
          <w:sz w:val="28"/>
          <w:szCs w:val="28"/>
        </w:rPr>
      </w:pPr>
      <w:r>
        <w:rPr>
          <w:rFonts w:ascii="宋体" w:hAnsi="宋体"/>
          <w:color w:val="auto"/>
          <w:sz w:val="28"/>
          <w:szCs w:val="28"/>
        </w:rPr>
        <w:t>《非煤矿山企业安全生产许可证实施办法》（2009年6月8日国家安全监管总局令第20号公布，根据2015年5月26日国家安全监管总局令第78号修正</w:t>
      </w:r>
      <w:r>
        <w:rPr>
          <w:rFonts w:hint="eastAsia" w:ascii="宋体" w:hAnsi="宋体"/>
          <w:color w:val="auto"/>
          <w:sz w:val="28"/>
          <w:szCs w:val="28"/>
        </w:rPr>
        <w:t>）</w:t>
      </w:r>
      <w:r>
        <w:rPr>
          <w:rFonts w:ascii="宋体" w:hAnsi="宋体" w:cs="宋体"/>
          <w:color w:val="auto"/>
          <w:sz w:val="28"/>
          <w:szCs w:val="28"/>
        </w:rPr>
        <w:t>；</w:t>
      </w:r>
    </w:p>
    <w:p w14:paraId="69D82EF9">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left="0" w:leftChars="0" w:firstLine="560" w:firstLineChars="200"/>
        <w:textAlignment w:val="auto"/>
        <w:rPr>
          <w:rFonts w:ascii="宋体" w:hAnsi="宋体"/>
          <w:color w:val="auto"/>
          <w:sz w:val="28"/>
          <w:szCs w:val="28"/>
        </w:rPr>
      </w:pPr>
      <w:bookmarkStart w:id="38" w:name="_Toc441841704"/>
      <w:bookmarkStart w:id="39" w:name="_Toc12088"/>
      <w:bookmarkStart w:id="40" w:name="_Toc419278703"/>
      <w:bookmarkStart w:id="41" w:name="_Toc424205809"/>
      <w:r>
        <w:rPr>
          <w:rFonts w:hint="eastAsia" w:ascii="宋体" w:hAnsi="宋体"/>
          <w:color w:val="auto"/>
          <w:sz w:val="28"/>
          <w:szCs w:val="28"/>
        </w:rPr>
        <w:t>《特种作业人员安全技术培训考核管理规定》</w:t>
      </w:r>
      <w:r>
        <w:rPr>
          <w:rFonts w:hint="eastAsia" w:ascii="宋体" w:hAnsi="宋体"/>
          <w:color w:val="auto"/>
          <w:sz w:val="28"/>
          <w:szCs w:val="28"/>
          <w:lang w:eastAsia="zh-CN"/>
        </w:rPr>
        <w:t>原国家安全生产监督管理总局</w:t>
      </w:r>
      <w:r>
        <w:rPr>
          <w:rFonts w:hint="eastAsia" w:ascii="宋体" w:hAnsi="宋体"/>
          <w:color w:val="auto"/>
          <w:sz w:val="28"/>
          <w:szCs w:val="28"/>
        </w:rPr>
        <w:t>令第30号，</w:t>
      </w:r>
      <w:r>
        <w:rPr>
          <w:rFonts w:ascii="宋体" w:hAnsi="宋体"/>
          <w:color w:val="auto"/>
          <w:sz w:val="28"/>
          <w:szCs w:val="28"/>
        </w:rPr>
        <w:t>2013</w:t>
      </w:r>
      <w:r>
        <w:rPr>
          <w:rFonts w:hint="eastAsia" w:ascii="宋体" w:hAnsi="宋体"/>
          <w:color w:val="auto"/>
          <w:sz w:val="28"/>
          <w:szCs w:val="28"/>
        </w:rPr>
        <w:t>年</w:t>
      </w:r>
      <w:r>
        <w:rPr>
          <w:rFonts w:ascii="宋体" w:hAnsi="宋体"/>
          <w:color w:val="auto"/>
          <w:sz w:val="28"/>
          <w:szCs w:val="28"/>
        </w:rPr>
        <w:t>8</w:t>
      </w:r>
      <w:r>
        <w:rPr>
          <w:rFonts w:hint="eastAsia" w:ascii="宋体" w:hAnsi="宋体"/>
          <w:color w:val="auto"/>
          <w:sz w:val="28"/>
          <w:szCs w:val="28"/>
        </w:rPr>
        <w:t>月</w:t>
      </w:r>
      <w:r>
        <w:rPr>
          <w:rFonts w:ascii="宋体" w:hAnsi="宋体"/>
          <w:color w:val="auto"/>
          <w:sz w:val="28"/>
          <w:szCs w:val="28"/>
        </w:rPr>
        <w:t>29</w:t>
      </w:r>
      <w:r>
        <w:rPr>
          <w:rFonts w:hint="eastAsia" w:ascii="宋体" w:hAnsi="宋体"/>
          <w:color w:val="auto"/>
          <w:sz w:val="28"/>
          <w:szCs w:val="28"/>
        </w:rPr>
        <w:t>日国家安全监管总局令第</w:t>
      </w:r>
      <w:r>
        <w:rPr>
          <w:rFonts w:ascii="宋体" w:hAnsi="宋体"/>
          <w:color w:val="auto"/>
          <w:sz w:val="28"/>
          <w:szCs w:val="28"/>
        </w:rPr>
        <w:t xml:space="preserve">63 </w:t>
      </w:r>
      <w:r>
        <w:rPr>
          <w:rFonts w:hint="eastAsia" w:ascii="宋体" w:hAnsi="宋体"/>
          <w:color w:val="auto"/>
          <w:sz w:val="28"/>
          <w:szCs w:val="28"/>
        </w:rPr>
        <w:t>号第一次修正，</w:t>
      </w:r>
      <w:r>
        <w:rPr>
          <w:rFonts w:ascii="宋体" w:hAnsi="宋体"/>
          <w:color w:val="auto"/>
          <w:sz w:val="28"/>
          <w:szCs w:val="28"/>
        </w:rPr>
        <w:t xml:space="preserve"> 2015</w:t>
      </w:r>
      <w:r>
        <w:rPr>
          <w:rFonts w:hint="eastAsia" w:ascii="宋体" w:hAnsi="宋体"/>
          <w:color w:val="auto"/>
          <w:sz w:val="28"/>
          <w:szCs w:val="28"/>
        </w:rPr>
        <w:t>年</w:t>
      </w:r>
      <w:r>
        <w:rPr>
          <w:rFonts w:ascii="宋体" w:hAnsi="宋体"/>
          <w:color w:val="auto"/>
          <w:sz w:val="28"/>
          <w:szCs w:val="28"/>
        </w:rPr>
        <w:t>5</w:t>
      </w:r>
      <w:r>
        <w:rPr>
          <w:rFonts w:hint="eastAsia" w:ascii="宋体" w:hAnsi="宋体"/>
          <w:color w:val="auto"/>
          <w:sz w:val="28"/>
          <w:szCs w:val="28"/>
        </w:rPr>
        <w:t>月</w:t>
      </w:r>
      <w:r>
        <w:rPr>
          <w:rFonts w:ascii="宋体" w:hAnsi="宋体"/>
          <w:color w:val="auto"/>
          <w:sz w:val="28"/>
          <w:szCs w:val="28"/>
        </w:rPr>
        <w:t>29</w:t>
      </w:r>
      <w:r>
        <w:rPr>
          <w:rFonts w:hint="eastAsia" w:ascii="宋体" w:hAnsi="宋体"/>
          <w:color w:val="auto"/>
          <w:sz w:val="28"/>
          <w:szCs w:val="28"/>
        </w:rPr>
        <w:t>日国家安全监管总局令第</w:t>
      </w:r>
      <w:r>
        <w:rPr>
          <w:rFonts w:ascii="宋体" w:hAnsi="宋体"/>
          <w:color w:val="auto"/>
          <w:sz w:val="28"/>
          <w:szCs w:val="28"/>
        </w:rPr>
        <w:t xml:space="preserve">80 </w:t>
      </w:r>
      <w:r>
        <w:rPr>
          <w:rFonts w:hint="eastAsia" w:ascii="宋体" w:hAnsi="宋体"/>
          <w:color w:val="auto"/>
          <w:sz w:val="28"/>
          <w:szCs w:val="28"/>
        </w:rPr>
        <w:t>号第二次修正）；</w:t>
      </w:r>
    </w:p>
    <w:p w14:paraId="62435BB2">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left="0" w:leftChars="0" w:firstLine="560" w:firstLineChars="200"/>
        <w:textAlignment w:val="auto"/>
        <w:rPr>
          <w:rFonts w:ascii="宋体" w:hAnsi="宋体"/>
          <w:color w:val="auto"/>
          <w:sz w:val="28"/>
          <w:szCs w:val="28"/>
        </w:rPr>
      </w:pPr>
      <w:r>
        <w:rPr>
          <w:rFonts w:ascii="宋体" w:hAnsi="宋体" w:cs="宋体"/>
          <w:color w:val="auto"/>
          <w:sz w:val="28"/>
          <w:szCs w:val="28"/>
        </w:rPr>
        <w:t>《安全生产培训管理办法》（2012年1月19日国家安全监管总局令第44号公布，2015年5月29日国家安全监管总局令第80号修订</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自</w:t>
      </w:r>
      <w:r>
        <w:rPr>
          <w:rFonts w:ascii="宋体" w:hAnsi="宋体" w:cs="宋体"/>
          <w:color w:val="auto"/>
          <w:sz w:val="28"/>
          <w:szCs w:val="28"/>
        </w:rPr>
        <w:t>2015年7月1日</w:t>
      </w:r>
      <w:r>
        <w:rPr>
          <w:rFonts w:hint="eastAsia" w:ascii="宋体" w:hAnsi="宋体" w:cs="宋体"/>
          <w:color w:val="auto"/>
          <w:sz w:val="28"/>
          <w:szCs w:val="28"/>
          <w:lang w:val="en-US" w:eastAsia="zh-CN"/>
        </w:rPr>
        <w:t>起施行</w:t>
      </w:r>
      <w:r>
        <w:rPr>
          <w:rFonts w:ascii="宋体" w:hAnsi="宋体" w:cs="宋体"/>
          <w:color w:val="auto"/>
          <w:sz w:val="28"/>
          <w:szCs w:val="28"/>
        </w:rPr>
        <w:t>）；</w:t>
      </w:r>
    </w:p>
    <w:p w14:paraId="2FA20BD4">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left="0" w:leftChars="0" w:firstLine="560" w:firstLineChars="200"/>
        <w:textAlignment w:val="auto"/>
        <w:rPr>
          <w:rFonts w:ascii="宋体" w:hAnsi="宋体"/>
          <w:color w:val="auto"/>
          <w:sz w:val="28"/>
          <w:szCs w:val="28"/>
        </w:rPr>
      </w:pPr>
      <w:r>
        <w:rPr>
          <w:rFonts w:hint="eastAsia" w:ascii="宋体" w:hAnsi="宋体"/>
          <w:color w:val="auto"/>
          <w:sz w:val="28"/>
          <w:szCs w:val="28"/>
        </w:rPr>
        <w:t>《国家安全监管总局关于废止和修改非煤矿矿山领域九部规章的决定》（</w:t>
      </w:r>
      <w:r>
        <w:rPr>
          <w:rFonts w:hint="eastAsia" w:ascii="宋体" w:hAnsi="宋体"/>
          <w:color w:val="auto"/>
          <w:sz w:val="28"/>
          <w:szCs w:val="28"/>
          <w:lang w:eastAsia="zh-CN"/>
        </w:rPr>
        <w:t>原国家安全生产监督管理总局</w:t>
      </w:r>
      <w:r>
        <w:rPr>
          <w:rFonts w:hint="eastAsia" w:ascii="宋体" w:hAnsi="宋体"/>
          <w:color w:val="auto"/>
          <w:sz w:val="28"/>
          <w:szCs w:val="28"/>
        </w:rPr>
        <w:t>令第78号，自2015年7月1日起施行）；</w:t>
      </w:r>
    </w:p>
    <w:p w14:paraId="0B2D69AA">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left="0" w:leftChars="0" w:firstLine="560" w:firstLineChars="200"/>
        <w:textAlignment w:val="auto"/>
        <w:rPr>
          <w:rFonts w:ascii="宋体" w:hAnsi="宋体"/>
          <w:color w:val="auto"/>
          <w:sz w:val="28"/>
          <w:szCs w:val="28"/>
        </w:rPr>
      </w:pPr>
      <w:r>
        <w:rPr>
          <w:rFonts w:hint="eastAsia" w:ascii="宋体" w:hAnsi="宋体"/>
          <w:color w:val="auto"/>
          <w:sz w:val="28"/>
          <w:szCs w:val="28"/>
        </w:rPr>
        <w:t>《国家安全监管总局关于废止和修改劳动防护用品和安全培训等领域十部规章的决定》（</w:t>
      </w:r>
      <w:r>
        <w:rPr>
          <w:rFonts w:hint="eastAsia" w:ascii="宋体" w:hAnsi="宋体"/>
          <w:color w:val="auto"/>
          <w:sz w:val="28"/>
          <w:szCs w:val="28"/>
          <w:lang w:eastAsia="zh-CN"/>
        </w:rPr>
        <w:t>原国家安全生产监督管理总局</w:t>
      </w:r>
      <w:r>
        <w:rPr>
          <w:rFonts w:hint="eastAsia" w:ascii="宋体" w:hAnsi="宋体"/>
          <w:color w:val="auto"/>
          <w:sz w:val="28"/>
          <w:szCs w:val="28"/>
        </w:rPr>
        <w:t>令第80号 ，自2015年7月1日起施行）；</w:t>
      </w:r>
    </w:p>
    <w:p w14:paraId="0B5EC76B">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left="0" w:leftChars="0" w:firstLine="560" w:firstLineChars="200"/>
        <w:textAlignment w:val="auto"/>
        <w:rPr>
          <w:rFonts w:ascii="宋体" w:hAnsi="宋体"/>
          <w:color w:val="auto"/>
          <w:sz w:val="28"/>
          <w:szCs w:val="28"/>
        </w:rPr>
      </w:pPr>
      <w:r>
        <w:rPr>
          <w:rFonts w:hint="eastAsia" w:ascii="宋体" w:hAnsi="宋体"/>
          <w:color w:val="auto"/>
          <w:sz w:val="28"/>
          <w:szCs w:val="28"/>
        </w:rPr>
        <w:t>《非煤矿山外包工程安全管理暂行办法》（</w:t>
      </w:r>
      <w:r>
        <w:rPr>
          <w:rFonts w:hint="eastAsia" w:ascii="宋体" w:hAnsi="宋体"/>
          <w:color w:val="auto"/>
          <w:sz w:val="28"/>
          <w:szCs w:val="28"/>
          <w:lang w:eastAsia="zh-CN"/>
        </w:rPr>
        <w:t>原国家安全生产监督管理总局</w:t>
      </w:r>
      <w:r>
        <w:rPr>
          <w:rFonts w:hint="eastAsia" w:ascii="宋体" w:hAnsi="宋体"/>
          <w:color w:val="auto"/>
          <w:sz w:val="28"/>
          <w:szCs w:val="28"/>
        </w:rPr>
        <w:t>令第62号，第78号修改，2015年7月1日施行）；</w:t>
      </w:r>
    </w:p>
    <w:p w14:paraId="154719FF">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cs="宋体"/>
          <w:color w:val="auto"/>
          <w:sz w:val="28"/>
          <w:szCs w:val="28"/>
        </w:rPr>
      </w:pPr>
      <w:r>
        <w:rPr>
          <w:rFonts w:hint="eastAsia" w:ascii="宋体" w:hAnsi="宋体" w:cs="宋体"/>
          <w:color w:val="auto"/>
          <w:sz w:val="28"/>
          <w:szCs w:val="28"/>
        </w:rPr>
        <w:t>《国家安全监管总局关于印发金属非金属矿山建设项目安全评价报告编写提纲的通知》（安监总管一〔2016〕49号）</w:t>
      </w:r>
      <w:r>
        <w:rPr>
          <w:rFonts w:hint="eastAsia" w:ascii="宋体" w:hAnsi="宋体" w:cs="宋体"/>
          <w:color w:val="auto"/>
          <w:sz w:val="28"/>
          <w:szCs w:val="28"/>
          <w:lang w:eastAsia="zh-CN"/>
        </w:rPr>
        <w:t>；</w:t>
      </w:r>
    </w:p>
    <w:p w14:paraId="2F82E585">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color w:val="auto"/>
          <w:sz w:val="28"/>
          <w:szCs w:val="28"/>
        </w:rPr>
      </w:pPr>
      <w:r>
        <w:rPr>
          <w:rFonts w:hint="eastAsia" w:ascii="宋体" w:hAnsi="宋体"/>
          <w:color w:val="auto"/>
          <w:sz w:val="28"/>
          <w:szCs w:val="28"/>
        </w:rPr>
        <w:t>《生产安全事故应急预案管理办法》（国家应急管理局令第88号，应急管理部令第2号修改，自2019年9月1日起施行）</w:t>
      </w:r>
      <w:r>
        <w:rPr>
          <w:rFonts w:hint="eastAsia" w:ascii="宋体" w:hAnsi="宋体"/>
          <w:color w:val="auto"/>
          <w:sz w:val="28"/>
          <w:szCs w:val="28"/>
          <w:lang w:eastAsia="zh-CN"/>
        </w:rPr>
        <w:t>；</w:t>
      </w:r>
    </w:p>
    <w:p w14:paraId="4D2A9AED">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《国家矿山安全监察局关于印发〈关于加强非煤矿山安全生产工作的指导意见〉的通知》（矿安〔2022〕4号，2022年2月8日）</w:t>
      </w:r>
      <w:r>
        <w:rPr>
          <w:rFonts w:hint="eastAsia" w:ascii="宋体" w:hAnsi="宋体" w:eastAsia="宋体" w:cs="Times New Roman"/>
          <w:color w:val="auto"/>
          <w:sz w:val="28"/>
          <w:szCs w:val="28"/>
          <w:lang w:eastAsia="zh-CN"/>
        </w:rPr>
        <w:t>；</w:t>
      </w:r>
    </w:p>
    <w:p w14:paraId="310B10DF">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lang w:val="en-GB"/>
        </w:rPr>
        <w:t>《</w:t>
      </w:r>
      <w:r>
        <w:rPr>
          <w:rFonts w:hint="eastAsia" w:ascii="宋体" w:hAnsi="宋体" w:eastAsia="宋体" w:cs="Times New Roman"/>
          <w:color w:val="auto"/>
          <w:sz w:val="28"/>
          <w:szCs w:val="28"/>
          <w:lang w:val="en-GB" w:eastAsia="zh-CN"/>
        </w:rPr>
        <w:t>企业安全生产费用提取和使用管理办法</w:t>
      </w:r>
      <w:r>
        <w:rPr>
          <w:rFonts w:hint="eastAsia" w:ascii="宋体" w:hAnsi="宋体" w:eastAsia="宋体" w:cs="Times New Roman"/>
          <w:color w:val="auto"/>
          <w:sz w:val="28"/>
          <w:szCs w:val="28"/>
          <w:lang w:val="en-GB"/>
        </w:rPr>
        <w:t>》，</w:t>
      </w:r>
      <w:r>
        <w:rPr>
          <w:rFonts w:hint="eastAsia" w:ascii="宋体" w:hAnsi="宋体" w:cs="Times New Roman"/>
          <w:color w:val="auto"/>
          <w:sz w:val="28"/>
          <w:szCs w:val="28"/>
          <w:lang w:val="en-GB" w:eastAsia="zh-CN"/>
        </w:rPr>
        <w:t>（</w:t>
      </w:r>
      <w:r>
        <w:rPr>
          <w:rFonts w:hint="eastAsia" w:ascii="宋体" w:hAnsi="宋体" w:eastAsia="宋体" w:cs="Times New Roman"/>
          <w:color w:val="auto"/>
          <w:sz w:val="28"/>
          <w:szCs w:val="28"/>
          <w:lang w:val="en-GB" w:eastAsia="zh-CN"/>
        </w:rPr>
        <w:t>财资〔2022〕136号</w:t>
      </w:r>
      <w:r>
        <w:rPr>
          <w:rFonts w:hint="eastAsia" w:ascii="宋体" w:hAnsi="宋体" w:cs="Times New Roman"/>
          <w:color w:val="auto"/>
          <w:sz w:val="28"/>
          <w:szCs w:val="28"/>
          <w:lang w:val="en-GB" w:eastAsia="zh-CN"/>
        </w:rPr>
        <w:t>，</w:t>
      </w:r>
      <w:r>
        <w:rPr>
          <w:rFonts w:hint="eastAsia" w:ascii="宋体" w:hAnsi="宋体" w:eastAsia="宋体" w:cs="Times New Roman"/>
          <w:color w:val="auto"/>
          <w:sz w:val="28"/>
          <w:szCs w:val="28"/>
          <w:lang w:val="en-GB"/>
        </w:rPr>
        <w:t>20</w:t>
      </w:r>
      <w:r>
        <w:rPr>
          <w:rFonts w:hint="eastAsia" w:ascii="宋体" w:hAnsi="宋体" w:eastAsia="宋体" w:cs="Times New Roman"/>
          <w:color w:val="auto"/>
          <w:sz w:val="28"/>
          <w:szCs w:val="28"/>
          <w:lang w:val="en-US" w:eastAsia="zh-CN"/>
        </w:rPr>
        <w:t>2</w:t>
      </w:r>
      <w:r>
        <w:rPr>
          <w:rFonts w:hint="eastAsia" w:ascii="宋体" w:hAnsi="宋体" w:eastAsia="宋体" w:cs="Times New Roman"/>
          <w:color w:val="auto"/>
          <w:sz w:val="28"/>
          <w:szCs w:val="28"/>
          <w:lang w:val="en-GB"/>
        </w:rPr>
        <w:t>2年</w:t>
      </w:r>
      <w:r>
        <w:rPr>
          <w:rFonts w:hint="eastAsia" w:ascii="宋体" w:hAnsi="宋体" w:eastAsia="宋体" w:cs="Times New Roman"/>
          <w:color w:val="auto"/>
          <w:sz w:val="28"/>
          <w:szCs w:val="28"/>
          <w:lang w:val="en-US" w:eastAsia="zh-CN"/>
        </w:rPr>
        <w:t>11</w:t>
      </w:r>
      <w:r>
        <w:rPr>
          <w:rFonts w:hint="eastAsia" w:ascii="宋体" w:hAnsi="宋体" w:eastAsia="宋体" w:cs="Times New Roman"/>
          <w:color w:val="auto"/>
          <w:sz w:val="28"/>
          <w:szCs w:val="28"/>
          <w:lang w:val="en-GB"/>
        </w:rPr>
        <w:t>月</w:t>
      </w:r>
      <w:r>
        <w:rPr>
          <w:rFonts w:hint="eastAsia" w:ascii="宋体" w:hAnsi="宋体" w:eastAsia="宋体" w:cs="Times New Roman"/>
          <w:color w:val="auto"/>
          <w:sz w:val="28"/>
          <w:szCs w:val="28"/>
          <w:lang w:val="en-US" w:eastAsia="zh-CN"/>
        </w:rPr>
        <w:t>21</w:t>
      </w:r>
      <w:r>
        <w:rPr>
          <w:rFonts w:hint="eastAsia" w:ascii="宋体" w:hAnsi="宋体" w:eastAsia="宋体" w:cs="Times New Roman"/>
          <w:color w:val="auto"/>
          <w:sz w:val="28"/>
          <w:szCs w:val="28"/>
          <w:lang w:val="en-GB"/>
        </w:rPr>
        <w:t>日起施行</w:t>
      </w:r>
      <w:r>
        <w:rPr>
          <w:rFonts w:hint="eastAsia" w:ascii="宋体" w:hAnsi="宋体" w:cs="Times New Roman"/>
          <w:color w:val="auto"/>
          <w:sz w:val="28"/>
          <w:szCs w:val="28"/>
          <w:lang w:val="en-GB" w:eastAsia="zh-CN"/>
        </w:rPr>
        <w:t>）</w:t>
      </w:r>
      <w:r>
        <w:rPr>
          <w:rFonts w:hint="eastAsia" w:ascii="宋体" w:hAnsi="宋体" w:eastAsia="宋体" w:cs="Times New Roman"/>
          <w:color w:val="auto"/>
          <w:sz w:val="28"/>
          <w:szCs w:val="28"/>
          <w:lang w:eastAsia="zh-CN"/>
        </w:rPr>
        <w:t>。</w:t>
      </w:r>
    </w:p>
    <w:bookmarkEnd w:id="38"/>
    <w:bookmarkEnd w:id="39"/>
    <w:bookmarkEnd w:id="40"/>
    <w:bookmarkEnd w:id="41"/>
    <w:p w14:paraId="2B61FECB">
      <w:pPr>
        <w:pStyle w:val="4"/>
        <w:bidi w:val="0"/>
        <w:rPr>
          <w:rFonts w:hint="eastAsia"/>
        </w:rPr>
      </w:pPr>
      <w:bookmarkStart w:id="42" w:name="_Toc29323"/>
      <w:bookmarkStart w:id="43" w:name="_Toc14725"/>
      <w:bookmarkStart w:id="44" w:name="_Toc11863"/>
      <w:bookmarkStart w:id="45" w:name="_Toc14086"/>
      <w:r>
        <w:rPr>
          <w:rFonts w:hint="eastAsia"/>
        </w:rPr>
        <w:t>地方性法规及规范性文件</w:t>
      </w:r>
      <w:bookmarkEnd w:id="42"/>
      <w:bookmarkEnd w:id="43"/>
      <w:bookmarkEnd w:id="44"/>
      <w:bookmarkEnd w:id="45"/>
    </w:p>
    <w:p w14:paraId="721BB399">
      <w:pPr>
        <w:keepNext w:val="0"/>
        <w:keepLines w:val="0"/>
        <w:pageBreakBefore w:val="0"/>
        <w:widowControl w:val="0"/>
        <w:numPr>
          <w:ilvl w:val="0"/>
          <w:numId w:val="8"/>
        </w:numPr>
        <w:kinsoku/>
        <w:wordWrap/>
        <w:overflowPunct/>
        <w:topLinePunct w:val="0"/>
        <w:autoSpaceDE/>
        <w:autoSpaceDN/>
        <w:bidi w:val="0"/>
        <w:adjustRightInd/>
        <w:snapToGrid/>
        <w:ind w:left="0" w:leftChars="0" w:firstLine="560" w:firstLineChars="200"/>
        <w:textAlignment w:val="auto"/>
      </w:pPr>
      <w:bookmarkStart w:id="46" w:name="_Toc441841705"/>
      <w:bookmarkStart w:id="47" w:name="_Toc424205810"/>
      <w:bookmarkStart w:id="48" w:name="_Toc419278704"/>
      <w:bookmarkStart w:id="49" w:name="_Toc17785"/>
      <w:r>
        <w:rPr>
          <w:rFonts w:hint="eastAsia"/>
        </w:rPr>
        <w:t>云南省人民政府《关于促进非煤矿山转型升级的实施意见》（云政发〔2015〕38号）</w:t>
      </w:r>
      <w:r>
        <w:rPr>
          <w:rFonts w:hint="eastAsia"/>
          <w:lang w:eastAsia="zh-CN"/>
        </w:rPr>
        <w:t>；</w:t>
      </w:r>
    </w:p>
    <w:p w14:paraId="4BE496B2">
      <w:pPr>
        <w:keepNext w:val="0"/>
        <w:keepLines w:val="0"/>
        <w:pageBreakBefore w:val="0"/>
        <w:widowControl w:val="0"/>
        <w:numPr>
          <w:ilvl w:val="0"/>
          <w:numId w:val="8"/>
        </w:numPr>
        <w:kinsoku/>
        <w:wordWrap/>
        <w:overflowPunct/>
        <w:topLinePunct w:val="0"/>
        <w:autoSpaceDE/>
        <w:autoSpaceDN/>
        <w:bidi w:val="0"/>
        <w:adjustRightInd/>
        <w:snapToGrid/>
        <w:ind w:left="0" w:leftChars="0" w:firstLine="560" w:firstLineChars="200"/>
        <w:textAlignment w:val="auto"/>
        <w:rPr>
          <w:rFonts w:hint="eastAsia"/>
        </w:rPr>
      </w:pPr>
      <w:r>
        <w:rPr>
          <w:rFonts w:hint="eastAsia"/>
        </w:rPr>
        <w:t>《云南省安全生产条例》（2017年11月30日云南省第十二届人民代表大会常务委员会第三十八次会议通过</w:t>
      </w:r>
      <w:r>
        <w:rPr>
          <w:rFonts w:hint="eastAsia"/>
          <w:lang w:eastAsia="zh-CN"/>
        </w:rPr>
        <w:t>，</w:t>
      </w:r>
      <w:r>
        <w:rPr>
          <w:rFonts w:hint="eastAsia"/>
          <w:lang w:val="en-US" w:eastAsia="zh-CN"/>
        </w:rPr>
        <w:t>自</w:t>
      </w:r>
      <w:r>
        <w:rPr>
          <w:rFonts w:hint="eastAsia"/>
        </w:rPr>
        <w:t>2018年1月1日起施行）；</w:t>
      </w:r>
    </w:p>
    <w:p w14:paraId="560D0979">
      <w:pPr>
        <w:keepNext w:val="0"/>
        <w:keepLines w:val="0"/>
        <w:pageBreakBefore w:val="0"/>
        <w:widowControl w:val="0"/>
        <w:numPr>
          <w:ilvl w:val="0"/>
          <w:numId w:val="8"/>
        </w:numPr>
        <w:kinsoku/>
        <w:wordWrap/>
        <w:overflowPunct/>
        <w:topLinePunct w:val="0"/>
        <w:autoSpaceDE/>
        <w:autoSpaceDN/>
        <w:bidi w:val="0"/>
        <w:adjustRightInd/>
        <w:snapToGrid/>
        <w:ind w:left="0" w:leftChars="0" w:firstLine="560" w:firstLineChars="200"/>
        <w:textAlignment w:val="auto"/>
        <w:rPr>
          <w:rFonts w:hint="eastAsia"/>
        </w:rPr>
      </w:pPr>
      <w:r>
        <w:rPr>
          <w:rFonts w:hint="eastAsia"/>
        </w:rPr>
        <w:t>《云南省安全生产专项整治三年行动计划》的通知（云安〔2020〕4号）</w:t>
      </w:r>
      <w:r>
        <w:rPr>
          <w:rFonts w:hint="eastAsia"/>
          <w:lang w:eastAsia="zh-CN"/>
        </w:rPr>
        <w:t>；</w:t>
      </w:r>
    </w:p>
    <w:p w14:paraId="1E0C3DB6">
      <w:pPr>
        <w:keepNext w:val="0"/>
        <w:keepLines w:val="0"/>
        <w:pageBreakBefore w:val="0"/>
        <w:widowControl w:val="0"/>
        <w:numPr>
          <w:ilvl w:val="0"/>
          <w:numId w:val="8"/>
        </w:numPr>
        <w:kinsoku/>
        <w:wordWrap/>
        <w:overflowPunct/>
        <w:topLinePunct w:val="0"/>
        <w:autoSpaceDE/>
        <w:autoSpaceDN/>
        <w:bidi w:val="0"/>
        <w:adjustRightInd/>
        <w:snapToGrid/>
        <w:ind w:left="0" w:leftChars="0" w:firstLine="560" w:firstLineChars="200"/>
        <w:textAlignment w:val="auto"/>
        <w:rPr>
          <w:rFonts w:hint="eastAsia"/>
        </w:rPr>
      </w:pPr>
      <w:r>
        <w:rPr>
          <w:rFonts w:hint="eastAsia"/>
        </w:rPr>
        <w:t>《云南省人民政府关于印发云南省生产经营单位安全生产主体责任规定的通知》（云政规〔2022〕4号）。</w:t>
      </w:r>
    </w:p>
    <w:p w14:paraId="455AB372">
      <w:pPr>
        <w:pStyle w:val="4"/>
        <w:bidi w:val="0"/>
        <w:rPr>
          <w:rFonts w:hint="eastAsia"/>
        </w:rPr>
      </w:pPr>
      <w:bookmarkStart w:id="50" w:name="_Toc9634"/>
      <w:bookmarkStart w:id="51" w:name="_Toc23223"/>
      <w:bookmarkStart w:id="52" w:name="_Toc32375"/>
      <w:r>
        <w:rPr>
          <w:rFonts w:hint="eastAsia"/>
        </w:rPr>
        <w:t>标准</w:t>
      </w:r>
      <w:bookmarkEnd w:id="46"/>
      <w:bookmarkEnd w:id="47"/>
      <w:bookmarkEnd w:id="48"/>
      <w:r>
        <w:rPr>
          <w:rFonts w:hint="eastAsia"/>
        </w:rPr>
        <w:t>规范</w:t>
      </w:r>
      <w:bookmarkEnd w:id="49"/>
      <w:bookmarkEnd w:id="50"/>
      <w:bookmarkEnd w:id="51"/>
      <w:bookmarkEnd w:id="52"/>
    </w:p>
    <w:p w14:paraId="3C7C2C7F">
      <w:pPr>
        <w:keepNext w:val="0"/>
        <w:keepLines w:val="0"/>
        <w:pageBreakBefore w:val="0"/>
        <w:widowControl w:val="0"/>
        <w:numPr>
          <w:ilvl w:val="0"/>
          <w:numId w:val="9"/>
        </w:numPr>
        <w:kinsoku/>
        <w:wordWrap/>
        <w:overflowPunct/>
        <w:topLinePunct w:val="0"/>
        <w:autoSpaceDE/>
        <w:autoSpaceDN/>
        <w:bidi w:val="0"/>
        <w:adjustRightInd/>
        <w:snapToGrid/>
        <w:ind w:left="0" w:leftChars="0" w:firstLine="560" w:firstLineChars="200"/>
        <w:textAlignment w:val="auto"/>
      </w:pPr>
      <w:r>
        <w:t>《</w:t>
      </w:r>
      <w:r>
        <w:rPr>
          <w:rFonts w:hint="eastAsia"/>
        </w:rPr>
        <w:t>企业职工伤亡事故分类</w:t>
      </w:r>
      <w:r>
        <w:t>》(</w:t>
      </w:r>
      <w:r>
        <w:rPr>
          <w:rFonts w:hint="eastAsia"/>
          <w:lang w:eastAsia="zh-CN"/>
        </w:rPr>
        <w:t>GB 6441-1986</w:t>
      </w:r>
      <w:r>
        <w:t>)；</w:t>
      </w:r>
    </w:p>
    <w:p w14:paraId="47926C8E">
      <w:pPr>
        <w:keepNext w:val="0"/>
        <w:keepLines w:val="0"/>
        <w:pageBreakBefore w:val="0"/>
        <w:widowControl w:val="0"/>
        <w:numPr>
          <w:ilvl w:val="0"/>
          <w:numId w:val="9"/>
        </w:numPr>
        <w:kinsoku/>
        <w:wordWrap/>
        <w:overflowPunct/>
        <w:topLinePunct w:val="0"/>
        <w:autoSpaceDE/>
        <w:autoSpaceDN/>
        <w:bidi w:val="0"/>
        <w:adjustRightInd/>
        <w:snapToGrid/>
        <w:ind w:left="0" w:leftChars="0" w:firstLine="560" w:firstLineChars="200"/>
        <w:textAlignment w:val="auto"/>
      </w:pPr>
      <w:r>
        <w:t>《厂矿道路设计规范》（GBJ</w:t>
      </w:r>
      <w:r>
        <w:rPr>
          <w:rFonts w:hint="eastAsia"/>
          <w:lang w:val="en-US" w:eastAsia="zh-CN"/>
        </w:rPr>
        <w:t xml:space="preserve"> </w:t>
      </w:r>
      <w:r>
        <w:t>22</w:t>
      </w:r>
      <w:r>
        <w:rPr>
          <w:rFonts w:hint="eastAsia"/>
          <w:lang w:val="en-US" w:eastAsia="zh-CN"/>
        </w:rPr>
        <w:t>-</w:t>
      </w:r>
      <w:r>
        <w:t>1987）</w:t>
      </w:r>
      <w:r>
        <w:rPr>
          <w:rFonts w:hint="eastAsia"/>
          <w:lang w:eastAsia="zh-CN"/>
        </w:rPr>
        <w:t>；</w:t>
      </w:r>
    </w:p>
    <w:p w14:paraId="77CD224B">
      <w:pPr>
        <w:keepNext w:val="0"/>
        <w:keepLines w:val="0"/>
        <w:pageBreakBefore w:val="0"/>
        <w:widowControl w:val="0"/>
        <w:numPr>
          <w:ilvl w:val="0"/>
          <w:numId w:val="9"/>
        </w:numPr>
        <w:kinsoku/>
        <w:wordWrap/>
        <w:overflowPunct/>
        <w:topLinePunct w:val="0"/>
        <w:autoSpaceDE/>
        <w:autoSpaceDN/>
        <w:bidi w:val="0"/>
        <w:adjustRightInd/>
        <w:snapToGrid/>
        <w:ind w:left="0" w:leftChars="0" w:firstLine="560" w:firstLineChars="200"/>
        <w:textAlignment w:val="auto"/>
      </w:pPr>
      <w:r>
        <w:t>《建筑灭火器配置设计规范》（GB</w:t>
      </w:r>
      <w:r>
        <w:rPr>
          <w:rFonts w:hint="eastAsia"/>
          <w:lang w:val="en-US" w:eastAsia="zh-CN"/>
        </w:rPr>
        <w:t xml:space="preserve"> </w:t>
      </w:r>
      <w:r>
        <w:t>50140-2005）；</w:t>
      </w:r>
    </w:p>
    <w:p w14:paraId="318A5824">
      <w:pPr>
        <w:keepNext w:val="0"/>
        <w:keepLines w:val="0"/>
        <w:pageBreakBefore w:val="0"/>
        <w:widowControl w:val="0"/>
        <w:numPr>
          <w:ilvl w:val="0"/>
          <w:numId w:val="9"/>
        </w:numPr>
        <w:kinsoku/>
        <w:wordWrap/>
        <w:overflowPunct/>
        <w:topLinePunct w:val="0"/>
        <w:autoSpaceDE/>
        <w:autoSpaceDN/>
        <w:bidi w:val="0"/>
        <w:adjustRightInd/>
        <w:snapToGrid/>
        <w:ind w:left="0" w:leftChars="0" w:firstLine="560" w:firstLineChars="200"/>
        <w:textAlignment w:val="auto"/>
      </w:pPr>
      <w:r>
        <w:t>《安全标志及其使用导则》（GB</w:t>
      </w:r>
      <w:r>
        <w:rPr>
          <w:rFonts w:hint="eastAsia"/>
          <w:lang w:val="en-US" w:eastAsia="zh-CN"/>
        </w:rPr>
        <w:t xml:space="preserve"> </w:t>
      </w:r>
      <w:r>
        <w:t>2894-2008）；</w:t>
      </w:r>
    </w:p>
    <w:p w14:paraId="7D506ADB">
      <w:pPr>
        <w:keepNext w:val="0"/>
        <w:keepLines w:val="0"/>
        <w:pageBreakBefore w:val="0"/>
        <w:widowControl w:val="0"/>
        <w:numPr>
          <w:ilvl w:val="0"/>
          <w:numId w:val="9"/>
        </w:numPr>
        <w:kinsoku/>
        <w:wordWrap/>
        <w:overflowPunct/>
        <w:topLinePunct w:val="0"/>
        <w:autoSpaceDE/>
        <w:autoSpaceDN/>
        <w:bidi w:val="0"/>
        <w:adjustRightInd/>
        <w:snapToGrid/>
        <w:ind w:left="0" w:leftChars="0" w:firstLine="560" w:firstLineChars="200"/>
        <w:textAlignment w:val="auto"/>
      </w:pPr>
      <w:r>
        <w:t>《建筑物防雷设计规范》（GB</w:t>
      </w:r>
      <w:r>
        <w:rPr>
          <w:rFonts w:hint="eastAsia"/>
          <w:lang w:val="en-US" w:eastAsia="zh-CN"/>
        </w:rPr>
        <w:t xml:space="preserve"> </w:t>
      </w:r>
      <w:r>
        <w:t>50057-2010）；</w:t>
      </w:r>
    </w:p>
    <w:p w14:paraId="4891A364">
      <w:pPr>
        <w:keepNext w:val="0"/>
        <w:keepLines w:val="0"/>
        <w:pageBreakBefore w:val="0"/>
        <w:widowControl w:val="0"/>
        <w:numPr>
          <w:ilvl w:val="0"/>
          <w:numId w:val="9"/>
        </w:numPr>
        <w:kinsoku/>
        <w:wordWrap/>
        <w:overflowPunct/>
        <w:topLinePunct w:val="0"/>
        <w:autoSpaceDE/>
        <w:autoSpaceDN/>
        <w:bidi w:val="0"/>
        <w:adjustRightInd/>
        <w:snapToGrid/>
        <w:ind w:left="0" w:leftChars="0" w:firstLine="560" w:firstLineChars="200"/>
        <w:textAlignment w:val="auto"/>
      </w:pPr>
      <w:r>
        <w:t>《</w:t>
      </w:r>
      <w:r>
        <w:rPr>
          <w:rFonts w:hint="eastAsia"/>
        </w:rPr>
        <w:t>工业企业总平面设计规范</w:t>
      </w:r>
      <w:r>
        <w:t>》（GB</w:t>
      </w:r>
      <w:r>
        <w:rPr>
          <w:rFonts w:hint="eastAsia"/>
          <w:lang w:val="en-US" w:eastAsia="zh-CN"/>
        </w:rPr>
        <w:t xml:space="preserve"> </w:t>
      </w:r>
      <w:r>
        <w:t>50187-2012）；</w:t>
      </w:r>
    </w:p>
    <w:p w14:paraId="3FF34B37">
      <w:pPr>
        <w:keepNext w:val="0"/>
        <w:keepLines w:val="0"/>
        <w:pageBreakBefore w:val="0"/>
        <w:widowControl w:val="0"/>
        <w:numPr>
          <w:ilvl w:val="0"/>
          <w:numId w:val="9"/>
        </w:numPr>
        <w:kinsoku/>
        <w:wordWrap/>
        <w:overflowPunct/>
        <w:topLinePunct w:val="0"/>
        <w:autoSpaceDE/>
        <w:autoSpaceDN/>
        <w:bidi w:val="0"/>
        <w:adjustRightInd/>
        <w:snapToGrid/>
        <w:ind w:left="0" w:leftChars="0" w:firstLine="560" w:firstLineChars="200"/>
        <w:textAlignment w:val="auto"/>
      </w:pPr>
      <w:r>
        <w:t>《</w:t>
      </w:r>
      <w:r>
        <w:rPr>
          <w:rFonts w:hint="eastAsia"/>
          <w:lang w:eastAsia="zh-CN"/>
        </w:rPr>
        <w:t>建筑抗震设计</w:t>
      </w:r>
      <w:r>
        <w:rPr>
          <w:rFonts w:hint="eastAsia"/>
          <w:lang w:val="en-US" w:eastAsia="zh-CN"/>
        </w:rPr>
        <w:t>标准</w:t>
      </w:r>
      <w:r>
        <w:t>》(</w:t>
      </w:r>
      <w:r>
        <w:rPr>
          <w:rFonts w:hint="eastAsia"/>
          <w:lang w:eastAsia="zh-CN"/>
        </w:rPr>
        <w:t>GB 50011-2010[20</w:t>
      </w:r>
      <w:r>
        <w:rPr>
          <w:rFonts w:hint="eastAsia"/>
          <w:lang w:val="en-US" w:eastAsia="zh-CN"/>
        </w:rPr>
        <w:t>24</w:t>
      </w:r>
      <w:r>
        <w:rPr>
          <w:rFonts w:hint="eastAsia"/>
          <w:lang w:eastAsia="zh-CN"/>
        </w:rPr>
        <w:t>年版]</w:t>
      </w:r>
      <w:r>
        <w:t>)；</w:t>
      </w:r>
    </w:p>
    <w:p w14:paraId="1EE71D4E">
      <w:pPr>
        <w:keepNext w:val="0"/>
        <w:keepLines w:val="0"/>
        <w:pageBreakBefore w:val="0"/>
        <w:widowControl w:val="0"/>
        <w:numPr>
          <w:ilvl w:val="0"/>
          <w:numId w:val="9"/>
        </w:numPr>
        <w:kinsoku/>
        <w:wordWrap/>
        <w:overflowPunct/>
        <w:topLinePunct w:val="0"/>
        <w:autoSpaceDE/>
        <w:autoSpaceDN/>
        <w:bidi w:val="0"/>
        <w:adjustRightInd/>
        <w:snapToGrid/>
        <w:ind w:left="0" w:leftChars="0" w:firstLine="560" w:firstLineChars="200"/>
        <w:textAlignment w:val="auto"/>
      </w:pPr>
      <w:r>
        <w:rPr>
          <w:rFonts w:hint="eastAsia"/>
          <w:lang w:eastAsia="zh-CN"/>
        </w:rPr>
        <w:t>《爆破安全规程》（GB</w:t>
      </w:r>
      <w:r>
        <w:rPr>
          <w:rFonts w:hint="eastAsia"/>
          <w:lang w:val="en-US" w:eastAsia="zh-CN"/>
        </w:rPr>
        <w:t xml:space="preserve"> </w:t>
      </w:r>
      <w:r>
        <w:rPr>
          <w:rFonts w:hint="eastAsia"/>
          <w:lang w:eastAsia="zh-CN"/>
        </w:rPr>
        <w:t>6722-2014/XG1-2017）；</w:t>
      </w:r>
    </w:p>
    <w:p w14:paraId="1CB26E4D">
      <w:pPr>
        <w:keepNext w:val="0"/>
        <w:keepLines w:val="0"/>
        <w:pageBreakBefore w:val="0"/>
        <w:widowControl w:val="0"/>
        <w:numPr>
          <w:ilvl w:val="0"/>
          <w:numId w:val="9"/>
        </w:numPr>
        <w:kinsoku/>
        <w:wordWrap/>
        <w:overflowPunct/>
        <w:topLinePunct w:val="0"/>
        <w:autoSpaceDE/>
        <w:autoSpaceDN/>
        <w:bidi w:val="0"/>
        <w:adjustRightInd/>
        <w:snapToGrid/>
        <w:ind w:left="0" w:leftChars="0" w:firstLine="560" w:firstLineChars="200"/>
        <w:textAlignment w:val="auto"/>
      </w:pPr>
      <w:r>
        <w:t>《</w:t>
      </w:r>
      <w:r>
        <w:rPr>
          <w:rFonts w:hint="eastAsia"/>
          <w:lang w:eastAsia="zh-CN"/>
        </w:rPr>
        <w:t>建筑设计防火规范</w:t>
      </w:r>
      <w:r>
        <w:t>》（</w:t>
      </w:r>
      <w:r>
        <w:rPr>
          <w:rFonts w:hint="eastAsia"/>
          <w:lang w:eastAsia="zh-CN"/>
        </w:rPr>
        <w:t>GB 50016-2014[2018年版]</w:t>
      </w:r>
      <w:r>
        <w:t>）；</w:t>
      </w:r>
    </w:p>
    <w:p w14:paraId="6E11EB58">
      <w:pPr>
        <w:keepNext w:val="0"/>
        <w:keepLines w:val="0"/>
        <w:pageBreakBefore w:val="0"/>
        <w:widowControl w:val="0"/>
        <w:numPr>
          <w:ilvl w:val="0"/>
          <w:numId w:val="9"/>
        </w:numPr>
        <w:kinsoku/>
        <w:wordWrap/>
        <w:overflowPunct/>
        <w:topLinePunct w:val="0"/>
        <w:autoSpaceDE/>
        <w:autoSpaceDN/>
        <w:bidi w:val="0"/>
        <w:adjustRightInd/>
        <w:snapToGrid/>
        <w:ind w:left="0" w:leftChars="0" w:firstLine="560" w:firstLineChars="200"/>
        <w:textAlignment w:val="auto"/>
      </w:pPr>
      <w:r>
        <w:t>《危险化学品重大危险源辨识》 (GB</w:t>
      </w:r>
      <w:r>
        <w:rPr>
          <w:rFonts w:hint="eastAsia"/>
          <w:lang w:val="en-US" w:eastAsia="zh-CN"/>
        </w:rPr>
        <w:t xml:space="preserve"> </w:t>
      </w:r>
      <w:r>
        <w:t>18218-20</w:t>
      </w:r>
      <w:r>
        <w:rPr>
          <w:rFonts w:hint="eastAsia"/>
        </w:rPr>
        <w:t>18</w:t>
      </w:r>
      <w:r>
        <w:t>) ；</w:t>
      </w:r>
    </w:p>
    <w:p w14:paraId="185F1DAD">
      <w:pPr>
        <w:keepNext w:val="0"/>
        <w:keepLines w:val="0"/>
        <w:pageBreakBefore w:val="0"/>
        <w:widowControl w:val="0"/>
        <w:numPr>
          <w:ilvl w:val="0"/>
          <w:numId w:val="9"/>
        </w:numPr>
        <w:kinsoku/>
        <w:wordWrap/>
        <w:overflowPunct/>
        <w:topLinePunct w:val="0"/>
        <w:autoSpaceDE/>
        <w:autoSpaceDN/>
        <w:bidi w:val="0"/>
        <w:adjustRightInd/>
        <w:snapToGrid/>
        <w:ind w:left="0" w:leftChars="0" w:firstLine="560" w:firstLineChars="200"/>
        <w:textAlignment w:val="auto"/>
      </w:pPr>
      <w:r>
        <w:t>《金属非金属矿山安全规程》（GB</w:t>
      </w:r>
      <w:r>
        <w:rPr>
          <w:rFonts w:hint="eastAsia"/>
          <w:lang w:val="en-US" w:eastAsia="zh-CN"/>
        </w:rPr>
        <w:t xml:space="preserve"> </w:t>
      </w:r>
      <w:r>
        <w:t>16423-20</w:t>
      </w:r>
      <w:r>
        <w:rPr>
          <w:rFonts w:hint="eastAsia"/>
        </w:rPr>
        <w:t>20</w:t>
      </w:r>
      <w:r>
        <w:t>）；</w:t>
      </w:r>
    </w:p>
    <w:p w14:paraId="07FB3379">
      <w:pPr>
        <w:keepNext w:val="0"/>
        <w:keepLines w:val="0"/>
        <w:pageBreakBefore w:val="0"/>
        <w:widowControl w:val="0"/>
        <w:numPr>
          <w:ilvl w:val="0"/>
          <w:numId w:val="9"/>
        </w:numPr>
        <w:kinsoku/>
        <w:wordWrap/>
        <w:overflowPunct/>
        <w:topLinePunct w:val="0"/>
        <w:autoSpaceDE/>
        <w:autoSpaceDN/>
        <w:bidi w:val="0"/>
        <w:adjustRightInd/>
        <w:snapToGrid/>
        <w:ind w:left="0" w:leftChars="0" w:firstLine="560" w:firstLineChars="200"/>
        <w:textAlignment w:val="auto"/>
      </w:pPr>
      <w:r>
        <w:t>《</w:t>
      </w:r>
      <w:r>
        <w:rPr>
          <w:rFonts w:hint="eastAsia"/>
        </w:rPr>
        <w:t>个体防护装备配备规范 第1部分：总则</w:t>
      </w:r>
      <w:r>
        <w:t>》（</w:t>
      </w:r>
      <w:r>
        <w:rPr>
          <w:rFonts w:hint="eastAsia"/>
        </w:rPr>
        <w:t>GB 39800.1-2020</w:t>
      </w:r>
      <w:r>
        <w:t>）；</w:t>
      </w:r>
    </w:p>
    <w:p w14:paraId="51ACABF4">
      <w:pPr>
        <w:keepNext w:val="0"/>
        <w:keepLines w:val="0"/>
        <w:pageBreakBefore w:val="0"/>
        <w:widowControl w:val="0"/>
        <w:numPr>
          <w:ilvl w:val="0"/>
          <w:numId w:val="9"/>
        </w:numPr>
        <w:kinsoku/>
        <w:wordWrap/>
        <w:overflowPunct/>
        <w:topLinePunct w:val="0"/>
        <w:autoSpaceDE/>
        <w:autoSpaceDN/>
        <w:bidi w:val="0"/>
        <w:adjustRightInd/>
        <w:snapToGrid/>
        <w:ind w:left="0" w:leftChars="0" w:firstLine="560" w:firstLineChars="200"/>
        <w:textAlignment w:val="auto"/>
      </w:pPr>
      <w:r>
        <w:t>《</w:t>
      </w:r>
      <w:r>
        <w:rPr>
          <w:rFonts w:hint="eastAsia"/>
        </w:rPr>
        <w:t>矿山电力设计标准</w:t>
      </w:r>
      <w:r>
        <w:t>》（GB 50070-</w:t>
      </w:r>
      <w:r>
        <w:rPr>
          <w:rFonts w:hint="eastAsia"/>
        </w:rPr>
        <w:t>2020</w:t>
      </w:r>
      <w:r>
        <w:t>）；</w:t>
      </w:r>
    </w:p>
    <w:p w14:paraId="47DA1837">
      <w:pPr>
        <w:keepNext w:val="0"/>
        <w:keepLines w:val="0"/>
        <w:pageBreakBefore w:val="0"/>
        <w:widowControl w:val="0"/>
        <w:numPr>
          <w:ilvl w:val="0"/>
          <w:numId w:val="9"/>
        </w:numPr>
        <w:kinsoku/>
        <w:wordWrap/>
        <w:overflowPunct/>
        <w:topLinePunct w:val="0"/>
        <w:autoSpaceDE/>
        <w:autoSpaceDN/>
        <w:bidi w:val="0"/>
        <w:adjustRightInd/>
        <w:snapToGrid/>
        <w:ind w:left="0" w:leftChars="0" w:firstLine="560" w:firstLineChars="200"/>
        <w:textAlignment w:val="auto"/>
      </w:pPr>
      <w:r>
        <w:t>《矿山安全标志》（</w:t>
      </w:r>
      <w:r>
        <w:rPr>
          <w:rFonts w:hint="eastAsia"/>
        </w:rPr>
        <w:t>GB/T 14161-2008</w:t>
      </w:r>
      <w:r>
        <w:t>）；</w:t>
      </w:r>
    </w:p>
    <w:p w14:paraId="3E6D03F4">
      <w:pPr>
        <w:keepNext w:val="0"/>
        <w:keepLines w:val="0"/>
        <w:pageBreakBefore w:val="0"/>
        <w:widowControl w:val="0"/>
        <w:numPr>
          <w:ilvl w:val="0"/>
          <w:numId w:val="9"/>
        </w:numPr>
        <w:kinsoku/>
        <w:wordWrap/>
        <w:overflowPunct/>
        <w:topLinePunct w:val="0"/>
        <w:autoSpaceDE/>
        <w:autoSpaceDN/>
        <w:bidi w:val="0"/>
        <w:adjustRightInd/>
        <w:snapToGrid/>
        <w:ind w:left="0" w:leftChars="0" w:firstLine="560" w:firstLineChars="200"/>
        <w:textAlignment w:val="auto"/>
      </w:pPr>
      <w:r>
        <w:t>《高处作业分级》（GB/T</w:t>
      </w:r>
      <w:r>
        <w:rPr>
          <w:rFonts w:hint="eastAsia"/>
          <w:lang w:val="en-US" w:eastAsia="zh-CN"/>
        </w:rPr>
        <w:t xml:space="preserve"> </w:t>
      </w:r>
      <w:r>
        <w:t>3608-2008）；</w:t>
      </w:r>
    </w:p>
    <w:p w14:paraId="268B5E60">
      <w:pPr>
        <w:keepNext w:val="0"/>
        <w:keepLines w:val="0"/>
        <w:pageBreakBefore w:val="0"/>
        <w:widowControl w:val="0"/>
        <w:numPr>
          <w:ilvl w:val="0"/>
          <w:numId w:val="9"/>
        </w:numPr>
        <w:kinsoku/>
        <w:wordWrap/>
        <w:overflowPunct/>
        <w:topLinePunct w:val="0"/>
        <w:autoSpaceDE/>
        <w:autoSpaceDN/>
        <w:bidi w:val="0"/>
        <w:adjustRightInd/>
        <w:snapToGrid/>
        <w:ind w:left="0" w:leftChars="0" w:firstLine="560" w:firstLineChars="200"/>
        <w:textAlignment w:val="auto"/>
      </w:pPr>
      <w:r>
        <w:t>《电气设备安全设计导则》（GB/T 25295-2010）；</w:t>
      </w:r>
    </w:p>
    <w:p w14:paraId="43B32AAD">
      <w:pPr>
        <w:keepNext w:val="0"/>
        <w:keepLines w:val="0"/>
        <w:pageBreakBefore w:val="0"/>
        <w:widowControl w:val="0"/>
        <w:numPr>
          <w:ilvl w:val="0"/>
          <w:numId w:val="9"/>
        </w:numPr>
        <w:kinsoku/>
        <w:wordWrap/>
        <w:overflowPunct/>
        <w:topLinePunct w:val="0"/>
        <w:autoSpaceDE/>
        <w:autoSpaceDN/>
        <w:bidi w:val="0"/>
        <w:adjustRightInd/>
        <w:snapToGrid/>
        <w:ind w:left="0" w:leftChars="0" w:firstLine="560" w:firstLineChars="200"/>
        <w:textAlignment w:val="auto"/>
      </w:pPr>
      <w:r>
        <w:t>《用电安全导则》（</w:t>
      </w:r>
      <w:r>
        <w:rPr>
          <w:rFonts w:hint="eastAsia"/>
        </w:rPr>
        <w:t>GB/T 13869-2017</w:t>
      </w:r>
      <w:r>
        <w:t>）；</w:t>
      </w:r>
    </w:p>
    <w:p w14:paraId="07D13D05">
      <w:pPr>
        <w:keepNext w:val="0"/>
        <w:keepLines w:val="0"/>
        <w:pageBreakBefore w:val="0"/>
        <w:widowControl w:val="0"/>
        <w:numPr>
          <w:ilvl w:val="0"/>
          <w:numId w:val="9"/>
        </w:numPr>
        <w:kinsoku/>
        <w:wordWrap/>
        <w:overflowPunct/>
        <w:topLinePunct w:val="0"/>
        <w:autoSpaceDE/>
        <w:autoSpaceDN/>
        <w:bidi w:val="0"/>
        <w:adjustRightInd/>
        <w:snapToGrid/>
        <w:ind w:left="0" w:leftChars="0" w:firstLine="560" w:firstLineChars="200"/>
        <w:textAlignment w:val="auto"/>
      </w:pPr>
      <w:r>
        <w:t>《</w:t>
      </w:r>
      <w:r>
        <w:rPr>
          <w:rFonts w:hint="eastAsia"/>
        </w:rPr>
        <w:t>机械安全 防护装置 固定式和活动式防护装置的设计与制造一般要求</w:t>
      </w:r>
      <w:r>
        <w:t>》（</w:t>
      </w:r>
      <w:r>
        <w:rPr>
          <w:rFonts w:hint="eastAsia"/>
        </w:rPr>
        <w:t>GB/T 8196-2018</w:t>
      </w:r>
      <w:r>
        <w:t>）；</w:t>
      </w:r>
    </w:p>
    <w:p w14:paraId="573B6CF2">
      <w:pPr>
        <w:keepNext w:val="0"/>
        <w:keepLines w:val="0"/>
        <w:pageBreakBefore w:val="0"/>
        <w:widowControl w:val="0"/>
        <w:numPr>
          <w:ilvl w:val="0"/>
          <w:numId w:val="9"/>
        </w:numPr>
        <w:kinsoku/>
        <w:wordWrap/>
        <w:overflowPunct/>
        <w:topLinePunct w:val="0"/>
        <w:autoSpaceDE/>
        <w:autoSpaceDN/>
        <w:bidi w:val="0"/>
        <w:adjustRightInd/>
        <w:snapToGrid/>
        <w:ind w:left="0" w:leftChars="0" w:firstLine="560" w:firstLineChars="200"/>
        <w:textAlignment w:val="auto"/>
      </w:pPr>
      <w:r>
        <w:rPr>
          <w:rFonts w:hint="eastAsia"/>
        </w:rPr>
        <w:t>《图形符号 安全色和安全标志第5部分：安全标志使用原则与要求》（GB/T</w:t>
      </w:r>
      <w:r>
        <w:rPr>
          <w:rFonts w:hint="eastAsia"/>
          <w:lang w:val="en-US" w:eastAsia="zh-CN"/>
        </w:rPr>
        <w:t xml:space="preserve"> </w:t>
      </w:r>
      <w:r>
        <w:rPr>
          <w:rFonts w:hint="eastAsia"/>
        </w:rPr>
        <w:t>2893.5-2020）</w:t>
      </w:r>
      <w:r>
        <w:t>；</w:t>
      </w:r>
    </w:p>
    <w:p w14:paraId="210EF618">
      <w:pPr>
        <w:keepNext w:val="0"/>
        <w:keepLines w:val="0"/>
        <w:pageBreakBefore w:val="0"/>
        <w:widowControl w:val="0"/>
        <w:numPr>
          <w:ilvl w:val="0"/>
          <w:numId w:val="9"/>
        </w:numPr>
        <w:kinsoku/>
        <w:wordWrap/>
        <w:overflowPunct/>
        <w:topLinePunct w:val="0"/>
        <w:autoSpaceDE/>
        <w:autoSpaceDN/>
        <w:bidi w:val="0"/>
        <w:adjustRightInd/>
        <w:snapToGrid/>
        <w:ind w:left="0" w:leftChars="0" w:firstLine="560" w:firstLineChars="200"/>
        <w:textAlignment w:val="auto"/>
      </w:pPr>
      <w:r>
        <w:t>《</w:t>
      </w:r>
      <w:r>
        <w:rPr>
          <w:rFonts w:hint="eastAsia"/>
        </w:rPr>
        <w:t>生产经营单位生产安全事故应急预案编制导则</w:t>
      </w:r>
      <w:r>
        <w:t>》(</w:t>
      </w:r>
      <w:r>
        <w:rPr>
          <w:rFonts w:hint="eastAsia"/>
        </w:rPr>
        <w:t>GB/T 29639-2020</w:t>
      </w:r>
      <w:r>
        <w:t>)；</w:t>
      </w:r>
    </w:p>
    <w:p w14:paraId="4E1A9CC9">
      <w:pPr>
        <w:keepNext w:val="0"/>
        <w:keepLines w:val="0"/>
        <w:pageBreakBefore w:val="0"/>
        <w:widowControl w:val="0"/>
        <w:numPr>
          <w:ilvl w:val="0"/>
          <w:numId w:val="9"/>
        </w:numPr>
        <w:kinsoku/>
        <w:wordWrap/>
        <w:overflowPunct/>
        <w:topLinePunct w:val="0"/>
        <w:autoSpaceDE/>
        <w:autoSpaceDN/>
        <w:bidi w:val="0"/>
        <w:adjustRightInd/>
        <w:snapToGrid/>
        <w:ind w:left="0" w:leftChars="0" w:firstLine="560" w:firstLineChars="200"/>
        <w:textAlignment w:val="auto"/>
      </w:pPr>
      <w:r>
        <w:t>《</w:t>
      </w:r>
      <w:r>
        <w:rPr>
          <w:rFonts w:hint="eastAsia"/>
        </w:rPr>
        <w:t>生产过程危险和有害因素分类与代码</w:t>
      </w:r>
      <w:r>
        <w:t>》</w:t>
      </w:r>
      <w:r>
        <w:rPr>
          <w:rFonts w:hint="eastAsia"/>
          <w:lang w:eastAsia="zh-CN"/>
        </w:rPr>
        <w:t>（</w:t>
      </w:r>
      <w:r>
        <w:rPr>
          <w:rFonts w:hint="eastAsia"/>
        </w:rPr>
        <w:t>GB/T 13861-2</w:t>
      </w:r>
      <w:r>
        <w:rPr>
          <w:rFonts w:hint="eastAsia"/>
          <w:lang w:val="en-US" w:eastAsia="zh-CN"/>
        </w:rPr>
        <w:t>022</w:t>
      </w:r>
      <w:r>
        <w:rPr>
          <w:rFonts w:hint="eastAsia"/>
          <w:lang w:eastAsia="zh-CN"/>
        </w:rPr>
        <w:t>）；</w:t>
      </w:r>
    </w:p>
    <w:p w14:paraId="4F951F2A">
      <w:pPr>
        <w:keepNext w:val="0"/>
        <w:keepLines w:val="0"/>
        <w:pageBreakBefore w:val="0"/>
        <w:widowControl w:val="0"/>
        <w:numPr>
          <w:ilvl w:val="0"/>
          <w:numId w:val="9"/>
        </w:numPr>
        <w:kinsoku/>
        <w:wordWrap/>
        <w:overflowPunct/>
        <w:topLinePunct w:val="0"/>
        <w:autoSpaceDE/>
        <w:autoSpaceDN/>
        <w:bidi w:val="0"/>
        <w:adjustRightInd/>
        <w:snapToGrid/>
        <w:ind w:left="0" w:leftChars="0" w:firstLine="560" w:firstLineChars="200"/>
        <w:textAlignment w:val="auto"/>
      </w:pPr>
      <w:r>
        <w:t>《</w:t>
      </w:r>
      <w:r>
        <w:rPr>
          <w:rFonts w:hint="eastAsia"/>
        </w:rPr>
        <w:t>中华人民共和国劳动部噪声作业分级</w:t>
      </w:r>
      <w:r>
        <w:t>》（LD</w:t>
      </w:r>
      <w:r>
        <w:rPr>
          <w:rFonts w:hint="eastAsia"/>
          <w:lang w:val="en-US" w:eastAsia="zh-CN"/>
        </w:rPr>
        <w:t xml:space="preserve"> </w:t>
      </w:r>
      <w:r>
        <w:t>80-1995）</w:t>
      </w:r>
      <w:r>
        <w:rPr>
          <w:rFonts w:hint="eastAsia"/>
          <w:lang w:eastAsia="zh-CN"/>
        </w:rPr>
        <w:t>；</w:t>
      </w:r>
    </w:p>
    <w:p w14:paraId="3352F317">
      <w:pPr>
        <w:keepNext w:val="0"/>
        <w:keepLines w:val="0"/>
        <w:pageBreakBefore w:val="0"/>
        <w:widowControl w:val="0"/>
        <w:numPr>
          <w:ilvl w:val="0"/>
          <w:numId w:val="9"/>
        </w:numPr>
        <w:kinsoku/>
        <w:wordWrap/>
        <w:overflowPunct/>
        <w:topLinePunct w:val="0"/>
        <w:autoSpaceDE/>
        <w:autoSpaceDN/>
        <w:bidi w:val="0"/>
        <w:adjustRightInd/>
        <w:snapToGrid/>
        <w:ind w:left="0" w:leftChars="0" w:firstLine="560" w:firstLineChars="200"/>
        <w:textAlignment w:val="auto"/>
      </w:pPr>
      <w:r>
        <w:t>《工业企业设计卫生标准》（GBZ</w:t>
      </w:r>
      <w:r>
        <w:rPr>
          <w:rFonts w:hint="eastAsia"/>
          <w:lang w:val="en-US" w:eastAsia="zh-CN"/>
        </w:rPr>
        <w:t xml:space="preserve"> </w:t>
      </w:r>
      <w:r>
        <w:t>1-2010）；</w:t>
      </w:r>
    </w:p>
    <w:p w14:paraId="2AB8E62D">
      <w:pPr>
        <w:keepNext w:val="0"/>
        <w:keepLines w:val="0"/>
        <w:pageBreakBefore w:val="0"/>
        <w:widowControl w:val="0"/>
        <w:numPr>
          <w:ilvl w:val="0"/>
          <w:numId w:val="9"/>
        </w:numPr>
        <w:kinsoku/>
        <w:wordWrap/>
        <w:overflowPunct/>
        <w:topLinePunct w:val="0"/>
        <w:autoSpaceDE/>
        <w:autoSpaceDN/>
        <w:bidi w:val="0"/>
        <w:adjustRightInd/>
        <w:snapToGrid/>
        <w:ind w:left="0" w:leftChars="0" w:firstLine="560" w:firstLineChars="200"/>
        <w:textAlignment w:val="auto"/>
      </w:pPr>
      <w:r>
        <w:t>《金属非金属矿山排土场安全生产规则》（AQ</w:t>
      </w:r>
      <w:r>
        <w:rPr>
          <w:rFonts w:hint="eastAsia"/>
          <w:lang w:val="en-US" w:eastAsia="zh-CN"/>
        </w:rPr>
        <w:t xml:space="preserve"> </w:t>
      </w:r>
      <w:r>
        <w:t>2005-2005）；</w:t>
      </w:r>
    </w:p>
    <w:p w14:paraId="3D702FE9">
      <w:pPr>
        <w:keepNext w:val="0"/>
        <w:keepLines w:val="0"/>
        <w:pageBreakBefore w:val="0"/>
        <w:widowControl w:val="0"/>
        <w:numPr>
          <w:ilvl w:val="0"/>
          <w:numId w:val="9"/>
        </w:numPr>
        <w:kinsoku/>
        <w:wordWrap/>
        <w:overflowPunct/>
        <w:topLinePunct w:val="0"/>
        <w:autoSpaceDE/>
        <w:autoSpaceDN/>
        <w:bidi w:val="0"/>
        <w:adjustRightInd/>
        <w:snapToGrid/>
        <w:ind w:left="0" w:leftChars="0" w:firstLine="560" w:firstLineChars="200"/>
        <w:textAlignment w:val="auto"/>
      </w:pPr>
      <w:r>
        <w:t>《安全评价通则》</w:t>
      </w:r>
      <w:r>
        <w:rPr>
          <w:rFonts w:hint="eastAsia"/>
        </w:rPr>
        <w:t>（</w:t>
      </w:r>
      <w:r>
        <w:t>AQ</w:t>
      </w:r>
      <w:r>
        <w:rPr>
          <w:rFonts w:hint="eastAsia"/>
          <w:lang w:val="en-US" w:eastAsia="zh-CN"/>
        </w:rPr>
        <w:t xml:space="preserve"> </w:t>
      </w:r>
      <w:r>
        <w:t>8001</w:t>
      </w:r>
      <w:r>
        <w:rPr>
          <w:rFonts w:hint="eastAsia"/>
          <w:lang w:val="en-US" w:eastAsia="zh-CN"/>
        </w:rPr>
        <w:t>-</w:t>
      </w:r>
      <w:r>
        <w:t>2007</w:t>
      </w:r>
      <w:r>
        <w:rPr>
          <w:rFonts w:hint="eastAsia"/>
        </w:rPr>
        <w:t>）</w:t>
      </w:r>
      <w:r>
        <w:rPr>
          <w:rFonts w:hint="eastAsia"/>
          <w:lang w:eastAsia="zh-CN"/>
        </w:rPr>
        <w:t>；</w:t>
      </w:r>
    </w:p>
    <w:p w14:paraId="42B73A1C">
      <w:pPr>
        <w:keepNext w:val="0"/>
        <w:keepLines w:val="0"/>
        <w:pageBreakBefore w:val="0"/>
        <w:widowControl w:val="0"/>
        <w:numPr>
          <w:ilvl w:val="0"/>
          <w:numId w:val="9"/>
        </w:numPr>
        <w:kinsoku/>
        <w:wordWrap/>
        <w:overflowPunct/>
        <w:topLinePunct w:val="0"/>
        <w:autoSpaceDE/>
        <w:autoSpaceDN/>
        <w:bidi w:val="0"/>
        <w:adjustRightInd/>
        <w:snapToGrid/>
        <w:ind w:left="0" w:leftChars="0" w:firstLine="560" w:firstLineChars="200"/>
        <w:textAlignment w:val="auto"/>
      </w:pPr>
      <w:r>
        <w:t>《安全预评价导则》</w:t>
      </w:r>
      <w:r>
        <w:rPr>
          <w:rFonts w:hint="eastAsia"/>
          <w:lang w:eastAsia="zh-CN"/>
        </w:rPr>
        <w:t>（</w:t>
      </w:r>
      <w:r>
        <w:t>AQ</w:t>
      </w:r>
      <w:r>
        <w:rPr>
          <w:rFonts w:hint="eastAsia"/>
          <w:lang w:val="en-US" w:eastAsia="zh-CN"/>
        </w:rPr>
        <w:t xml:space="preserve"> </w:t>
      </w:r>
      <w:r>
        <w:t>8002-2007</w:t>
      </w:r>
      <w:r>
        <w:rPr>
          <w:rFonts w:hint="eastAsia"/>
          <w:lang w:eastAsia="zh-CN"/>
        </w:rPr>
        <w:t>）；</w:t>
      </w:r>
    </w:p>
    <w:p w14:paraId="4075C749">
      <w:pPr>
        <w:keepNext w:val="0"/>
        <w:keepLines w:val="0"/>
        <w:pageBreakBefore w:val="0"/>
        <w:widowControl w:val="0"/>
        <w:numPr>
          <w:ilvl w:val="0"/>
          <w:numId w:val="9"/>
        </w:numPr>
        <w:kinsoku/>
        <w:wordWrap/>
        <w:overflowPunct/>
        <w:topLinePunct w:val="0"/>
        <w:autoSpaceDE/>
        <w:autoSpaceDN/>
        <w:bidi w:val="0"/>
        <w:adjustRightInd/>
        <w:snapToGrid/>
        <w:ind w:left="0" w:leftChars="0" w:firstLine="560" w:firstLineChars="200"/>
        <w:textAlignment w:val="auto"/>
      </w:pPr>
      <w:r>
        <w:rPr>
          <w:rFonts w:hint="eastAsia" w:ascii="宋体" w:hAnsi="宋体"/>
          <w:snapToGrid w:val="0"/>
          <w:color w:val="000000"/>
          <w:kern w:val="0"/>
          <w:sz w:val="28"/>
          <w:shd w:val="clear" w:color="auto" w:fill="FFFFFF"/>
        </w:rPr>
        <w:t>其他有关的国家及行业标准、规范</w:t>
      </w:r>
      <w:r>
        <w:rPr>
          <w:rFonts w:hint="eastAsia"/>
          <w:lang w:eastAsia="zh-CN"/>
        </w:rPr>
        <w:t>。</w:t>
      </w:r>
    </w:p>
    <w:p w14:paraId="5CCB30BC">
      <w:pPr>
        <w:pStyle w:val="4"/>
        <w:bidi w:val="0"/>
        <w:rPr>
          <w:rFonts w:hint="eastAsia"/>
        </w:rPr>
      </w:pPr>
      <w:bookmarkStart w:id="53" w:name="_Toc8958"/>
      <w:bookmarkStart w:id="54" w:name="_Toc2929"/>
      <w:bookmarkStart w:id="55" w:name="_Toc25754"/>
      <w:bookmarkStart w:id="56" w:name="_Toc3004"/>
      <w:r>
        <w:rPr>
          <w:rFonts w:hint="eastAsia"/>
        </w:rPr>
        <w:t>建设项目技术资料</w:t>
      </w:r>
      <w:bookmarkEnd w:id="53"/>
      <w:bookmarkEnd w:id="54"/>
      <w:bookmarkEnd w:id="55"/>
      <w:bookmarkEnd w:id="56"/>
    </w:p>
    <w:p w14:paraId="41ABA008">
      <w:pPr>
        <w:keepNext w:val="0"/>
        <w:keepLines w:val="0"/>
        <w:pageBreakBefore w:val="0"/>
        <w:widowControl w:val="0"/>
        <w:numPr>
          <w:ilvl w:val="0"/>
          <w:numId w:val="10"/>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color w:val="auto"/>
          <w:sz w:val="28"/>
          <w:szCs w:val="28"/>
          <w:u w:val="none" w:color="FFFFFF"/>
        </w:rPr>
      </w:pPr>
      <w:r>
        <w:rPr>
          <w:rFonts w:hint="eastAsia" w:ascii="宋体" w:hAnsi="宋体" w:eastAsia="宋体" w:cs="宋体"/>
          <w:color w:val="auto"/>
          <w:sz w:val="28"/>
          <w:szCs w:val="28"/>
          <w:u w:val="none" w:color="FFFFFF"/>
        </w:rPr>
        <w:t>《云南省元谋县物茂乡大物茂砂厂普通建筑用砂矿资源储量核实报告》（云南省有色地质局楚雄勘查院，2019年6月评审通过）；</w:t>
      </w:r>
    </w:p>
    <w:p w14:paraId="270A3BA7">
      <w:pPr>
        <w:keepNext w:val="0"/>
        <w:keepLines w:val="0"/>
        <w:pageBreakBefore w:val="0"/>
        <w:widowControl w:val="0"/>
        <w:numPr>
          <w:ilvl w:val="0"/>
          <w:numId w:val="10"/>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color w:val="auto"/>
          <w:sz w:val="28"/>
          <w:szCs w:val="28"/>
          <w:u w:val="none" w:color="FFFFFF"/>
          <w:lang w:val="en-US" w:eastAsia="zh-CN"/>
        </w:rPr>
      </w:pPr>
      <w:r>
        <w:rPr>
          <w:rFonts w:hint="eastAsia" w:ascii="宋体" w:hAnsi="宋体" w:eastAsia="宋体" w:cs="宋体"/>
          <w:color w:val="auto"/>
          <w:sz w:val="28"/>
          <w:szCs w:val="28"/>
          <w:u w:val="none" w:color="FFFFFF"/>
        </w:rPr>
        <w:t>《云南省元谋县大物茂砂厂普通建筑材料用砂矿矿产资源开发利用方案》（元谋县大物茂砂厂，2019年9月评审通过）；</w:t>
      </w:r>
    </w:p>
    <w:p w14:paraId="03EF25FD">
      <w:pPr>
        <w:keepNext w:val="0"/>
        <w:keepLines w:val="0"/>
        <w:pageBreakBefore w:val="0"/>
        <w:widowControl w:val="0"/>
        <w:numPr>
          <w:ilvl w:val="0"/>
          <w:numId w:val="10"/>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color w:val="auto"/>
          <w:sz w:val="28"/>
          <w:szCs w:val="28"/>
          <w:u w:val="none" w:color="FFFFFF"/>
          <w:lang w:val="en-US" w:eastAsia="zh-CN"/>
        </w:rPr>
      </w:pPr>
      <w:r>
        <w:rPr>
          <w:rFonts w:hint="eastAsia" w:ascii="宋体" w:hAnsi="宋体" w:eastAsia="宋体" w:cs="宋体"/>
          <w:color w:val="auto"/>
          <w:sz w:val="28"/>
          <w:szCs w:val="28"/>
          <w:u w:val="none" w:color="FFFFFF"/>
          <w:lang w:val="en-US" w:eastAsia="zh-CN"/>
        </w:rPr>
        <w:t>《云南省元谋县大物茂砂厂建筑用砂矿资源储量核实报告（2024年）》(云南省一九九煤田地质勘探队，2024年10月)；</w:t>
      </w:r>
    </w:p>
    <w:p w14:paraId="11280086">
      <w:pPr>
        <w:keepNext w:val="0"/>
        <w:keepLines w:val="0"/>
        <w:pageBreakBefore w:val="0"/>
        <w:widowControl w:val="0"/>
        <w:numPr>
          <w:ilvl w:val="0"/>
          <w:numId w:val="10"/>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color w:val="auto"/>
          <w:sz w:val="28"/>
          <w:szCs w:val="28"/>
          <w:u w:val="none" w:color="FFFFFF"/>
          <w:lang w:val="en-US" w:eastAsia="zh-CN"/>
        </w:rPr>
      </w:pPr>
      <w:r>
        <w:rPr>
          <w:rFonts w:hint="eastAsia" w:ascii="宋体" w:hAnsi="宋体" w:eastAsia="宋体" w:cs="宋体"/>
          <w:color w:val="auto"/>
          <w:sz w:val="28"/>
          <w:szCs w:val="28"/>
          <w:u w:val="none" w:color="FFFFFF"/>
          <w:lang w:val="en-US" w:eastAsia="zh-CN"/>
        </w:rPr>
        <w:t>《元谋中鼎砂石有限公司大物茂砂厂（10万t/a）露天采矿工程初步设计》（云南增股工程勘察设计有限公司，2025年3月）；</w:t>
      </w:r>
    </w:p>
    <w:p w14:paraId="77960044">
      <w:pPr>
        <w:keepNext w:val="0"/>
        <w:keepLines w:val="0"/>
        <w:pageBreakBefore w:val="0"/>
        <w:widowControl w:val="0"/>
        <w:numPr>
          <w:ilvl w:val="0"/>
          <w:numId w:val="10"/>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color w:val="auto"/>
          <w:sz w:val="28"/>
          <w:szCs w:val="28"/>
          <w:u w:val="none" w:color="FFFFFF"/>
        </w:rPr>
      </w:pPr>
      <w:r>
        <w:rPr>
          <w:rFonts w:hint="eastAsia" w:ascii="宋体" w:hAnsi="宋体" w:eastAsia="宋体" w:cs="宋体"/>
          <w:color w:val="auto"/>
          <w:sz w:val="28"/>
          <w:szCs w:val="28"/>
          <w:u w:val="none" w:color="FFFFFF"/>
          <w:lang w:eastAsia="zh-CN"/>
        </w:rPr>
        <w:t>元谋中鼎砂石有限公司</w:t>
      </w:r>
      <w:r>
        <w:rPr>
          <w:rFonts w:hint="eastAsia" w:ascii="宋体" w:hAnsi="宋体" w:eastAsia="宋体" w:cs="宋体"/>
          <w:color w:val="auto"/>
          <w:sz w:val="28"/>
          <w:szCs w:val="28"/>
          <w:u w:val="none" w:color="FFFFFF"/>
        </w:rPr>
        <w:t>提供的相关图纸、有关技术资料等。</w:t>
      </w:r>
    </w:p>
    <w:p w14:paraId="54D4D549">
      <w:pPr>
        <w:pStyle w:val="4"/>
        <w:bidi w:val="0"/>
        <w:rPr>
          <w:rFonts w:hint="eastAsia"/>
        </w:rPr>
      </w:pPr>
      <w:bookmarkStart w:id="57" w:name="_Toc18688"/>
      <w:bookmarkStart w:id="58" w:name="_Toc25369"/>
      <w:bookmarkStart w:id="59" w:name="_Toc31118"/>
      <w:r>
        <w:rPr>
          <w:rFonts w:hint="eastAsia"/>
        </w:rPr>
        <w:t>其他评价依据</w:t>
      </w:r>
      <w:bookmarkEnd w:id="57"/>
      <w:bookmarkEnd w:id="58"/>
      <w:bookmarkEnd w:id="59"/>
    </w:p>
    <w:bookmarkEnd w:id="20"/>
    <w:bookmarkEnd w:id="21"/>
    <w:bookmarkEnd w:id="22"/>
    <w:bookmarkEnd w:id="23"/>
    <w:p w14:paraId="3BAD98A1">
      <w:pPr>
        <w:keepNext w:val="0"/>
        <w:keepLines w:val="0"/>
        <w:pageBreakBefore w:val="0"/>
        <w:widowControl w:val="0"/>
        <w:numPr>
          <w:ilvl w:val="0"/>
          <w:numId w:val="11"/>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bookmarkStart w:id="60" w:name="_Toc30610"/>
      <w:r>
        <w:rPr>
          <w:rFonts w:hint="eastAsia" w:ascii="宋体" w:hAnsi="宋体" w:eastAsia="宋体" w:cs="宋体"/>
        </w:rPr>
        <w:t>安全预评价委托书；</w:t>
      </w:r>
    </w:p>
    <w:p w14:paraId="00C63FF8">
      <w:pPr>
        <w:keepNext w:val="0"/>
        <w:keepLines w:val="0"/>
        <w:pageBreakBefore w:val="0"/>
        <w:widowControl w:val="0"/>
        <w:numPr>
          <w:ilvl w:val="0"/>
          <w:numId w:val="11"/>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营业执照；</w:t>
      </w:r>
    </w:p>
    <w:p w14:paraId="4ABB7720">
      <w:pPr>
        <w:keepNext w:val="0"/>
        <w:keepLines w:val="0"/>
        <w:pageBreakBefore w:val="0"/>
        <w:widowControl w:val="0"/>
        <w:numPr>
          <w:ilvl w:val="0"/>
          <w:numId w:val="11"/>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采矿许可证；</w:t>
      </w:r>
    </w:p>
    <w:p w14:paraId="33FF98E9">
      <w:pPr>
        <w:keepNext w:val="0"/>
        <w:keepLines w:val="0"/>
        <w:pageBreakBefore w:val="0"/>
        <w:widowControl w:val="0"/>
        <w:numPr>
          <w:ilvl w:val="0"/>
          <w:numId w:val="11"/>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现场勘察收集的资料</w:t>
      </w:r>
      <w:r>
        <w:rPr>
          <w:rFonts w:hint="eastAsia" w:ascii="宋体" w:hAnsi="宋体" w:eastAsia="宋体" w:cs="宋体"/>
          <w:lang w:eastAsia="zh-CN"/>
        </w:rPr>
        <w:t>。</w:t>
      </w:r>
    </w:p>
    <w:bookmarkEnd w:id="60"/>
    <w:p w14:paraId="64039776">
      <w:pPr>
        <w:pStyle w:val="3"/>
        <w:bidi w:val="0"/>
        <w:rPr>
          <w:rFonts w:hint="eastAsia"/>
        </w:rPr>
      </w:pPr>
      <w:bookmarkStart w:id="61" w:name="_Toc4956"/>
      <w:r>
        <w:rPr>
          <w:rFonts w:hint="eastAsia"/>
        </w:rPr>
        <w:t>评价基准日</w:t>
      </w:r>
      <w:bookmarkEnd w:id="61"/>
    </w:p>
    <w:p w14:paraId="13A9C193">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宋体"/>
          <w:snapToGrid w:val="0"/>
          <w:color w:val="auto"/>
          <w:kern w:val="0"/>
          <w:sz w:val="28"/>
          <w:szCs w:val="20"/>
        </w:rPr>
      </w:pPr>
      <w:r>
        <w:rPr>
          <w:rFonts w:hint="eastAsia" w:ascii="宋体" w:hAnsi="宋体" w:eastAsia="宋体" w:cs="宋体"/>
          <w:snapToGrid w:val="0"/>
          <w:color w:val="auto"/>
          <w:kern w:val="0"/>
          <w:sz w:val="28"/>
          <w:szCs w:val="20"/>
        </w:rPr>
        <w:t>项目组于202</w:t>
      </w:r>
      <w:r>
        <w:rPr>
          <w:rFonts w:hint="eastAsia" w:ascii="宋体" w:hAnsi="宋体" w:cs="宋体"/>
          <w:snapToGrid w:val="0"/>
          <w:color w:val="auto"/>
          <w:kern w:val="0"/>
          <w:sz w:val="28"/>
          <w:szCs w:val="20"/>
          <w:lang w:val="en-US" w:eastAsia="zh-CN"/>
        </w:rPr>
        <w:t>2</w:t>
      </w:r>
      <w:r>
        <w:rPr>
          <w:rFonts w:hint="eastAsia" w:ascii="宋体" w:hAnsi="宋体" w:eastAsia="宋体" w:cs="宋体"/>
          <w:snapToGrid w:val="0"/>
          <w:color w:val="auto"/>
          <w:kern w:val="0"/>
          <w:sz w:val="28"/>
          <w:szCs w:val="20"/>
        </w:rPr>
        <w:t>年</w:t>
      </w:r>
      <w:r>
        <w:rPr>
          <w:rFonts w:hint="eastAsia" w:ascii="宋体" w:hAnsi="宋体" w:cs="宋体"/>
          <w:snapToGrid w:val="0"/>
          <w:color w:val="auto"/>
          <w:kern w:val="0"/>
          <w:sz w:val="28"/>
          <w:szCs w:val="20"/>
          <w:lang w:val="en-US" w:eastAsia="zh-CN"/>
        </w:rPr>
        <w:t>11</w:t>
      </w:r>
      <w:r>
        <w:rPr>
          <w:rFonts w:hint="eastAsia" w:ascii="宋体" w:hAnsi="宋体" w:eastAsia="宋体" w:cs="宋体"/>
          <w:snapToGrid w:val="0"/>
          <w:color w:val="auto"/>
          <w:kern w:val="0"/>
          <w:sz w:val="28"/>
          <w:szCs w:val="20"/>
        </w:rPr>
        <w:t>月</w:t>
      </w:r>
      <w:r>
        <w:rPr>
          <w:rFonts w:hint="eastAsia" w:ascii="宋体" w:hAnsi="宋体" w:cs="宋体"/>
          <w:snapToGrid w:val="0"/>
          <w:color w:val="auto"/>
          <w:kern w:val="0"/>
          <w:sz w:val="28"/>
          <w:szCs w:val="20"/>
          <w:lang w:val="en-US" w:eastAsia="zh-CN"/>
        </w:rPr>
        <w:t>27</w:t>
      </w:r>
      <w:r>
        <w:rPr>
          <w:rFonts w:hint="eastAsia" w:ascii="宋体" w:hAnsi="宋体" w:eastAsia="宋体" w:cs="宋体"/>
          <w:snapToGrid w:val="0"/>
          <w:color w:val="auto"/>
          <w:kern w:val="0"/>
          <w:sz w:val="28"/>
          <w:szCs w:val="20"/>
        </w:rPr>
        <w:t>日初次到现场踏勘，</w:t>
      </w:r>
      <w:r>
        <w:rPr>
          <w:rFonts w:hint="eastAsia" w:ascii="宋体" w:hAnsi="宋体" w:eastAsia="宋体" w:cs="宋体"/>
          <w:snapToGrid w:val="0"/>
          <w:color w:val="0000FF"/>
          <w:kern w:val="0"/>
          <w:sz w:val="28"/>
          <w:szCs w:val="20"/>
        </w:rPr>
        <w:t>202</w:t>
      </w:r>
      <w:r>
        <w:rPr>
          <w:rFonts w:hint="eastAsia" w:ascii="宋体" w:hAnsi="宋体" w:cs="宋体"/>
          <w:snapToGrid w:val="0"/>
          <w:color w:val="0000FF"/>
          <w:kern w:val="0"/>
          <w:sz w:val="28"/>
          <w:szCs w:val="20"/>
          <w:lang w:val="en-US" w:eastAsia="zh-CN"/>
        </w:rPr>
        <w:t>4</w:t>
      </w:r>
      <w:r>
        <w:rPr>
          <w:rFonts w:hint="eastAsia" w:ascii="宋体" w:hAnsi="宋体" w:eastAsia="宋体" w:cs="宋体"/>
          <w:snapToGrid w:val="0"/>
          <w:color w:val="0000FF"/>
          <w:kern w:val="0"/>
          <w:sz w:val="28"/>
          <w:szCs w:val="20"/>
        </w:rPr>
        <w:t>年</w:t>
      </w:r>
      <w:r>
        <w:rPr>
          <w:rFonts w:hint="eastAsia" w:ascii="宋体" w:hAnsi="宋体" w:cs="宋体"/>
          <w:snapToGrid w:val="0"/>
          <w:color w:val="0000FF"/>
          <w:kern w:val="0"/>
          <w:sz w:val="28"/>
          <w:szCs w:val="20"/>
          <w:lang w:val="en-US" w:eastAsia="zh-CN"/>
        </w:rPr>
        <w:t>12</w:t>
      </w:r>
      <w:r>
        <w:rPr>
          <w:rFonts w:hint="eastAsia" w:ascii="宋体" w:hAnsi="宋体" w:eastAsia="宋体" w:cs="宋体"/>
          <w:snapToGrid w:val="0"/>
          <w:color w:val="0000FF"/>
          <w:kern w:val="0"/>
          <w:sz w:val="28"/>
          <w:szCs w:val="20"/>
        </w:rPr>
        <w:t>月</w:t>
      </w:r>
      <w:r>
        <w:rPr>
          <w:rFonts w:hint="eastAsia" w:ascii="宋体" w:hAnsi="宋体" w:cs="宋体"/>
          <w:snapToGrid w:val="0"/>
          <w:color w:val="0000FF"/>
          <w:kern w:val="0"/>
          <w:sz w:val="28"/>
          <w:szCs w:val="20"/>
          <w:lang w:val="en-US" w:eastAsia="zh-CN"/>
        </w:rPr>
        <w:t>16</w:t>
      </w:r>
      <w:r>
        <w:rPr>
          <w:rFonts w:hint="eastAsia" w:ascii="宋体" w:hAnsi="宋体" w:eastAsia="宋体" w:cs="宋体"/>
          <w:snapToGrid w:val="0"/>
          <w:color w:val="0000FF"/>
          <w:kern w:val="0"/>
          <w:sz w:val="28"/>
          <w:szCs w:val="20"/>
        </w:rPr>
        <w:t>日再次到现场进行踏勘，本次评价基准日：20</w:t>
      </w:r>
      <w:r>
        <w:rPr>
          <w:rFonts w:hint="eastAsia" w:ascii="宋体" w:hAnsi="宋体" w:cs="宋体"/>
          <w:snapToGrid w:val="0"/>
          <w:color w:val="0000FF"/>
          <w:kern w:val="0"/>
          <w:sz w:val="28"/>
          <w:szCs w:val="20"/>
          <w:lang w:val="en-US" w:eastAsia="zh-CN"/>
        </w:rPr>
        <w:t>25</w:t>
      </w:r>
      <w:r>
        <w:rPr>
          <w:rFonts w:hint="eastAsia" w:ascii="宋体" w:hAnsi="宋体" w:eastAsia="宋体" w:cs="宋体"/>
          <w:snapToGrid w:val="0"/>
          <w:color w:val="0000FF"/>
          <w:kern w:val="0"/>
          <w:sz w:val="28"/>
          <w:szCs w:val="20"/>
        </w:rPr>
        <w:t>年</w:t>
      </w:r>
      <w:r>
        <w:rPr>
          <w:rFonts w:hint="eastAsia" w:ascii="宋体" w:hAnsi="宋体" w:cs="宋体"/>
          <w:snapToGrid w:val="0"/>
          <w:color w:val="0000FF"/>
          <w:kern w:val="0"/>
          <w:sz w:val="28"/>
          <w:szCs w:val="20"/>
          <w:lang w:val="en-US" w:eastAsia="zh-CN"/>
        </w:rPr>
        <w:t>3</w:t>
      </w:r>
      <w:r>
        <w:rPr>
          <w:rFonts w:hint="eastAsia" w:ascii="宋体" w:hAnsi="宋体" w:eastAsia="宋体" w:cs="宋体"/>
          <w:snapToGrid w:val="0"/>
          <w:color w:val="0000FF"/>
          <w:kern w:val="0"/>
          <w:sz w:val="28"/>
          <w:szCs w:val="20"/>
        </w:rPr>
        <w:t>月</w:t>
      </w:r>
      <w:r>
        <w:rPr>
          <w:rFonts w:hint="eastAsia" w:ascii="宋体" w:hAnsi="宋体" w:cs="宋体"/>
          <w:snapToGrid w:val="0"/>
          <w:color w:val="0000FF"/>
          <w:kern w:val="0"/>
          <w:sz w:val="28"/>
          <w:szCs w:val="20"/>
          <w:lang w:val="en-US" w:eastAsia="zh-CN"/>
        </w:rPr>
        <w:t>18</w:t>
      </w:r>
      <w:r>
        <w:rPr>
          <w:rFonts w:hint="eastAsia" w:ascii="宋体" w:hAnsi="宋体" w:eastAsia="宋体" w:cs="宋体"/>
          <w:snapToGrid w:val="0"/>
          <w:color w:val="0000FF"/>
          <w:kern w:val="0"/>
          <w:sz w:val="28"/>
          <w:szCs w:val="20"/>
        </w:rPr>
        <w:t>日。</w:t>
      </w: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59"/>
        <w:gridCol w:w="4559"/>
      </w:tblGrid>
      <w:tr w14:paraId="4D546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59" w:type="dxa"/>
          </w:tcPr>
          <w:p w14:paraId="26A5243A">
            <w:pPr>
              <w:bidi w:val="0"/>
              <w:rPr>
                <w:rFonts w:hint="default" w:eastAsia="宋体"/>
                <w:vertAlign w:val="baseline"/>
                <w:lang w:val="en-US" w:eastAsia="zh-CN"/>
              </w:rPr>
            </w:pPr>
            <w:r>
              <w:rPr>
                <w:rFonts w:hint="eastAsia"/>
                <w:sz w:val="24"/>
                <w:szCs w:val="22"/>
                <w:lang w:eastAsia="zh-CN"/>
              </w:rPr>
              <w:drawing>
                <wp:anchor distT="0" distB="0" distL="114300" distR="114300" simplePos="0" relativeHeight="251661312" behindDoc="0" locked="0" layoutInCell="1" allowOverlap="1">
                  <wp:simplePos x="0" y="0"/>
                  <wp:positionH relativeFrom="column">
                    <wp:posOffset>-43180</wp:posOffset>
                  </wp:positionH>
                  <wp:positionV relativeFrom="paragraph">
                    <wp:posOffset>-6350</wp:posOffset>
                  </wp:positionV>
                  <wp:extent cx="2839085" cy="2129155"/>
                  <wp:effectExtent l="0" t="0" r="5715" b="4445"/>
                  <wp:wrapTopAndBottom/>
                  <wp:docPr id="10" name="图片 10" descr="评价师现场照片（张开选 左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评价师现场照片（张开选 左一）"/>
                          <pic:cNvPicPr>
                            <a:picLocks noChangeAspect="1"/>
                          </pic:cNvPicPr>
                        </pic:nvPicPr>
                        <pic:blipFill>
                          <a:blip r:embed="rId13"/>
                          <a:stretch>
                            <a:fillRect/>
                          </a:stretch>
                        </pic:blipFill>
                        <pic:spPr>
                          <a:xfrm>
                            <a:off x="0" y="0"/>
                            <a:ext cx="2839085" cy="2129155"/>
                          </a:xfrm>
                          <a:prstGeom prst="rect">
                            <a:avLst/>
                          </a:prstGeom>
                        </pic:spPr>
                      </pic:pic>
                    </a:graphicData>
                  </a:graphic>
                </wp:anchor>
              </w:drawing>
            </w:r>
            <w:r>
              <w:rPr>
                <w:rFonts w:hint="eastAsia"/>
                <w:sz w:val="24"/>
                <w:szCs w:val="22"/>
                <w:lang w:val="en-US" w:eastAsia="zh-CN"/>
              </w:rPr>
              <w:t>评价师（左一）：项目组长 张开选</w:t>
            </w:r>
          </w:p>
        </w:tc>
        <w:tc>
          <w:tcPr>
            <w:tcW w:w="4559" w:type="dxa"/>
          </w:tcPr>
          <w:p w14:paraId="5D35016F">
            <w:pPr>
              <w:pStyle w:val="14"/>
              <w:ind w:left="0" w:leftChars="0" w:right="0" w:rightChars="0" w:firstLine="0" w:firstLineChars="0"/>
              <w:jc w:val="center"/>
              <w:rPr>
                <w:rFonts w:hint="default" w:eastAsia="宋体"/>
                <w:vertAlign w:val="baseline"/>
                <w:lang w:val="en-US" w:eastAsia="zh-CN"/>
              </w:rPr>
            </w:pPr>
            <w:r>
              <w:rPr>
                <w:rFonts w:hint="eastAsia" w:ascii="Times New Roman" w:hAnsi="Times New Roman" w:eastAsia="宋体" w:cs="Times New Roman"/>
                <w:kern w:val="2"/>
                <w:sz w:val="24"/>
                <w:szCs w:val="22"/>
                <w:lang w:val="en-US" w:eastAsia="zh-CN" w:bidi="ar-SA"/>
              </w:rPr>
              <w:drawing>
                <wp:anchor distT="0" distB="0" distL="114300" distR="114300" simplePos="0" relativeHeight="251662336" behindDoc="0" locked="0" layoutInCell="1" allowOverlap="1">
                  <wp:simplePos x="0" y="0"/>
                  <wp:positionH relativeFrom="column">
                    <wp:posOffset>-66675</wp:posOffset>
                  </wp:positionH>
                  <wp:positionV relativeFrom="paragraph">
                    <wp:posOffset>11430</wp:posOffset>
                  </wp:positionV>
                  <wp:extent cx="2878455" cy="2094865"/>
                  <wp:effectExtent l="0" t="0" r="4445" b="635"/>
                  <wp:wrapTopAndBottom/>
                  <wp:docPr id="12" name="图片 12" descr="评级师现场照片（李毅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评级师现场照片（李毅雄）"/>
                          <pic:cNvPicPr>
                            <a:picLocks noChangeAspect="1"/>
                          </pic:cNvPicPr>
                        </pic:nvPicPr>
                        <pic:blipFill>
                          <a:blip r:embed="rId14"/>
                          <a:stretch>
                            <a:fillRect/>
                          </a:stretch>
                        </pic:blipFill>
                        <pic:spPr>
                          <a:xfrm>
                            <a:off x="0" y="0"/>
                            <a:ext cx="2878455" cy="2094865"/>
                          </a:xfrm>
                          <a:prstGeom prst="rect">
                            <a:avLst/>
                          </a:prstGeom>
                        </pic:spPr>
                      </pic:pic>
                    </a:graphicData>
                  </a:graphic>
                </wp:anchor>
              </w:drawing>
            </w:r>
            <w:r>
              <w:rPr>
                <w:rFonts w:hint="eastAsia" w:ascii="Times New Roman" w:hAnsi="Times New Roman" w:eastAsia="宋体" w:cs="Times New Roman"/>
                <w:kern w:val="2"/>
                <w:sz w:val="24"/>
                <w:szCs w:val="22"/>
                <w:lang w:val="en-US" w:eastAsia="zh-CN" w:bidi="ar-SA"/>
              </w:rPr>
              <w:t>评价师：李毅雄</w:t>
            </w:r>
          </w:p>
        </w:tc>
      </w:tr>
    </w:tbl>
    <w:p w14:paraId="75D8A982">
      <w:pPr>
        <w:pStyle w:val="11"/>
        <w:jc w:val="center"/>
        <w:rPr>
          <w:rFonts w:hint="eastAsia" w:eastAsia="宋体"/>
          <w:lang w:eastAsia="zh-CN"/>
        </w:rPr>
      </w:pPr>
      <w:r>
        <w:t xml:space="preserve">图 </w:t>
      </w:r>
      <w:r>
        <w:fldChar w:fldCharType="begin"/>
      </w:r>
      <w:r>
        <w:instrText xml:space="preserve"> STYLEREF 1 \s </w:instrText>
      </w:r>
      <w:r>
        <w:fldChar w:fldCharType="separate"/>
      </w:r>
      <w:r>
        <w:t>1</w:t>
      </w:r>
      <w:r>
        <w:fldChar w:fldCharType="end"/>
      </w:r>
      <w:r>
        <w:rPr>
          <w:rFonts w:hint="eastAsia"/>
          <w:lang w:eastAsia="zh-CN"/>
        </w:rPr>
        <w:t>-</w:t>
      </w:r>
      <w:r>
        <w:fldChar w:fldCharType="begin"/>
      </w:r>
      <w:r>
        <w:instrText xml:space="preserve"> SEQ 图 \* ARABIC \s 1 </w:instrText>
      </w:r>
      <w:r>
        <w:fldChar w:fldCharType="separate"/>
      </w:r>
      <w:r>
        <w:t>1</w:t>
      </w:r>
      <w:r>
        <w:fldChar w:fldCharType="end"/>
      </w:r>
      <w:r>
        <w:rPr>
          <w:rFonts w:hint="eastAsia"/>
          <w:lang w:eastAsia="zh-CN"/>
        </w:rPr>
        <w:t xml:space="preserve"> 安全评价师现场照片</w:t>
      </w:r>
    </w:p>
    <w:p w14:paraId="78E35C63">
      <w:r>
        <w:br w:type="page"/>
      </w:r>
    </w:p>
    <w:p w14:paraId="21FBC9CF">
      <w:pPr>
        <w:pStyle w:val="2"/>
        <w:bidi w:val="0"/>
      </w:pPr>
      <w:bookmarkStart w:id="62" w:name="_Toc23131"/>
      <w:r>
        <w:t>建设项目概述</w:t>
      </w:r>
      <w:bookmarkEnd w:id="62"/>
    </w:p>
    <w:p w14:paraId="7E41DBD5">
      <w:pPr>
        <w:pStyle w:val="3"/>
        <w:bidi w:val="0"/>
      </w:pPr>
      <w:bookmarkStart w:id="63" w:name="_Toc3334"/>
      <w:r>
        <w:t>建设单位概况</w:t>
      </w:r>
      <w:bookmarkEnd w:id="63"/>
    </w:p>
    <w:p w14:paraId="659EE2D0">
      <w:pPr>
        <w:pStyle w:val="4"/>
        <w:bidi w:val="0"/>
        <w:rPr>
          <w:rFonts w:hint="eastAsia"/>
          <w:lang w:val="zh-CN"/>
        </w:rPr>
      </w:pPr>
      <w:bookmarkStart w:id="64" w:name="_Toc121748274"/>
      <w:bookmarkStart w:id="65" w:name="_Toc24252"/>
      <w:r>
        <w:t>企业简介</w:t>
      </w:r>
      <w:bookmarkEnd w:id="64"/>
      <w:bookmarkEnd w:id="65"/>
    </w:p>
    <w:p w14:paraId="69A44FE7">
      <w:pPr>
        <w:numPr>
          <w:ilvl w:val="0"/>
          <w:numId w:val="12"/>
        </w:numPr>
        <w:bidi w:val="0"/>
        <w:ind w:left="0" w:leftChars="0" w:firstLine="560" w:firstLineChars="200"/>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企业营业执照</w:t>
      </w:r>
    </w:p>
    <w:p w14:paraId="363A4A61">
      <w:pPr>
        <w:bidi w:val="0"/>
        <w:rPr>
          <w:rFonts w:hint="eastAsia" w:ascii="宋体" w:hAnsi="宋体" w:cs="宋体"/>
          <w:color w:val="auto"/>
          <w:sz w:val="28"/>
          <w:szCs w:val="28"/>
        </w:rPr>
      </w:pPr>
      <w:r>
        <w:rPr>
          <w:rFonts w:hint="eastAsia" w:ascii="宋体" w:hAnsi="宋体" w:cs="宋体"/>
          <w:color w:val="auto"/>
          <w:sz w:val="28"/>
          <w:szCs w:val="28"/>
        </w:rPr>
        <w:t>统一社会信用代码：915323280913249072</w:t>
      </w:r>
    </w:p>
    <w:p w14:paraId="5E12DF6D">
      <w:pPr>
        <w:bidi w:val="0"/>
        <w:rPr>
          <w:rFonts w:hint="eastAsia" w:cs="Times New Roman"/>
          <w:lang w:val="en-US" w:eastAsia="zh-CN"/>
        </w:rPr>
      </w:pPr>
      <w:r>
        <w:rPr>
          <w:rFonts w:hint="eastAsia" w:ascii="宋体" w:hAnsi="宋体" w:cs="宋体"/>
          <w:color w:val="auto"/>
          <w:sz w:val="28"/>
          <w:szCs w:val="28"/>
        </w:rPr>
        <w:t>企业</w:t>
      </w:r>
      <w:r>
        <w:rPr>
          <w:rFonts w:hint="eastAsia" w:cs="Times New Roman"/>
          <w:lang w:val="en-US" w:eastAsia="zh-CN"/>
        </w:rPr>
        <w:t>名称：</w:t>
      </w:r>
      <w:r>
        <w:rPr>
          <w:rFonts w:hint="eastAsia" w:ascii="Times New Roman" w:hAnsi="Times New Roman" w:eastAsia="宋体" w:cs="Times New Roman"/>
          <w:lang w:val="en-US" w:eastAsia="zh-CN"/>
        </w:rPr>
        <w:t>元谋中鼎砂石有限公司</w:t>
      </w:r>
    </w:p>
    <w:p w14:paraId="1EA923D3">
      <w:pPr>
        <w:bidi w:val="0"/>
        <w:rPr>
          <w:rFonts w:hint="eastAsia" w:cs="Times New Roman"/>
          <w:lang w:val="en-US" w:eastAsia="zh-CN"/>
        </w:rPr>
      </w:pPr>
      <w:r>
        <w:rPr>
          <w:rFonts w:hint="eastAsia" w:ascii="宋体" w:hAnsi="宋体" w:cs="宋体"/>
          <w:color w:val="auto"/>
          <w:sz w:val="28"/>
          <w:szCs w:val="28"/>
        </w:rPr>
        <w:t>企业</w:t>
      </w:r>
      <w:r>
        <w:rPr>
          <w:rFonts w:hint="eastAsia" w:cs="Times New Roman"/>
          <w:lang w:val="en-US" w:eastAsia="zh-CN"/>
        </w:rPr>
        <w:t>类型：有限责任公司〈自然人投资或控股）</w:t>
      </w:r>
    </w:p>
    <w:p w14:paraId="26FB1298">
      <w:pPr>
        <w:bidi w:val="0"/>
        <w:rPr>
          <w:rFonts w:hint="eastAsia" w:ascii="宋体" w:hAnsi="宋体" w:cs="宋体"/>
          <w:color w:val="auto"/>
          <w:sz w:val="28"/>
          <w:szCs w:val="28"/>
        </w:rPr>
      </w:pPr>
      <w:r>
        <w:rPr>
          <w:rFonts w:hint="eastAsia" w:ascii="宋体" w:hAnsi="宋体" w:cs="宋体"/>
          <w:color w:val="auto"/>
          <w:sz w:val="28"/>
          <w:szCs w:val="28"/>
        </w:rPr>
        <w:t>法定代表人：</w:t>
      </w:r>
      <w:r>
        <w:rPr>
          <w:rFonts w:hint="eastAsia" w:ascii="Times New Roman" w:hAnsi="Times New Roman" w:eastAsia="宋体" w:cs="Times New Roman"/>
          <w:lang w:val="en-US" w:eastAsia="zh-CN"/>
        </w:rPr>
        <w:t>宋文</w:t>
      </w:r>
    </w:p>
    <w:p w14:paraId="5A789DB5">
      <w:pPr>
        <w:bidi w:val="0"/>
        <w:rPr>
          <w:rFonts w:hint="eastAsia" w:ascii="宋体" w:hAnsi="宋体" w:cs="宋体"/>
          <w:color w:val="auto"/>
          <w:sz w:val="28"/>
          <w:szCs w:val="28"/>
        </w:rPr>
      </w:pPr>
      <w:r>
        <w:rPr>
          <w:rFonts w:hint="eastAsia" w:ascii="宋体" w:hAnsi="宋体" w:cs="宋体"/>
          <w:color w:val="auto"/>
          <w:sz w:val="28"/>
          <w:szCs w:val="28"/>
        </w:rPr>
        <w:t>注册资本：</w:t>
      </w:r>
      <w:r>
        <w:rPr>
          <w:rFonts w:hint="eastAsia" w:ascii="Times New Roman" w:hAnsi="Times New Roman" w:eastAsia="宋体" w:cs="Times New Roman"/>
          <w:lang w:val="en-US" w:eastAsia="zh-CN"/>
        </w:rPr>
        <w:t>：伍佰万元整</w:t>
      </w:r>
    </w:p>
    <w:p w14:paraId="3C130DF5">
      <w:pPr>
        <w:bidi w:val="0"/>
        <w:rPr>
          <w:rFonts w:hint="eastAsia" w:ascii="宋体" w:hAnsi="宋体" w:cs="宋体"/>
          <w:color w:val="auto"/>
          <w:sz w:val="28"/>
          <w:szCs w:val="28"/>
        </w:rPr>
      </w:pPr>
      <w:r>
        <w:rPr>
          <w:rFonts w:hint="eastAsia" w:ascii="宋体" w:hAnsi="宋体" w:cs="宋体"/>
          <w:color w:val="auto"/>
          <w:sz w:val="28"/>
          <w:szCs w:val="28"/>
        </w:rPr>
        <w:t>经营场所：云南省楚雄彝族自治州元谋县物茂乡大物茂村（独路梁子）</w:t>
      </w:r>
    </w:p>
    <w:p w14:paraId="6F53B806">
      <w:pPr>
        <w:bidi w:val="0"/>
        <w:rPr>
          <w:rFonts w:hint="eastAsia" w:ascii="宋体" w:hAnsi="宋体" w:cs="宋体"/>
          <w:color w:val="auto"/>
          <w:sz w:val="28"/>
          <w:szCs w:val="28"/>
        </w:rPr>
      </w:pPr>
      <w:r>
        <w:rPr>
          <w:rFonts w:hint="eastAsia" w:ascii="宋体" w:hAnsi="宋体" w:cs="宋体"/>
          <w:color w:val="auto"/>
          <w:sz w:val="28"/>
          <w:szCs w:val="28"/>
        </w:rPr>
        <w:t>成立日期：</w:t>
      </w:r>
      <w:r>
        <w:rPr>
          <w:rFonts w:hint="eastAsia" w:ascii="Times New Roman" w:hAnsi="Times New Roman" w:eastAsia="宋体" w:cs="Times New Roman"/>
          <w:lang w:val="en-US" w:eastAsia="zh-CN"/>
        </w:rPr>
        <w:t>2014年2月17</w:t>
      </w:r>
    </w:p>
    <w:p w14:paraId="610CE34A">
      <w:pPr>
        <w:bidi w:val="0"/>
        <w:rPr>
          <w:rFonts w:hint="eastAsia" w:ascii="宋体" w:hAnsi="宋体" w:cs="宋体"/>
          <w:color w:val="auto"/>
          <w:sz w:val="28"/>
          <w:szCs w:val="28"/>
        </w:rPr>
      </w:pPr>
      <w:r>
        <w:rPr>
          <w:rFonts w:hint="eastAsia" w:ascii="宋体" w:hAnsi="宋体" w:cs="宋体"/>
          <w:color w:val="auto"/>
          <w:sz w:val="28"/>
          <w:szCs w:val="28"/>
        </w:rPr>
        <w:t>营业期限：2014年2月17日至2044年2月16日</w:t>
      </w:r>
    </w:p>
    <w:p w14:paraId="7FCCE655">
      <w:pPr>
        <w:bidi w:val="0"/>
        <w:rPr>
          <w:rFonts w:hint="eastAsia" w:ascii="宋体" w:hAnsi="宋体" w:cs="宋体"/>
          <w:color w:val="auto"/>
          <w:sz w:val="28"/>
          <w:szCs w:val="28"/>
        </w:rPr>
      </w:pPr>
      <w:r>
        <w:rPr>
          <w:rFonts w:hint="eastAsia" w:ascii="宋体" w:hAnsi="宋体" w:cs="宋体"/>
          <w:color w:val="auto"/>
          <w:sz w:val="28"/>
          <w:szCs w:val="28"/>
        </w:rPr>
        <w:t>经营范围：</w:t>
      </w:r>
      <w:r>
        <w:rPr>
          <w:rFonts w:hint="eastAsia" w:ascii="Times New Roman" w:hAnsi="Times New Roman" w:eastAsia="宋体" w:cs="Times New Roman"/>
          <w:lang w:val="en-US" w:eastAsia="zh-CN"/>
        </w:rPr>
        <w:t>许可项目：非煤矿山矿产资源开采（依法须经批准的项目，经相关部门批准后方可开展经营活动，具体经营项目以相关部门批准文件或许可证件为准）一般项目：建筑材料销售；矿物洗选加工；非金属废料和碎屑加工处理；非金属矿及制品销售；农产品的生产、销售、加工、运输、贮藏及其他相关服务（除依法须经批准的项目外，凭营业执照依法自主开展经营活动）。</w:t>
      </w:r>
    </w:p>
    <w:p w14:paraId="23A10D9E">
      <w:pPr>
        <w:bidi w:val="0"/>
        <w:rPr>
          <w:rFonts w:hint="eastAsia" w:ascii="宋体" w:hAnsi="宋体" w:cs="宋体"/>
          <w:color w:val="auto"/>
          <w:sz w:val="28"/>
          <w:szCs w:val="28"/>
        </w:rPr>
      </w:pPr>
      <w:r>
        <w:rPr>
          <w:rFonts w:hint="eastAsia" w:ascii="宋体" w:hAnsi="宋体" w:cs="宋体"/>
          <w:color w:val="auto"/>
          <w:sz w:val="28"/>
          <w:szCs w:val="28"/>
        </w:rPr>
        <w:t>发证机关：元谋县市场监督管理局</w:t>
      </w:r>
    </w:p>
    <w:p w14:paraId="4422BD41">
      <w:pPr>
        <w:numPr>
          <w:ilvl w:val="0"/>
          <w:numId w:val="12"/>
        </w:numPr>
        <w:bidi w:val="0"/>
        <w:ind w:left="0" w:leftChars="0" w:firstLine="560" w:firstLineChars="200"/>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采矿许可证</w:t>
      </w:r>
    </w:p>
    <w:p w14:paraId="6E21BD59">
      <w:pPr>
        <w:bidi w:val="0"/>
        <w:rPr>
          <w:rFonts w:hint="eastAsia" w:ascii="宋体" w:hAnsi="宋体" w:cs="宋体"/>
          <w:color w:val="auto"/>
          <w:sz w:val="28"/>
          <w:szCs w:val="28"/>
        </w:rPr>
      </w:pPr>
      <w:r>
        <w:rPr>
          <w:rFonts w:hint="eastAsia" w:ascii="宋体" w:hAnsi="宋体" w:cs="宋体"/>
          <w:color w:val="auto"/>
          <w:sz w:val="28"/>
          <w:szCs w:val="28"/>
        </w:rPr>
        <w:t>证号：C53232801001730055811</w:t>
      </w:r>
    </w:p>
    <w:p w14:paraId="79204BBC">
      <w:pPr>
        <w:bidi w:val="0"/>
        <w:rPr>
          <w:rFonts w:hint="default" w:ascii="宋体" w:hAnsi="宋体" w:cs="宋体"/>
          <w:color w:val="auto"/>
          <w:sz w:val="28"/>
          <w:szCs w:val="28"/>
          <w:lang w:val="en-US" w:eastAsia="zh-CN"/>
        </w:rPr>
      </w:pPr>
      <w:r>
        <w:rPr>
          <w:rFonts w:hint="default" w:ascii="宋体" w:hAnsi="宋体" w:cs="宋体"/>
          <w:color w:val="auto"/>
          <w:sz w:val="28"/>
          <w:szCs w:val="28"/>
          <w:lang w:val="en-US" w:eastAsia="zh-CN"/>
        </w:rPr>
        <w:t>采矿权人：元谋中鼎砂石有限公司</w:t>
      </w:r>
    </w:p>
    <w:p w14:paraId="5630F240">
      <w:pPr>
        <w:bidi w:val="0"/>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地址：元谋县物茂乡大物茂村独路梁子</w:t>
      </w:r>
    </w:p>
    <w:p w14:paraId="3C3569E1">
      <w:pPr>
        <w:bidi w:val="0"/>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矿山名称：大物茂砂厂</w:t>
      </w:r>
    </w:p>
    <w:p w14:paraId="0D81F8BC">
      <w:pPr>
        <w:bidi w:val="0"/>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经济类型：私营企业</w:t>
      </w:r>
    </w:p>
    <w:p w14:paraId="05AA79DB">
      <w:pPr>
        <w:bidi w:val="0"/>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开采矿种：</w:t>
      </w:r>
      <w:r>
        <w:rPr>
          <w:rFonts w:hint="eastAsia" w:ascii="宋体" w:hAnsi="宋体" w:cs="宋体"/>
          <w:color w:val="auto"/>
          <w:sz w:val="28"/>
        </w:rPr>
        <w:t>建筑用砂</w:t>
      </w:r>
    </w:p>
    <w:p w14:paraId="7ECA163F">
      <w:pPr>
        <w:bidi w:val="0"/>
        <w:rPr>
          <w:rFonts w:hint="eastAsia" w:ascii="宋体" w:hAnsi="宋体" w:cs="宋体"/>
          <w:color w:val="auto"/>
          <w:sz w:val="28"/>
        </w:rPr>
      </w:pPr>
      <w:r>
        <w:rPr>
          <w:rFonts w:hint="eastAsia" w:ascii="宋体" w:hAnsi="宋体" w:cs="宋体"/>
          <w:color w:val="auto"/>
          <w:sz w:val="28"/>
          <w:szCs w:val="28"/>
          <w:lang w:val="en-US" w:eastAsia="zh-CN"/>
        </w:rPr>
        <w:t>开采方式：</w:t>
      </w:r>
      <w:r>
        <w:rPr>
          <w:rFonts w:hint="eastAsia" w:ascii="宋体" w:hAnsi="宋体" w:cs="宋体"/>
          <w:color w:val="auto"/>
          <w:sz w:val="28"/>
        </w:rPr>
        <w:t>露天开采</w:t>
      </w:r>
    </w:p>
    <w:p w14:paraId="60FCE7E6">
      <w:pPr>
        <w:bidi w:val="0"/>
        <w:rPr>
          <w:rFonts w:hint="default" w:ascii="宋体" w:hAnsi="宋体" w:eastAsia="宋体" w:cs="宋体"/>
          <w:color w:val="auto"/>
          <w:sz w:val="28"/>
          <w:szCs w:val="28"/>
          <w:lang w:val="en-US" w:eastAsia="zh-CN"/>
        </w:rPr>
      </w:pPr>
      <w:r>
        <w:rPr>
          <w:rFonts w:hint="eastAsia" w:ascii="宋体" w:hAnsi="宋体" w:cs="宋体"/>
          <w:color w:val="auto"/>
          <w:sz w:val="28"/>
          <w:szCs w:val="28"/>
        </w:rPr>
        <w:t>生产规模：10.0万</w:t>
      </w:r>
      <w:r>
        <w:rPr>
          <w:rFonts w:hint="eastAsia" w:ascii="宋体" w:hAnsi="宋体" w:cs="宋体"/>
          <w:color w:val="auto"/>
          <w:sz w:val="28"/>
          <w:szCs w:val="28"/>
          <w:lang w:val="en-US" w:eastAsia="zh-CN"/>
        </w:rPr>
        <w:t>吨/年</w:t>
      </w:r>
    </w:p>
    <w:p w14:paraId="4FC8A09F">
      <w:pPr>
        <w:bidi w:val="0"/>
        <w:rPr>
          <w:rFonts w:hint="eastAsia" w:ascii="宋体" w:hAnsi="宋体" w:cs="宋体"/>
          <w:color w:val="auto"/>
          <w:sz w:val="28"/>
          <w:szCs w:val="28"/>
          <w:lang w:val="en-US" w:eastAsia="zh-CN"/>
        </w:rPr>
      </w:pPr>
      <w:r>
        <w:rPr>
          <w:rFonts w:hint="eastAsia" w:ascii="宋体" w:hAnsi="宋体" w:cs="宋体"/>
          <w:color w:val="auto"/>
          <w:sz w:val="28"/>
          <w:szCs w:val="28"/>
        </w:rPr>
        <w:t>矿区面积：0.0532</w:t>
      </w:r>
      <w:r>
        <w:rPr>
          <w:rFonts w:hint="eastAsia" w:ascii="宋体" w:hAnsi="宋体" w:cs="宋体"/>
          <w:color w:val="auto"/>
          <w:sz w:val="28"/>
          <w:szCs w:val="28"/>
          <w:lang w:val="en-US" w:eastAsia="zh-CN"/>
        </w:rPr>
        <w:t>平方公里</w:t>
      </w:r>
    </w:p>
    <w:p w14:paraId="21696AFC">
      <w:pPr>
        <w:bidi w:val="0"/>
        <w:rPr>
          <w:rFonts w:hint="eastAsia" w:ascii="宋体" w:hAnsi="宋体" w:cs="宋体"/>
          <w:color w:val="auto"/>
          <w:sz w:val="28"/>
          <w:szCs w:val="28"/>
        </w:rPr>
      </w:pPr>
      <w:r>
        <w:rPr>
          <w:rFonts w:hint="eastAsia" w:ascii="宋体" w:hAnsi="宋体" w:cs="宋体"/>
          <w:color w:val="auto"/>
          <w:sz w:val="28"/>
        </w:rPr>
        <w:t>有效期限：伍</w:t>
      </w:r>
      <w:r>
        <w:rPr>
          <w:rFonts w:hint="eastAsia" w:ascii="宋体" w:hAnsi="宋体" w:cs="宋体"/>
          <w:color w:val="auto"/>
          <w:sz w:val="28"/>
          <w:szCs w:val="28"/>
        </w:rPr>
        <w:t>年（自2022年09月02日至2027年09月02日）</w:t>
      </w:r>
    </w:p>
    <w:p w14:paraId="5FBB67E6">
      <w:pPr>
        <w:bidi w:val="0"/>
        <w:rPr>
          <w:rFonts w:ascii="宋体" w:hAnsi="宋体" w:cs="宋体"/>
          <w:color w:val="auto"/>
          <w:sz w:val="28"/>
          <w:szCs w:val="28"/>
        </w:rPr>
      </w:pPr>
      <w:r>
        <w:rPr>
          <w:rFonts w:hint="eastAsia" w:ascii="宋体" w:hAnsi="宋体" w:cs="宋体"/>
          <w:color w:val="auto"/>
          <w:sz w:val="28"/>
          <w:szCs w:val="28"/>
          <w:lang w:val="en-US" w:eastAsia="zh-CN"/>
        </w:rPr>
        <w:t>发证单位：</w:t>
      </w:r>
      <w:r>
        <w:rPr>
          <w:rFonts w:hint="eastAsia" w:ascii="宋体" w:hAnsi="宋体" w:cs="宋体"/>
          <w:color w:val="auto"/>
          <w:sz w:val="28"/>
          <w:szCs w:val="28"/>
        </w:rPr>
        <w:t>元谋县</w:t>
      </w:r>
      <w:r>
        <w:rPr>
          <w:rFonts w:ascii="宋体" w:hAnsi="宋体" w:cs="宋体"/>
          <w:color w:val="auto"/>
          <w:sz w:val="28"/>
          <w:szCs w:val="28"/>
        </w:rPr>
        <w:t>自然资源局</w:t>
      </w:r>
    </w:p>
    <w:p w14:paraId="70A9AC57">
      <w:pPr>
        <w:bidi w:val="0"/>
        <w:rPr>
          <w:rFonts w:hint="eastAsia" w:ascii="宋体" w:hAnsi="宋体" w:eastAsia="宋体" w:cs="宋体"/>
          <w:color w:val="auto"/>
          <w:sz w:val="28"/>
          <w:szCs w:val="28"/>
          <w:lang w:val="en-US" w:eastAsia="zh-CN"/>
        </w:rPr>
      </w:pPr>
      <w:r>
        <w:rPr>
          <w:rFonts w:hint="eastAsia" w:ascii="宋体" w:hAnsi="宋体" w:cs="宋体"/>
          <w:color w:val="auto"/>
          <w:sz w:val="28"/>
        </w:rPr>
        <w:t>矿区范围由6个拐点圈定</w:t>
      </w:r>
      <w:r>
        <w:rPr>
          <w:rFonts w:hint="eastAsia" w:ascii="宋体" w:hAnsi="宋体" w:cs="宋体"/>
          <w:color w:val="auto"/>
          <w:sz w:val="28"/>
          <w:lang w:eastAsia="zh-CN"/>
        </w:rPr>
        <w:t>，</w:t>
      </w:r>
      <w:r>
        <w:rPr>
          <w:rFonts w:hint="eastAsia" w:ascii="宋体" w:hAnsi="宋体"/>
          <w:color w:val="000000" w:themeColor="text1"/>
          <w:sz w:val="28"/>
          <w:szCs w:val="28"/>
          <w14:textFill>
            <w14:solidFill>
              <w14:schemeClr w14:val="tx1"/>
            </w14:solidFill>
          </w14:textFill>
        </w:rPr>
        <w:t>开采标高</w:t>
      </w:r>
      <w:r>
        <w:rPr>
          <w:rFonts w:hint="eastAsia" w:ascii="宋体" w:hAnsi="宋体" w:eastAsia="宋体" w:cs="宋体"/>
          <w:color w:val="auto"/>
          <w:kern w:val="0"/>
          <w:sz w:val="24"/>
        </w:rPr>
        <w:t>1113m～1035m</w:t>
      </w:r>
      <w:r>
        <w:rPr>
          <w:rFonts w:hint="eastAsia" w:ascii="宋体" w:hAnsi="宋体"/>
          <w:color w:val="000000" w:themeColor="text1"/>
          <w:sz w:val="28"/>
          <w:szCs w:val="28"/>
          <w14:textFill>
            <w14:solidFill>
              <w14:schemeClr w14:val="tx1"/>
            </w14:solidFill>
          </w14:textFill>
        </w:rPr>
        <w:t>，拐点坐标详见表2-</w:t>
      </w:r>
      <w:r>
        <w:rPr>
          <w:rFonts w:hint="eastAsia" w:ascii="宋体" w:hAnsi="宋体"/>
          <w:color w:val="000000" w:themeColor="text1"/>
          <w:sz w:val="28"/>
          <w:szCs w:val="28"/>
          <w:lang w:val="en-US" w:eastAsia="zh-CN"/>
          <w14:textFill>
            <w14:solidFill>
              <w14:schemeClr w14:val="tx1"/>
            </w14:solidFill>
          </w14:textFill>
        </w:rPr>
        <w:t>1</w:t>
      </w:r>
      <w:r>
        <w:rPr>
          <w:rFonts w:hint="eastAsia" w:asciiTheme="minorEastAsia" w:hAnsiTheme="minorEastAsia" w:cstheme="minorEastAsia"/>
          <w:color w:val="000000" w:themeColor="text1"/>
          <w:sz w:val="28"/>
          <w:szCs w:val="28"/>
          <w14:textFill>
            <w14:solidFill>
              <w14:schemeClr w14:val="tx1"/>
            </w14:solidFill>
          </w14:textFill>
        </w:rPr>
        <w:t>。</w:t>
      </w:r>
    </w:p>
    <w:p w14:paraId="1CDC7C61">
      <w:pPr>
        <w:pStyle w:val="4"/>
        <w:bidi w:val="0"/>
        <w:rPr>
          <w:rFonts w:hint="default"/>
          <w:lang w:val="en-US" w:eastAsia="zh-CN"/>
        </w:rPr>
      </w:pPr>
      <w:bookmarkStart w:id="66" w:name="_Toc27240"/>
      <w:bookmarkStart w:id="67" w:name="_Toc121748275"/>
      <w:r>
        <w:t>建设单位</w:t>
      </w:r>
      <w:r>
        <w:rPr>
          <w:rFonts w:hint="eastAsia"/>
        </w:rPr>
        <w:t>历史沿革</w:t>
      </w:r>
      <w:bookmarkEnd w:id="66"/>
      <w:bookmarkEnd w:id="67"/>
    </w:p>
    <w:p w14:paraId="2C1D82C5">
      <w:pPr>
        <w:bidi w:val="0"/>
        <w:rPr>
          <w:rFonts w:hint="eastAsia" w:eastAsia="宋体"/>
          <w:lang w:eastAsia="zh-CN"/>
        </w:rPr>
      </w:pPr>
      <w:r>
        <w:rPr>
          <w:rFonts w:hint="eastAsia" w:ascii="宋体" w:hAnsi="宋体" w:cs="宋体"/>
          <w:color w:val="auto"/>
          <w:sz w:val="28"/>
          <w:szCs w:val="28"/>
        </w:rPr>
        <w:t>元谋县大物茂乡大物茂砂厂为老矿山，矿业权设置方案划定矿区范围已通过各部门的联勘联审及相关规划审查会签。元谋县大物茂砂厂始建于2009年8月</w:t>
      </w:r>
      <w:r>
        <w:rPr>
          <w:rFonts w:hint="eastAsia" w:ascii="宋体" w:hAnsi="宋体" w:cs="宋体"/>
          <w:color w:val="auto"/>
          <w:sz w:val="28"/>
          <w:szCs w:val="28"/>
          <w:lang w:eastAsia="zh-CN"/>
        </w:rPr>
        <w:t>，</w:t>
      </w:r>
      <w:r>
        <w:rPr>
          <w:rFonts w:hint="eastAsia" w:ascii="宋体" w:hAnsi="宋体" w:cs="宋体"/>
          <w:color w:val="auto"/>
          <w:sz w:val="28"/>
          <w:szCs w:val="28"/>
        </w:rPr>
        <w:t>厂区面积0.0030km²</w:t>
      </w:r>
      <w:r>
        <w:rPr>
          <w:rFonts w:hint="eastAsia" w:ascii="宋体" w:hAnsi="宋体" w:cs="宋体"/>
          <w:color w:val="auto"/>
          <w:sz w:val="28"/>
          <w:szCs w:val="28"/>
          <w:lang w:eastAsia="zh-CN"/>
        </w:rPr>
        <w:t>，</w:t>
      </w:r>
      <w:r>
        <w:rPr>
          <w:rFonts w:hint="eastAsia" w:ascii="宋体" w:hAnsi="宋体" w:cs="宋体"/>
          <w:color w:val="auto"/>
          <w:sz w:val="28"/>
          <w:szCs w:val="28"/>
        </w:rPr>
        <w:t>开采标高1097</w:t>
      </w:r>
      <w:r>
        <w:rPr>
          <w:rFonts w:hint="eastAsia" w:ascii="宋体" w:hAnsi="宋体" w:cs="宋体"/>
          <w:color w:val="auto"/>
          <w:sz w:val="28"/>
          <w:szCs w:val="28"/>
          <w:lang w:eastAsia="zh-CN"/>
        </w:rPr>
        <w:t>—</w:t>
      </w:r>
      <w:r>
        <w:rPr>
          <w:rFonts w:hint="eastAsia" w:ascii="宋体" w:hAnsi="宋体" w:cs="宋体"/>
          <w:color w:val="auto"/>
          <w:sz w:val="28"/>
          <w:szCs w:val="28"/>
        </w:rPr>
        <w:t>1070m</w:t>
      </w:r>
      <w:r>
        <w:rPr>
          <w:rFonts w:hint="eastAsia" w:ascii="宋体" w:hAnsi="宋体" w:cs="宋体"/>
          <w:color w:val="auto"/>
          <w:sz w:val="28"/>
          <w:szCs w:val="28"/>
          <w:lang w:eastAsia="zh-CN"/>
        </w:rPr>
        <w:t>，</w:t>
      </w:r>
      <w:r>
        <w:rPr>
          <w:rFonts w:hint="eastAsia" w:ascii="宋体" w:hAnsi="宋体" w:cs="宋体"/>
          <w:color w:val="auto"/>
          <w:sz w:val="28"/>
          <w:szCs w:val="28"/>
        </w:rPr>
        <w:t>开采矿种为建筑用砂，开采方式为露天开采，生产规模为0.5万m³/a</w:t>
      </w:r>
      <w:r>
        <w:rPr>
          <w:rFonts w:hint="eastAsia" w:ascii="宋体" w:hAnsi="宋体" w:cs="宋体"/>
          <w:color w:val="auto"/>
          <w:sz w:val="28"/>
          <w:szCs w:val="28"/>
          <w:lang w:eastAsia="zh-CN"/>
        </w:rPr>
        <w:t>，</w:t>
      </w:r>
      <w:r>
        <w:rPr>
          <w:rFonts w:hint="eastAsia" w:ascii="宋体" w:hAnsi="宋体" w:cs="宋体"/>
          <w:color w:val="auto"/>
          <w:sz w:val="28"/>
          <w:szCs w:val="28"/>
        </w:rPr>
        <w:t>有限期限</w:t>
      </w:r>
      <w:r>
        <w:rPr>
          <w:rFonts w:hint="eastAsia" w:ascii="宋体" w:hAnsi="宋体" w:cs="宋体"/>
          <w:color w:val="auto"/>
          <w:sz w:val="28"/>
          <w:szCs w:val="28"/>
          <w:lang w:eastAsia="zh-CN"/>
        </w:rPr>
        <w:t>：</w:t>
      </w:r>
      <w:r>
        <w:rPr>
          <w:rFonts w:hint="eastAsia" w:ascii="宋体" w:hAnsi="宋体" w:cs="宋体"/>
          <w:color w:val="auto"/>
          <w:sz w:val="28"/>
          <w:szCs w:val="28"/>
        </w:rPr>
        <w:t>伍年</w:t>
      </w:r>
      <w:r>
        <w:rPr>
          <w:rFonts w:hint="eastAsia" w:ascii="宋体" w:hAnsi="宋体" w:cs="宋体"/>
          <w:color w:val="auto"/>
          <w:sz w:val="28"/>
          <w:szCs w:val="28"/>
          <w:lang w:eastAsia="zh-CN"/>
        </w:rPr>
        <w:t>（</w:t>
      </w:r>
      <w:r>
        <w:rPr>
          <w:rFonts w:hint="eastAsia" w:ascii="宋体" w:hAnsi="宋体" w:cs="宋体"/>
          <w:color w:val="auto"/>
          <w:sz w:val="28"/>
          <w:szCs w:val="28"/>
        </w:rPr>
        <w:t>2010年1月26日</w:t>
      </w:r>
      <w:r>
        <w:rPr>
          <w:rFonts w:hint="eastAsia" w:ascii="宋体" w:hAnsi="宋体" w:cs="宋体"/>
          <w:color w:val="auto"/>
          <w:sz w:val="28"/>
          <w:szCs w:val="28"/>
          <w:lang w:eastAsia="zh-CN"/>
        </w:rPr>
        <w:t>—</w:t>
      </w:r>
      <w:r>
        <w:rPr>
          <w:rFonts w:hint="eastAsia" w:ascii="宋体" w:hAnsi="宋体" w:cs="宋体"/>
          <w:color w:val="auto"/>
          <w:sz w:val="28"/>
          <w:szCs w:val="28"/>
        </w:rPr>
        <w:t>2015年1月26日</w:t>
      </w:r>
      <w:r>
        <w:rPr>
          <w:rFonts w:hint="eastAsia" w:ascii="宋体" w:hAnsi="宋体" w:cs="宋体"/>
          <w:color w:val="auto"/>
          <w:sz w:val="28"/>
          <w:szCs w:val="28"/>
          <w:lang w:eastAsia="zh-CN"/>
        </w:rPr>
        <w:t>）</w:t>
      </w:r>
      <w:r>
        <w:rPr>
          <w:rFonts w:hint="eastAsia" w:ascii="宋体" w:hAnsi="宋体" w:cs="宋体"/>
          <w:color w:val="auto"/>
          <w:sz w:val="28"/>
          <w:szCs w:val="28"/>
        </w:rPr>
        <w:t>；2013年矿山又进行了采矿许可证变更及延续，矿区面积变更为0.0532km²</w:t>
      </w:r>
      <w:r>
        <w:rPr>
          <w:rFonts w:hint="eastAsia" w:ascii="宋体" w:hAnsi="宋体" w:cs="宋体"/>
          <w:color w:val="auto"/>
          <w:sz w:val="28"/>
          <w:szCs w:val="28"/>
          <w:lang w:eastAsia="zh-CN"/>
        </w:rPr>
        <w:t>，</w:t>
      </w:r>
      <w:r>
        <w:rPr>
          <w:rFonts w:hint="eastAsia" w:ascii="宋体" w:hAnsi="宋体" w:cs="宋体"/>
          <w:color w:val="auto"/>
          <w:sz w:val="28"/>
          <w:szCs w:val="28"/>
        </w:rPr>
        <w:t>开采标高变更为1113</w:t>
      </w:r>
      <w:r>
        <w:rPr>
          <w:rFonts w:hint="eastAsia" w:ascii="宋体" w:hAnsi="宋体" w:cs="宋体"/>
          <w:color w:val="auto"/>
          <w:sz w:val="28"/>
          <w:szCs w:val="28"/>
          <w:lang w:eastAsia="zh-CN"/>
        </w:rPr>
        <w:t>—</w:t>
      </w:r>
      <w:r>
        <w:rPr>
          <w:rFonts w:hint="eastAsia" w:ascii="宋体" w:hAnsi="宋体" w:cs="宋体"/>
          <w:color w:val="auto"/>
          <w:sz w:val="28"/>
          <w:szCs w:val="28"/>
        </w:rPr>
        <w:t>1035m</w:t>
      </w:r>
      <w:r>
        <w:rPr>
          <w:rFonts w:hint="eastAsia" w:ascii="宋体" w:hAnsi="宋体" w:cs="宋体"/>
          <w:color w:val="auto"/>
          <w:sz w:val="28"/>
          <w:szCs w:val="28"/>
          <w:lang w:eastAsia="zh-CN"/>
        </w:rPr>
        <w:t>，</w:t>
      </w:r>
      <w:r>
        <w:rPr>
          <w:rFonts w:hint="eastAsia" w:ascii="宋体" w:hAnsi="宋体" w:cs="宋体"/>
          <w:color w:val="auto"/>
          <w:sz w:val="28"/>
          <w:szCs w:val="28"/>
        </w:rPr>
        <w:t>生产规模变更为3.0万m³/a</w:t>
      </w:r>
      <w:r>
        <w:rPr>
          <w:rFonts w:hint="eastAsia" w:ascii="宋体" w:hAnsi="宋体" w:cs="宋体"/>
          <w:color w:val="auto"/>
          <w:sz w:val="28"/>
          <w:szCs w:val="28"/>
          <w:lang w:eastAsia="zh-CN"/>
        </w:rPr>
        <w:t>，</w:t>
      </w:r>
      <w:r>
        <w:rPr>
          <w:rFonts w:hint="eastAsia" w:ascii="宋体" w:hAnsi="宋体" w:cs="宋体"/>
          <w:color w:val="auto"/>
          <w:sz w:val="28"/>
          <w:szCs w:val="28"/>
        </w:rPr>
        <w:t>有效期限</w:t>
      </w:r>
      <w:r>
        <w:rPr>
          <w:rFonts w:hint="eastAsia" w:ascii="宋体" w:hAnsi="宋体" w:cs="宋体"/>
          <w:color w:val="auto"/>
          <w:sz w:val="28"/>
          <w:szCs w:val="28"/>
          <w:lang w:eastAsia="zh-CN"/>
        </w:rPr>
        <w:t>：</w:t>
      </w:r>
      <w:r>
        <w:rPr>
          <w:rFonts w:hint="eastAsia" w:ascii="宋体" w:hAnsi="宋体" w:cs="宋体"/>
          <w:color w:val="auto"/>
          <w:sz w:val="28"/>
          <w:szCs w:val="28"/>
        </w:rPr>
        <w:t>伍年</w:t>
      </w:r>
      <w:r>
        <w:rPr>
          <w:rFonts w:hint="eastAsia" w:ascii="宋体" w:hAnsi="宋体" w:cs="宋体"/>
          <w:color w:val="auto"/>
          <w:sz w:val="28"/>
          <w:szCs w:val="28"/>
          <w:lang w:eastAsia="zh-CN"/>
        </w:rPr>
        <w:t>（</w:t>
      </w:r>
      <w:r>
        <w:rPr>
          <w:rFonts w:hint="eastAsia" w:ascii="宋体" w:hAnsi="宋体" w:cs="宋体"/>
          <w:color w:val="auto"/>
          <w:sz w:val="28"/>
          <w:szCs w:val="28"/>
        </w:rPr>
        <w:t>2013年11月7日</w:t>
      </w:r>
      <w:r>
        <w:rPr>
          <w:rFonts w:hint="eastAsia" w:ascii="宋体" w:hAnsi="宋体" w:cs="宋体"/>
          <w:color w:val="auto"/>
          <w:sz w:val="28"/>
          <w:szCs w:val="28"/>
          <w:lang w:eastAsia="zh-CN"/>
        </w:rPr>
        <w:t>—2018年</w:t>
      </w:r>
      <w:r>
        <w:rPr>
          <w:rFonts w:hint="eastAsia" w:ascii="宋体" w:hAnsi="宋体" w:cs="宋体"/>
          <w:color w:val="auto"/>
          <w:sz w:val="28"/>
          <w:szCs w:val="28"/>
        </w:rPr>
        <w:t>11月7日</w:t>
      </w:r>
      <w:r>
        <w:rPr>
          <w:rFonts w:hint="eastAsia" w:ascii="宋体" w:hAnsi="宋体" w:cs="宋体"/>
          <w:color w:val="auto"/>
          <w:sz w:val="28"/>
          <w:szCs w:val="28"/>
          <w:lang w:eastAsia="zh-CN"/>
        </w:rPr>
        <w:t>）</w:t>
      </w:r>
      <w:r>
        <w:rPr>
          <w:rFonts w:hint="eastAsia" w:ascii="宋体" w:hAnsi="宋体" w:cs="宋体"/>
          <w:color w:val="auto"/>
          <w:sz w:val="28"/>
          <w:szCs w:val="28"/>
        </w:rPr>
        <w:t>。2022年由于</w:t>
      </w:r>
      <w:r>
        <w:rPr>
          <w:rFonts w:ascii="宋体" w:hAnsi="宋体" w:cs="宋体"/>
          <w:color w:val="auto"/>
          <w:sz w:val="28"/>
          <w:szCs w:val="28"/>
        </w:rPr>
        <w:t>扩大生产规模</w:t>
      </w:r>
      <w:r>
        <w:rPr>
          <w:rFonts w:hint="eastAsia" w:ascii="宋体" w:hAnsi="宋体" w:cs="宋体"/>
          <w:color w:val="auto"/>
          <w:sz w:val="28"/>
          <w:szCs w:val="28"/>
        </w:rPr>
        <w:t>，元谋县</w:t>
      </w:r>
      <w:r>
        <w:rPr>
          <w:rFonts w:ascii="宋体" w:hAnsi="宋体" w:cs="宋体"/>
          <w:color w:val="auto"/>
          <w:sz w:val="28"/>
          <w:szCs w:val="28"/>
        </w:rPr>
        <w:t>自然资源局</w:t>
      </w:r>
      <w:r>
        <w:rPr>
          <w:rFonts w:hint="eastAsia" w:ascii="宋体" w:hAnsi="宋体" w:cs="宋体"/>
          <w:color w:val="auto"/>
          <w:sz w:val="28"/>
          <w:szCs w:val="28"/>
        </w:rPr>
        <w:t>在2022年09月02日重新颁发新采矿许可证（证号：C53232801001730055811），矿区面积：0.0532km²</w:t>
      </w:r>
      <w:r>
        <w:rPr>
          <w:rFonts w:ascii="宋体" w:hAnsi="宋体" w:cs="宋体"/>
          <w:color w:val="auto"/>
          <w:sz w:val="28"/>
          <w:szCs w:val="28"/>
        </w:rPr>
        <w:t>，</w:t>
      </w:r>
      <w:r>
        <w:rPr>
          <w:rFonts w:hint="eastAsia" w:ascii="宋体" w:hAnsi="宋体" w:cs="宋体"/>
          <w:color w:val="auto"/>
          <w:sz w:val="28"/>
          <w:szCs w:val="28"/>
        </w:rPr>
        <w:t>生产规模：10.0万t/a，</w:t>
      </w:r>
      <w:r>
        <w:rPr>
          <w:rFonts w:hint="eastAsia" w:ascii="宋体" w:hAnsi="宋体" w:cs="宋体"/>
          <w:color w:val="auto"/>
          <w:sz w:val="28"/>
        </w:rPr>
        <w:t>开采标高：</w:t>
      </w:r>
      <w:r>
        <w:rPr>
          <w:rFonts w:hint="eastAsia" w:ascii="宋体" w:hAnsi="宋体" w:cs="宋体"/>
          <w:color w:val="auto"/>
          <w:sz w:val="28"/>
          <w:szCs w:val="28"/>
        </w:rPr>
        <w:t>1113m～1035m</w:t>
      </w:r>
      <w:r>
        <w:rPr>
          <w:rFonts w:hint="eastAsia" w:ascii="宋体" w:hAnsi="宋体" w:cs="宋体"/>
          <w:color w:val="auto"/>
          <w:sz w:val="28"/>
        </w:rPr>
        <w:t>，开采矿种：建筑用砂，开采方式：露天开采，有效期限：伍</w:t>
      </w:r>
      <w:r>
        <w:rPr>
          <w:rFonts w:hint="eastAsia" w:ascii="宋体" w:hAnsi="宋体" w:cs="宋体"/>
          <w:color w:val="auto"/>
          <w:sz w:val="28"/>
          <w:szCs w:val="28"/>
        </w:rPr>
        <w:t>年（自2022年09月02日至2027年09月02日）</w:t>
      </w:r>
      <w:r>
        <w:rPr>
          <w:rFonts w:hint="eastAsia" w:ascii="宋体" w:hAnsi="宋体" w:cs="宋体"/>
          <w:color w:val="auto"/>
          <w:sz w:val="28"/>
        </w:rPr>
        <w:t>，矿区范围由6个拐点圈定</w:t>
      </w:r>
      <w:r>
        <w:rPr>
          <w:rFonts w:hint="eastAsia" w:ascii="宋体" w:hAnsi="宋体" w:cs="宋体"/>
          <w:color w:val="auto"/>
          <w:sz w:val="28"/>
          <w:lang w:eastAsia="zh-CN"/>
        </w:rPr>
        <w:t>。</w:t>
      </w:r>
      <w:r>
        <w:rPr>
          <w:rFonts w:hint="eastAsia"/>
        </w:rPr>
        <w:t>（详见表</w:t>
      </w:r>
      <w:r>
        <w:rPr>
          <w:rFonts w:hint="eastAsia"/>
          <w:lang w:val="en-US" w:eastAsia="zh-CN"/>
        </w:rPr>
        <w:t>2</w:t>
      </w:r>
      <w:r>
        <w:rPr>
          <w:rFonts w:hint="eastAsia"/>
        </w:rPr>
        <w:t>-1）</w:t>
      </w:r>
    </w:p>
    <w:p w14:paraId="5C9B5E07">
      <w:pPr>
        <w:pStyle w:val="11"/>
        <w:ind w:left="0" w:leftChars="0" w:firstLine="0" w:firstLineChars="0"/>
        <w:jc w:val="center"/>
        <w:rPr>
          <w:rFonts w:hint="eastAsia" w:eastAsia="宋体" w:cs="Times New Roman"/>
          <w:lang w:eastAsia="zh-CN"/>
        </w:rPr>
      </w:pPr>
      <w:r>
        <w:rPr>
          <w:rFonts w:cs="Times New Roman"/>
        </w:rPr>
        <w:t xml:space="preserve">表 </w:t>
      </w:r>
      <w:r>
        <w:rPr>
          <w:rFonts w:cs="Times New Roman"/>
        </w:rPr>
        <w:fldChar w:fldCharType="begin"/>
      </w:r>
      <w:r>
        <w:rPr>
          <w:rFonts w:cs="Times New Roman"/>
        </w:rPr>
        <w:instrText xml:space="preserve"> STYLEREF 1 \s </w:instrText>
      </w:r>
      <w:r>
        <w:rPr>
          <w:rFonts w:cs="Times New Roman"/>
        </w:rPr>
        <w:fldChar w:fldCharType="separate"/>
      </w:r>
      <w:r>
        <w:rPr>
          <w:rFonts w:cs="Times New Roman"/>
        </w:rPr>
        <w:t>2</w:t>
      </w:r>
      <w:r>
        <w:rPr>
          <w:rFonts w:cs="Times New Roman"/>
        </w:rPr>
        <w:fldChar w:fldCharType="end"/>
      </w:r>
      <w:r>
        <w:rPr>
          <w:rFonts w:hint="eastAsia" w:cs="Times New Roman"/>
          <w:lang w:eastAsia="zh-CN"/>
        </w:rPr>
        <w:t>-</w:t>
      </w:r>
      <w:r>
        <w:rPr>
          <w:rFonts w:cs="Times New Roman"/>
        </w:rPr>
        <w:fldChar w:fldCharType="begin"/>
      </w:r>
      <w:r>
        <w:rPr>
          <w:rFonts w:cs="Times New Roman"/>
        </w:rPr>
        <w:instrText xml:space="preserve"> SEQ 表 \* ARABIC \s 1 </w:instrText>
      </w:r>
      <w:r>
        <w:rPr>
          <w:rFonts w:cs="Times New Roman"/>
        </w:rPr>
        <w:fldChar w:fldCharType="separate"/>
      </w:r>
      <w:r>
        <w:rPr>
          <w:rFonts w:cs="Times New Roman"/>
        </w:rPr>
        <w:t>1</w:t>
      </w:r>
      <w:r>
        <w:rPr>
          <w:rFonts w:cs="Times New Roman"/>
        </w:rPr>
        <w:fldChar w:fldCharType="end"/>
      </w:r>
      <w:r>
        <w:rPr>
          <w:rFonts w:hint="eastAsia" w:cs="Times New Roman"/>
          <w:lang w:eastAsia="zh-CN"/>
        </w:rPr>
        <w:t xml:space="preserve"> 矿区范围拐点坐标表</w:t>
      </w:r>
    </w:p>
    <w:tbl>
      <w:tblPr>
        <w:tblStyle w:val="2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8"/>
        <w:gridCol w:w="330"/>
        <w:gridCol w:w="1427"/>
        <w:gridCol w:w="1903"/>
        <w:gridCol w:w="890"/>
        <w:gridCol w:w="372"/>
        <w:gridCol w:w="1402"/>
        <w:gridCol w:w="1901"/>
      </w:tblGrid>
      <w:tr w14:paraId="204B1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jc w:val="center"/>
        </w:trPr>
        <w:tc>
          <w:tcPr>
            <w:tcW w:w="487" w:type="pct"/>
            <w:vMerge w:val="restart"/>
            <w:noWrap w:val="0"/>
            <w:vAlign w:val="center"/>
          </w:tcPr>
          <w:p w14:paraId="38917C0D">
            <w:pPr>
              <w:widowControl/>
              <w:spacing w:line="240" w:lineRule="auto"/>
              <w:ind w:firstLine="0" w:firstLineChars="0"/>
              <w:jc w:val="center"/>
              <w:rPr>
                <w:rFonts w:hint="eastAsia" w:ascii="宋体" w:hAnsi="宋体" w:eastAsia="宋体" w:cs="宋体"/>
                <w:b/>
                <w:bCs/>
                <w:color w:val="auto"/>
                <w:kern w:val="0"/>
                <w:sz w:val="24"/>
              </w:rPr>
            </w:pPr>
            <w:r>
              <w:rPr>
                <w:rFonts w:hint="eastAsia" w:ascii="宋体" w:hAnsi="宋体" w:eastAsia="宋体" w:cs="宋体"/>
                <w:b/>
                <w:bCs/>
                <w:color w:val="auto"/>
                <w:kern w:val="0"/>
                <w:sz w:val="24"/>
              </w:rPr>
              <w:t>拐点编号</w:t>
            </w:r>
          </w:p>
        </w:tc>
        <w:tc>
          <w:tcPr>
            <w:tcW w:w="2008" w:type="pct"/>
            <w:gridSpan w:val="3"/>
            <w:noWrap w:val="0"/>
            <w:vAlign w:val="center"/>
          </w:tcPr>
          <w:p w14:paraId="74CC5A83">
            <w:pPr>
              <w:widowControl/>
              <w:spacing w:line="240" w:lineRule="auto"/>
              <w:ind w:firstLine="0" w:firstLineChars="0"/>
              <w:jc w:val="center"/>
              <w:rPr>
                <w:rFonts w:hint="eastAsia" w:ascii="宋体" w:hAnsi="宋体" w:eastAsia="宋体" w:cs="宋体"/>
                <w:b/>
                <w:bCs/>
                <w:color w:val="auto"/>
                <w:kern w:val="0"/>
                <w:sz w:val="24"/>
              </w:rPr>
            </w:pPr>
            <w:r>
              <w:rPr>
                <w:rFonts w:hint="eastAsia" w:ascii="宋体" w:hAnsi="宋体" w:eastAsia="宋体" w:cs="宋体"/>
                <w:b/>
                <w:bCs/>
                <w:color w:val="auto"/>
                <w:kern w:val="0"/>
                <w:sz w:val="24"/>
              </w:rPr>
              <w:t>1980西安坐标系，1985国家高程基准，3°带</w:t>
            </w:r>
          </w:p>
        </w:tc>
        <w:tc>
          <w:tcPr>
            <w:tcW w:w="488" w:type="pct"/>
            <w:vMerge w:val="restart"/>
            <w:noWrap w:val="0"/>
            <w:vAlign w:val="center"/>
          </w:tcPr>
          <w:p w14:paraId="066FAF89">
            <w:pPr>
              <w:widowControl/>
              <w:spacing w:line="240" w:lineRule="auto"/>
              <w:ind w:firstLine="0" w:firstLineChars="0"/>
              <w:jc w:val="center"/>
              <w:rPr>
                <w:rFonts w:hint="eastAsia" w:ascii="宋体" w:hAnsi="宋体" w:eastAsia="宋体" w:cs="宋体"/>
                <w:b/>
                <w:bCs/>
                <w:color w:val="auto"/>
                <w:kern w:val="0"/>
                <w:sz w:val="24"/>
              </w:rPr>
            </w:pPr>
            <w:r>
              <w:rPr>
                <w:rFonts w:hint="eastAsia" w:ascii="宋体" w:hAnsi="宋体" w:eastAsia="宋体" w:cs="宋体"/>
                <w:b/>
                <w:bCs/>
                <w:color w:val="auto"/>
                <w:kern w:val="0"/>
                <w:sz w:val="24"/>
              </w:rPr>
              <w:t>拐点编号</w:t>
            </w:r>
          </w:p>
        </w:tc>
        <w:tc>
          <w:tcPr>
            <w:tcW w:w="2016" w:type="pct"/>
            <w:gridSpan w:val="3"/>
            <w:noWrap w:val="0"/>
            <w:vAlign w:val="center"/>
          </w:tcPr>
          <w:p w14:paraId="048B142B">
            <w:pPr>
              <w:widowControl/>
              <w:spacing w:line="240" w:lineRule="auto"/>
              <w:ind w:firstLine="0" w:firstLineChars="0"/>
              <w:jc w:val="center"/>
              <w:rPr>
                <w:rFonts w:hint="eastAsia" w:ascii="宋体" w:hAnsi="宋体" w:eastAsia="宋体" w:cs="宋体"/>
                <w:b/>
                <w:bCs/>
                <w:color w:val="auto"/>
                <w:kern w:val="0"/>
                <w:sz w:val="24"/>
              </w:rPr>
            </w:pPr>
            <w:r>
              <w:rPr>
                <w:rFonts w:hint="eastAsia" w:ascii="宋体" w:hAnsi="宋体" w:eastAsia="宋体" w:cs="宋体"/>
                <w:b/>
                <w:bCs/>
                <w:color w:val="auto"/>
                <w:kern w:val="0"/>
                <w:sz w:val="24"/>
              </w:rPr>
              <w:t>2000国家大地坐标系，1985国家高程基准，3°带</w:t>
            </w:r>
          </w:p>
        </w:tc>
      </w:tr>
      <w:tr w14:paraId="09DBB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87" w:type="pct"/>
            <w:vMerge w:val="continue"/>
            <w:noWrap w:val="0"/>
            <w:vAlign w:val="center"/>
          </w:tcPr>
          <w:p w14:paraId="5223268D">
            <w:pPr>
              <w:widowControl/>
              <w:spacing w:line="240" w:lineRule="auto"/>
              <w:ind w:firstLine="0" w:firstLineChars="0"/>
              <w:jc w:val="center"/>
              <w:rPr>
                <w:rFonts w:hint="eastAsia" w:ascii="宋体" w:hAnsi="宋体" w:eastAsia="宋体" w:cs="宋体"/>
                <w:b/>
                <w:bCs/>
                <w:color w:val="auto"/>
                <w:kern w:val="0"/>
                <w:sz w:val="24"/>
              </w:rPr>
            </w:pPr>
          </w:p>
        </w:tc>
        <w:tc>
          <w:tcPr>
            <w:tcW w:w="964" w:type="pct"/>
            <w:gridSpan w:val="2"/>
            <w:noWrap w:val="0"/>
            <w:vAlign w:val="center"/>
          </w:tcPr>
          <w:p w14:paraId="086654F6">
            <w:pPr>
              <w:widowControl/>
              <w:spacing w:line="240" w:lineRule="auto"/>
              <w:ind w:firstLine="0" w:firstLineChars="0"/>
              <w:jc w:val="center"/>
              <w:rPr>
                <w:rFonts w:hint="eastAsia" w:ascii="宋体" w:hAnsi="宋体" w:eastAsia="宋体" w:cs="宋体"/>
                <w:b/>
                <w:bCs/>
                <w:color w:val="auto"/>
                <w:kern w:val="0"/>
                <w:sz w:val="24"/>
              </w:rPr>
            </w:pPr>
            <w:r>
              <w:rPr>
                <w:rFonts w:hint="eastAsia" w:ascii="宋体" w:hAnsi="宋体" w:eastAsia="宋体" w:cs="宋体"/>
                <w:b/>
                <w:bCs/>
                <w:color w:val="auto"/>
                <w:kern w:val="0"/>
                <w:sz w:val="24"/>
              </w:rPr>
              <w:t>X</w:t>
            </w:r>
          </w:p>
        </w:tc>
        <w:tc>
          <w:tcPr>
            <w:tcW w:w="1043" w:type="pct"/>
            <w:noWrap w:val="0"/>
            <w:vAlign w:val="center"/>
          </w:tcPr>
          <w:p w14:paraId="69B02A55">
            <w:pPr>
              <w:widowControl/>
              <w:spacing w:line="240" w:lineRule="auto"/>
              <w:ind w:firstLine="0" w:firstLineChars="0"/>
              <w:jc w:val="center"/>
              <w:rPr>
                <w:rFonts w:hint="eastAsia" w:ascii="宋体" w:hAnsi="宋体" w:eastAsia="宋体" w:cs="宋体"/>
                <w:b/>
                <w:bCs/>
                <w:color w:val="auto"/>
                <w:kern w:val="0"/>
                <w:sz w:val="24"/>
              </w:rPr>
            </w:pPr>
            <w:r>
              <w:rPr>
                <w:rFonts w:hint="eastAsia" w:ascii="宋体" w:hAnsi="宋体" w:eastAsia="宋体" w:cs="宋体"/>
                <w:b/>
                <w:bCs/>
                <w:color w:val="auto"/>
                <w:kern w:val="0"/>
                <w:sz w:val="24"/>
              </w:rPr>
              <w:t>Y</w:t>
            </w:r>
          </w:p>
        </w:tc>
        <w:tc>
          <w:tcPr>
            <w:tcW w:w="488" w:type="pct"/>
            <w:vMerge w:val="continue"/>
            <w:noWrap w:val="0"/>
            <w:vAlign w:val="center"/>
          </w:tcPr>
          <w:p w14:paraId="6A8B040E">
            <w:pPr>
              <w:widowControl/>
              <w:spacing w:line="240" w:lineRule="auto"/>
              <w:ind w:firstLine="0" w:firstLineChars="0"/>
              <w:jc w:val="center"/>
              <w:rPr>
                <w:rFonts w:hint="eastAsia" w:ascii="宋体" w:hAnsi="宋体" w:eastAsia="宋体" w:cs="宋体"/>
                <w:b/>
                <w:bCs/>
                <w:color w:val="auto"/>
                <w:kern w:val="0"/>
                <w:sz w:val="24"/>
              </w:rPr>
            </w:pPr>
          </w:p>
        </w:tc>
        <w:tc>
          <w:tcPr>
            <w:tcW w:w="973" w:type="pct"/>
            <w:gridSpan w:val="2"/>
            <w:noWrap w:val="0"/>
            <w:vAlign w:val="center"/>
          </w:tcPr>
          <w:p w14:paraId="7C2D2E98">
            <w:pPr>
              <w:widowControl/>
              <w:spacing w:line="240" w:lineRule="auto"/>
              <w:ind w:firstLine="0" w:firstLineChars="0"/>
              <w:jc w:val="center"/>
              <w:rPr>
                <w:rFonts w:hint="eastAsia" w:ascii="宋体" w:hAnsi="宋体" w:eastAsia="宋体" w:cs="宋体"/>
                <w:b/>
                <w:bCs/>
                <w:color w:val="auto"/>
                <w:kern w:val="0"/>
                <w:sz w:val="24"/>
              </w:rPr>
            </w:pPr>
            <w:r>
              <w:rPr>
                <w:rFonts w:hint="eastAsia" w:ascii="宋体" w:hAnsi="宋体" w:eastAsia="宋体" w:cs="宋体"/>
                <w:b/>
                <w:bCs/>
                <w:color w:val="auto"/>
                <w:kern w:val="0"/>
                <w:sz w:val="24"/>
              </w:rPr>
              <w:t>X</w:t>
            </w:r>
          </w:p>
        </w:tc>
        <w:tc>
          <w:tcPr>
            <w:tcW w:w="1042" w:type="pct"/>
            <w:noWrap w:val="0"/>
            <w:vAlign w:val="center"/>
          </w:tcPr>
          <w:p w14:paraId="2C1379F2">
            <w:pPr>
              <w:widowControl/>
              <w:spacing w:line="240" w:lineRule="auto"/>
              <w:ind w:firstLine="0" w:firstLineChars="0"/>
              <w:jc w:val="center"/>
              <w:rPr>
                <w:rFonts w:hint="eastAsia" w:ascii="宋体" w:hAnsi="宋体" w:eastAsia="宋体" w:cs="宋体"/>
                <w:b/>
                <w:bCs/>
                <w:color w:val="auto"/>
                <w:kern w:val="0"/>
                <w:sz w:val="24"/>
              </w:rPr>
            </w:pPr>
            <w:r>
              <w:rPr>
                <w:rFonts w:hint="eastAsia" w:ascii="宋体" w:hAnsi="宋体" w:eastAsia="宋体" w:cs="宋体"/>
                <w:b/>
                <w:bCs/>
                <w:color w:val="auto"/>
                <w:kern w:val="0"/>
                <w:sz w:val="24"/>
              </w:rPr>
              <w:t>Y</w:t>
            </w:r>
          </w:p>
        </w:tc>
      </w:tr>
      <w:tr w14:paraId="5565F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87" w:type="pct"/>
            <w:noWrap w:val="0"/>
            <w:vAlign w:val="center"/>
          </w:tcPr>
          <w:p w14:paraId="5F0619B2">
            <w:pPr>
              <w:widowControl/>
              <w:spacing w:line="240" w:lineRule="auto"/>
              <w:ind w:firstLine="0" w:firstLineChars="0"/>
              <w:jc w:val="center"/>
              <w:rPr>
                <w:rFonts w:hint="eastAsia" w:ascii="宋体" w:hAnsi="宋体" w:eastAsia="宋体" w:cs="宋体"/>
                <w:b/>
                <w:bCs/>
                <w:color w:val="auto"/>
                <w:kern w:val="0"/>
                <w:sz w:val="24"/>
              </w:rPr>
            </w:pPr>
            <w:r>
              <w:rPr>
                <w:rFonts w:hint="eastAsia" w:ascii="宋体" w:hAnsi="宋体" w:eastAsia="宋体" w:cs="宋体"/>
                <w:b/>
                <w:bCs/>
                <w:color w:val="auto"/>
                <w:kern w:val="0"/>
                <w:sz w:val="24"/>
              </w:rPr>
              <w:t>矿1</w:t>
            </w:r>
          </w:p>
        </w:tc>
        <w:tc>
          <w:tcPr>
            <w:tcW w:w="964" w:type="pct"/>
            <w:gridSpan w:val="2"/>
            <w:noWrap w:val="0"/>
            <w:vAlign w:val="center"/>
          </w:tcPr>
          <w:p w14:paraId="7C5CB85C">
            <w:pPr>
              <w:adjustRightInd w:val="0"/>
              <w:snapToGrid w:val="0"/>
              <w:spacing w:line="240" w:lineRule="auto"/>
              <w:ind w:firstLine="0" w:firstLineChars="0"/>
              <w:jc w:val="center"/>
              <w:rPr>
                <w:rFonts w:hint="eastAsia" w:ascii="宋体" w:hAnsi="宋体" w:eastAsia="宋体" w:cs="宋体"/>
                <w:color w:val="auto"/>
                <w:sz w:val="24"/>
              </w:rPr>
            </w:pPr>
            <w:r>
              <w:rPr>
                <w:rFonts w:hint="eastAsia" w:ascii="宋体" w:hAnsi="宋体" w:eastAsia="宋体" w:cs="宋体"/>
                <w:color w:val="auto"/>
                <w:sz w:val="24"/>
              </w:rPr>
              <w:t>2863882.84</w:t>
            </w:r>
          </w:p>
          <w:p w14:paraId="47B4A7EB">
            <w:pPr>
              <w:widowControl/>
              <w:spacing w:line="240" w:lineRule="auto"/>
              <w:ind w:firstLine="0" w:firstLineChars="0"/>
              <w:jc w:val="center"/>
              <w:rPr>
                <w:rFonts w:hint="eastAsia" w:ascii="宋体" w:hAnsi="宋体" w:eastAsia="宋体" w:cs="宋体"/>
                <w:color w:val="auto"/>
                <w:kern w:val="0"/>
                <w:sz w:val="24"/>
              </w:rPr>
            </w:pPr>
          </w:p>
        </w:tc>
        <w:tc>
          <w:tcPr>
            <w:tcW w:w="1043" w:type="pct"/>
            <w:noWrap w:val="0"/>
            <w:vAlign w:val="center"/>
          </w:tcPr>
          <w:p w14:paraId="4886D2E7">
            <w:pPr>
              <w:adjustRightInd w:val="0"/>
              <w:snapToGrid w:val="0"/>
              <w:spacing w:line="240" w:lineRule="auto"/>
              <w:ind w:firstLine="0" w:firstLineChars="0"/>
              <w:jc w:val="center"/>
              <w:rPr>
                <w:rFonts w:hint="eastAsia" w:ascii="宋体" w:hAnsi="宋体" w:eastAsia="宋体" w:cs="宋体"/>
                <w:color w:val="auto"/>
                <w:sz w:val="24"/>
              </w:rPr>
            </w:pPr>
            <w:r>
              <w:rPr>
                <w:rFonts w:hint="eastAsia" w:ascii="宋体" w:hAnsi="宋体" w:eastAsia="宋体" w:cs="宋体"/>
                <w:color w:val="auto"/>
                <w:sz w:val="24"/>
              </w:rPr>
              <w:t>34478878.86</w:t>
            </w:r>
          </w:p>
          <w:p w14:paraId="0973AA8E">
            <w:pPr>
              <w:widowControl/>
              <w:spacing w:line="240" w:lineRule="auto"/>
              <w:ind w:firstLine="0" w:firstLineChars="0"/>
              <w:jc w:val="center"/>
              <w:rPr>
                <w:rFonts w:hint="eastAsia" w:ascii="宋体" w:hAnsi="宋体" w:eastAsia="宋体" w:cs="宋体"/>
                <w:color w:val="auto"/>
                <w:kern w:val="0"/>
                <w:sz w:val="24"/>
              </w:rPr>
            </w:pPr>
          </w:p>
        </w:tc>
        <w:tc>
          <w:tcPr>
            <w:tcW w:w="488" w:type="pct"/>
            <w:noWrap w:val="0"/>
            <w:vAlign w:val="center"/>
          </w:tcPr>
          <w:p w14:paraId="3E437A6E">
            <w:pPr>
              <w:widowControl/>
              <w:spacing w:line="240" w:lineRule="auto"/>
              <w:ind w:firstLine="0" w:firstLineChars="0"/>
              <w:jc w:val="center"/>
              <w:rPr>
                <w:rFonts w:hint="eastAsia" w:ascii="宋体" w:hAnsi="宋体" w:eastAsia="宋体" w:cs="宋体"/>
                <w:color w:val="auto"/>
                <w:kern w:val="0"/>
                <w:sz w:val="24"/>
              </w:rPr>
            </w:pPr>
            <w:r>
              <w:rPr>
                <w:rFonts w:hint="eastAsia" w:ascii="宋体" w:hAnsi="宋体" w:eastAsia="宋体" w:cs="宋体"/>
                <w:color w:val="auto"/>
                <w:kern w:val="0"/>
                <w:sz w:val="24"/>
              </w:rPr>
              <w:t>矿1</w:t>
            </w:r>
          </w:p>
        </w:tc>
        <w:tc>
          <w:tcPr>
            <w:tcW w:w="973" w:type="pct"/>
            <w:gridSpan w:val="2"/>
            <w:noWrap w:val="0"/>
            <w:vAlign w:val="center"/>
          </w:tcPr>
          <w:p w14:paraId="30EA1AF8">
            <w:pPr>
              <w:widowControl/>
              <w:spacing w:line="240" w:lineRule="auto"/>
              <w:ind w:firstLine="0" w:firstLineChars="0"/>
              <w:jc w:val="center"/>
              <w:rPr>
                <w:rFonts w:hint="eastAsia" w:ascii="宋体" w:hAnsi="宋体" w:eastAsia="宋体" w:cs="宋体"/>
                <w:color w:val="auto"/>
                <w:kern w:val="0"/>
                <w:sz w:val="24"/>
              </w:rPr>
            </w:pPr>
            <w:r>
              <w:rPr>
                <w:rFonts w:hint="eastAsia" w:ascii="宋体" w:hAnsi="宋体" w:eastAsia="宋体" w:cs="宋体"/>
                <w:color w:val="auto"/>
                <w:kern w:val="0"/>
                <w:sz w:val="24"/>
              </w:rPr>
              <w:t>2863889.91</w:t>
            </w:r>
          </w:p>
        </w:tc>
        <w:tc>
          <w:tcPr>
            <w:tcW w:w="1042" w:type="pct"/>
            <w:noWrap w:val="0"/>
            <w:vAlign w:val="center"/>
          </w:tcPr>
          <w:p w14:paraId="2EA9D707">
            <w:pPr>
              <w:widowControl/>
              <w:spacing w:line="240" w:lineRule="auto"/>
              <w:ind w:firstLine="0" w:firstLineChars="0"/>
              <w:jc w:val="center"/>
              <w:rPr>
                <w:rFonts w:hint="eastAsia" w:ascii="宋体" w:hAnsi="宋体" w:eastAsia="宋体" w:cs="宋体"/>
                <w:color w:val="auto"/>
                <w:kern w:val="0"/>
                <w:sz w:val="24"/>
              </w:rPr>
            </w:pPr>
            <w:r>
              <w:rPr>
                <w:rFonts w:hint="eastAsia" w:ascii="宋体" w:hAnsi="宋体" w:eastAsia="宋体" w:cs="宋体"/>
                <w:color w:val="auto"/>
                <w:kern w:val="0"/>
                <w:sz w:val="24"/>
              </w:rPr>
              <w:t>34478989.36</w:t>
            </w:r>
          </w:p>
        </w:tc>
      </w:tr>
      <w:tr w14:paraId="258CE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87" w:type="pct"/>
            <w:noWrap w:val="0"/>
            <w:vAlign w:val="center"/>
          </w:tcPr>
          <w:p w14:paraId="6A12C33E">
            <w:pPr>
              <w:widowControl/>
              <w:spacing w:line="240" w:lineRule="auto"/>
              <w:ind w:firstLine="0" w:firstLineChars="0"/>
              <w:jc w:val="center"/>
              <w:rPr>
                <w:rFonts w:hint="eastAsia" w:ascii="宋体" w:hAnsi="宋体" w:eastAsia="宋体" w:cs="宋体"/>
                <w:b/>
                <w:bCs/>
                <w:color w:val="auto"/>
                <w:kern w:val="0"/>
                <w:sz w:val="24"/>
              </w:rPr>
            </w:pPr>
            <w:r>
              <w:rPr>
                <w:rFonts w:hint="eastAsia" w:ascii="宋体" w:hAnsi="宋体" w:eastAsia="宋体" w:cs="宋体"/>
                <w:b/>
                <w:bCs/>
                <w:color w:val="auto"/>
                <w:kern w:val="0"/>
                <w:sz w:val="24"/>
              </w:rPr>
              <w:t>矿2</w:t>
            </w:r>
          </w:p>
        </w:tc>
        <w:tc>
          <w:tcPr>
            <w:tcW w:w="964" w:type="pct"/>
            <w:gridSpan w:val="2"/>
            <w:noWrap w:val="0"/>
            <w:vAlign w:val="center"/>
          </w:tcPr>
          <w:p w14:paraId="71ACDB26">
            <w:pPr>
              <w:adjustRightInd w:val="0"/>
              <w:snapToGrid w:val="0"/>
              <w:spacing w:line="240" w:lineRule="auto"/>
              <w:ind w:firstLine="0" w:firstLineChars="0"/>
              <w:jc w:val="center"/>
              <w:rPr>
                <w:rFonts w:hint="eastAsia" w:ascii="宋体" w:hAnsi="宋体" w:eastAsia="宋体" w:cs="宋体"/>
                <w:color w:val="auto"/>
                <w:sz w:val="24"/>
              </w:rPr>
            </w:pPr>
            <w:r>
              <w:rPr>
                <w:rFonts w:hint="eastAsia" w:ascii="宋体" w:hAnsi="宋体" w:eastAsia="宋体" w:cs="宋体"/>
                <w:color w:val="auto"/>
                <w:sz w:val="24"/>
              </w:rPr>
              <w:t>2863916.94</w:t>
            </w:r>
          </w:p>
          <w:p w14:paraId="731A793A">
            <w:pPr>
              <w:widowControl/>
              <w:spacing w:line="240" w:lineRule="auto"/>
              <w:ind w:firstLine="0" w:firstLineChars="0"/>
              <w:jc w:val="center"/>
              <w:rPr>
                <w:rFonts w:hint="eastAsia" w:ascii="宋体" w:hAnsi="宋体" w:eastAsia="宋体" w:cs="宋体"/>
                <w:color w:val="auto"/>
                <w:kern w:val="0"/>
                <w:sz w:val="24"/>
              </w:rPr>
            </w:pPr>
          </w:p>
        </w:tc>
        <w:tc>
          <w:tcPr>
            <w:tcW w:w="1043" w:type="pct"/>
            <w:noWrap w:val="0"/>
            <w:vAlign w:val="center"/>
          </w:tcPr>
          <w:p w14:paraId="286B57AA">
            <w:pPr>
              <w:adjustRightInd w:val="0"/>
              <w:snapToGrid w:val="0"/>
              <w:spacing w:line="240" w:lineRule="auto"/>
              <w:ind w:firstLine="0" w:firstLineChars="0"/>
              <w:jc w:val="center"/>
              <w:rPr>
                <w:rFonts w:hint="eastAsia" w:ascii="宋体" w:hAnsi="宋体" w:eastAsia="宋体" w:cs="宋体"/>
                <w:color w:val="auto"/>
                <w:sz w:val="24"/>
              </w:rPr>
            </w:pPr>
            <w:r>
              <w:rPr>
                <w:rFonts w:hint="eastAsia" w:ascii="宋体" w:hAnsi="宋体" w:eastAsia="宋体" w:cs="宋体"/>
                <w:color w:val="auto"/>
                <w:sz w:val="24"/>
              </w:rPr>
              <w:t>34478895.86</w:t>
            </w:r>
          </w:p>
          <w:p w14:paraId="234D2E12">
            <w:pPr>
              <w:widowControl/>
              <w:spacing w:line="240" w:lineRule="auto"/>
              <w:ind w:firstLine="0" w:firstLineChars="0"/>
              <w:jc w:val="center"/>
              <w:rPr>
                <w:rFonts w:hint="eastAsia" w:ascii="宋体" w:hAnsi="宋体" w:eastAsia="宋体" w:cs="宋体"/>
                <w:color w:val="auto"/>
                <w:kern w:val="0"/>
                <w:sz w:val="24"/>
              </w:rPr>
            </w:pPr>
          </w:p>
        </w:tc>
        <w:tc>
          <w:tcPr>
            <w:tcW w:w="488" w:type="pct"/>
            <w:noWrap w:val="0"/>
            <w:vAlign w:val="center"/>
          </w:tcPr>
          <w:p w14:paraId="1204C3DB">
            <w:pPr>
              <w:widowControl/>
              <w:spacing w:line="240" w:lineRule="auto"/>
              <w:ind w:firstLine="0" w:firstLineChars="0"/>
              <w:jc w:val="center"/>
              <w:rPr>
                <w:rFonts w:hint="eastAsia" w:ascii="宋体" w:hAnsi="宋体" w:eastAsia="宋体" w:cs="宋体"/>
                <w:color w:val="auto"/>
                <w:kern w:val="0"/>
                <w:sz w:val="24"/>
              </w:rPr>
            </w:pPr>
            <w:r>
              <w:rPr>
                <w:rFonts w:hint="eastAsia" w:ascii="宋体" w:hAnsi="宋体" w:eastAsia="宋体" w:cs="宋体"/>
                <w:color w:val="auto"/>
                <w:kern w:val="0"/>
                <w:sz w:val="24"/>
              </w:rPr>
              <w:t>矿2</w:t>
            </w:r>
          </w:p>
        </w:tc>
        <w:tc>
          <w:tcPr>
            <w:tcW w:w="973" w:type="pct"/>
            <w:gridSpan w:val="2"/>
            <w:noWrap w:val="0"/>
            <w:vAlign w:val="center"/>
          </w:tcPr>
          <w:p w14:paraId="21A47D99">
            <w:pPr>
              <w:widowControl/>
              <w:spacing w:line="240" w:lineRule="auto"/>
              <w:ind w:firstLine="0" w:firstLineChars="0"/>
              <w:jc w:val="center"/>
              <w:rPr>
                <w:rFonts w:hint="eastAsia" w:ascii="宋体" w:hAnsi="宋体" w:eastAsia="宋体" w:cs="宋体"/>
                <w:color w:val="auto"/>
                <w:kern w:val="0"/>
                <w:sz w:val="24"/>
              </w:rPr>
            </w:pPr>
            <w:r>
              <w:rPr>
                <w:rFonts w:hint="eastAsia" w:ascii="宋体" w:hAnsi="宋体" w:eastAsia="宋体" w:cs="宋体"/>
                <w:color w:val="auto"/>
                <w:kern w:val="0"/>
                <w:sz w:val="24"/>
              </w:rPr>
              <w:t>2863924.01</w:t>
            </w:r>
          </w:p>
        </w:tc>
        <w:tc>
          <w:tcPr>
            <w:tcW w:w="1042" w:type="pct"/>
            <w:noWrap w:val="0"/>
            <w:vAlign w:val="center"/>
          </w:tcPr>
          <w:p w14:paraId="0DCD6BA0">
            <w:pPr>
              <w:widowControl/>
              <w:spacing w:line="240" w:lineRule="auto"/>
              <w:ind w:firstLine="0" w:firstLineChars="0"/>
              <w:jc w:val="center"/>
              <w:rPr>
                <w:rFonts w:hint="eastAsia" w:ascii="宋体" w:hAnsi="宋体" w:eastAsia="宋体" w:cs="宋体"/>
                <w:color w:val="auto"/>
                <w:kern w:val="0"/>
                <w:sz w:val="24"/>
              </w:rPr>
            </w:pPr>
            <w:r>
              <w:rPr>
                <w:rFonts w:hint="eastAsia" w:ascii="宋体" w:hAnsi="宋体" w:eastAsia="宋体" w:cs="宋体"/>
                <w:color w:val="auto"/>
                <w:kern w:val="0"/>
                <w:sz w:val="24"/>
              </w:rPr>
              <w:t>34479006.36</w:t>
            </w:r>
          </w:p>
        </w:tc>
      </w:tr>
      <w:tr w14:paraId="0AE25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87" w:type="pct"/>
            <w:noWrap w:val="0"/>
            <w:vAlign w:val="center"/>
          </w:tcPr>
          <w:p w14:paraId="1EA9D293">
            <w:pPr>
              <w:widowControl/>
              <w:spacing w:line="240" w:lineRule="auto"/>
              <w:ind w:firstLine="0" w:firstLineChars="0"/>
              <w:jc w:val="center"/>
              <w:rPr>
                <w:rFonts w:hint="eastAsia" w:ascii="宋体" w:hAnsi="宋体" w:eastAsia="宋体" w:cs="宋体"/>
                <w:b/>
                <w:bCs/>
                <w:color w:val="auto"/>
                <w:kern w:val="0"/>
                <w:sz w:val="24"/>
              </w:rPr>
            </w:pPr>
            <w:r>
              <w:rPr>
                <w:rFonts w:hint="eastAsia" w:ascii="宋体" w:hAnsi="宋体" w:eastAsia="宋体" w:cs="宋体"/>
                <w:b/>
                <w:bCs/>
                <w:color w:val="auto"/>
                <w:kern w:val="0"/>
                <w:sz w:val="24"/>
              </w:rPr>
              <w:t>矿3</w:t>
            </w:r>
          </w:p>
        </w:tc>
        <w:tc>
          <w:tcPr>
            <w:tcW w:w="964" w:type="pct"/>
            <w:gridSpan w:val="2"/>
            <w:noWrap w:val="0"/>
            <w:vAlign w:val="center"/>
          </w:tcPr>
          <w:p w14:paraId="6D858E89">
            <w:pPr>
              <w:adjustRightInd w:val="0"/>
              <w:snapToGrid w:val="0"/>
              <w:spacing w:line="240" w:lineRule="auto"/>
              <w:ind w:firstLine="0" w:firstLineChars="0"/>
              <w:jc w:val="center"/>
              <w:rPr>
                <w:rFonts w:hint="eastAsia" w:ascii="宋体" w:hAnsi="宋体" w:eastAsia="宋体" w:cs="宋体"/>
                <w:color w:val="auto"/>
                <w:sz w:val="24"/>
              </w:rPr>
            </w:pPr>
            <w:r>
              <w:rPr>
                <w:rFonts w:hint="eastAsia" w:ascii="宋体" w:hAnsi="宋体" w:eastAsia="宋体" w:cs="宋体"/>
                <w:color w:val="auto"/>
                <w:sz w:val="24"/>
              </w:rPr>
              <w:t>2864145.50</w:t>
            </w:r>
          </w:p>
          <w:p w14:paraId="5A7CF026">
            <w:pPr>
              <w:widowControl/>
              <w:spacing w:line="240" w:lineRule="auto"/>
              <w:ind w:firstLine="0" w:firstLineChars="0"/>
              <w:jc w:val="center"/>
              <w:rPr>
                <w:rFonts w:hint="eastAsia" w:ascii="宋体" w:hAnsi="宋体" w:eastAsia="宋体" w:cs="宋体"/>
                <w:color w:val="auto"/>
                <w:kern w:val="0"/>
                <w:sz w:val="24"/>
              </w:rPr>
            </w:pPr>
          </w:p>
        </w:tc>
        <w:tc>
          <w:tcPr>
            <w:tcW w:w="1043" w:type="pct"/>
            <w:noWrap w:val="0"/>
            <w:vAlign w:val="center"/>
          </w:tcPr>
          <w:p w14:paraId="49337AF9">
            <w:pPr>
              <w:adjustRightInd w:val="0"/>
              <w:snapToGrid w:val="0"/>
              <w:spacing w:line="240" w:lineRule="auto"/>
              <w:ind w:firstLine="0" w:firstLineChars="0"/>
              <w:jc w:val="center"/>
              <w:rPr>
                <w:rFonts w:hint="eastAsia" w:ascii="宋体" w:hAnsi="宋体" w:eastAsia="宋体" w:cs="宋体"/>
                <w:color w:val="auto"/>
                <w:sz w:val="24"/>
              </w:rPr>
            </w:pPr>
            <w:r>
              <w:rPr>
                <w:rFonts w:hint="eastAsia" w:ascii="宋体" w:hAnsi="宋体" w:eastAsia="宋体" w:cs="宋体"/>
                <w:color w:val="auto"/>
                <w:sz w:val="24"/>
              </w:rPr>
              <w:t>34479093.56</w:t>
            </w:r>
          </w:p>
          <w:p w14:paraId="428998DE">
            <w:pPr>
              <w:widowControl/>
              <w:spacing w:line="240" w:lineRule="auto"/>
              <w:ind w:firstLine="0" w:firstLineChars="0"/>
              <w:jc w:val="center"/>
              <w:rPr>
                <w:rFonts w:hint="eastAsia" w:ascii="宋体" w:hAnsi="宋体" w:eastAsia="宋体" w:cs="宋体"/>
                <w:color w:val="auto"/>
                <w:kern w:val="0"/>
                <w:sz w:val="24"/>
              </w:rPr>
            </w:pPr>
          </w:p>
        </w:tc>
        <w:tc>
          <w:tcPr>
            <w:tcW w:w="488" w:type="pct"/>
            <w:noWrap w:val="0"/>
            <w:vAlign w:val="center"/>
          </w:tcPr>
          <w:p w14:paraId="7C58D7DD">
            <w:pPr>
              <w:widowControl/>
              <w:spacing w:line="240" w:lineRule="auto"/>
              <w:ind w:firstLine="0" w:firstLineChars="0"/>
              <w:jc w:val="center"/>
              <w:rPr>
                <w:rFonts w:hint="eastAsia" w:ascii="宋体" w:hAnsi="宋体" w:eastAsia="宋体" w:cs="宋体"/>
                <w:color w:val="auto"/>
                <w:kern w:val="0"/>
                <w:sz w:val="24"/>
              </w:rPr>
            </w:pPr>
            <w:r>
              <w:rPr>
                <w:rFonts w:hint="eastAsia" w:ascii="宋体" w:hAnsi="宋体" w:eastAsia="宋体" w:cs="宋体"/>
                <w:color w:val="auto"/>
                <w:kern w:val="0"/>
                <w:sz w:val="24"/>
              </w:rPr>
              <w:t>矿3</w:t>
            </w:r>
          </w:p>
        </w:tc>
        <w:tc>
          <w:tcPr>
            <w:tcW w:w="973" w:type="pct"/>
            <w:gridSpan w:val="2"/>
            <w:noWrap w:val="0"/>
            <w:vAlign w:val="center"/>
          </w:tcPr>
          <w:p w14:paraId="3E5400BE">
            <w:pPr>
              <w:widowControl/>
              <w:spacing w:line="240" w:lineRule="auto"/>
              <w:ind w:firstLine="0" w:firstLineChars="0"/>
              <w:jc w:val="center"/>
              <w:rPr>
                <w:rFonts w:hint="eastAsia" w:ascii="宋体" w:hAnsi="宋体" w:eastAsia="宋体" w:cs="宋体"/>
                <w:color w:val="auto"/>
                <w:kern w:val="0"/>
                <w:sz w:val="24"/>
              </w:rPr>
            </w:pPr>
            <w:r>
              <w:rPr>
                <w:rFonts w:hint="eastAsia" w:ascii="宋体" w:hAnsi="宋体" w:eastAsia="宋体" w:cs="宋体"/>
                <w:color w:val="auto"/>
                <w:kern w:val="0"/>
                <w:sz w:val="24"/>
              </w:rPr>
              <w:t>2864152.57</w:t>
            </w:r>
          </w:p>
        </w:tc>
        <w:tc>
          <w:tcPr>
            <w:tcW w:w="1042" w:type="pct"/>
            <w:noWrap w:val="0"/>
            <w:vAlign w:val="center"/>
          </w:tcPr>
          <w:p w14:paraId="643FAF33">
            <w:pPr>
              <w:widowControl/>
              <w:spacing w:line="240" w:lineRule="auto"/>
              <w:ind w:firstLine="0" w:firstLineChars="0"/>
              <w:jc w:val="center"/>
              <w:rPr>
                <w:rFonts w:hint="eastAsia" w:ascii="宋体" w:hAnsi="宋体" w:eastAsia="宋体" w:cs="宋体"/>
                <w:color w:val="auto"/>
                <w:kern w:val="0"/>
                <w:sz w:val="24"/>
              </w:rPr>
            </w:pPr>
            <w:r>
              <w:rPr>
                <w:rFonts w:hint="eastAsia" w:ascii="宋体" w:hAnsi="宋体" w:eastAsia="宋体" w:cs="宋体"/>
                <w:color w:val="auto"/>
                <w:kern w:val="0"/>
                <w:sz w:val="24"/>
              </w:rPr>
              <w:t>34479204.06</w:t>
            </w:r>
          </w:p>
        </w:tc>
      </w:tr>
      <w:tr w14:paraId="1ECF8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87" w:type="pct"/>
            <w:noWrap w:val="0"/>
            <w:vAlign w:val="center"/>
          </w:tcPr>
          <w:p w14:paraId="582D1476">
            <w:pPr>
              <w:widowControl/>
              <w:spacing w:line="240" w:lineRule="auto"/>
              <w:ind w:firstLine="0" w:firstLineChars="0"/>
              <w:jc w:val="center"/>
              <w:rPr>
                <w:rFonts w:hint="eastAsia" w:ascii="宋体" w:hAnsi="宋体" w:eastAsia="宋体" w:cs="宋体"/>
                <w:b/>
                <w:bCs/>
                <w:color w:val="auto"/>
                <w:kern w:val="0"/>
                <w:sz w:val="24"/>
              </w:rPr>
            </w:pPr>
            <w:r>
              <w:rPr>
                <w:rFonts w:hint="eastAsia" w:ascii="宋体" w:hAnsi="宋体" w:eastAsia="宋体" w:cs="宋体"/>
                <w:b/>
                <w:bCs/>
                <w:color w:val="auto"/>
                <w:kern w:val="0"/>
                <w:sz w:val="24"/>
              </w:rPr>
              <w:t>矿4</w:t>
            </w:r>
          </w:p>
        </w:tc>
        <w:tc>
          <w:tcPr>
            <w:tcW w:w="964" w:type="pct"/>
            <w:gridSpan w:val="2"/>
            <w:noWrap w:val="0"/>
            <w:vAlign w:val="center"/>
          </w:tcPr>
          <w:p w14:paraId="0BE6C375">
            <w:pPr>
              <w:adjustRightInd w:val="0"/>
              <w:snapToGrid w:val="0"/>
              <w:spacing w:line="240" w:lineRule="auto"/>
              <w:ind w:firstLine="0" w:firstLineChars="0"/>
              <w:jc w:val="center"/>
              <w:rPr>
                <w:rFonts w:hint="eastAsia" w:ascii="宋体" w:hAnsi="宋体" w:eastAsia="宋体" w:cs="宋体"/>
                <w:color w:val="auto"/>
                <w:sz w:val="24"/>
              </w:rPr>
            </w:pPr>
            <w:r>
              <w:rPr>
                <w:rFonts w:hint="eastAsia" w:ascii="宋体" w:hAnsi="宋体" w:eastAsia="宋体" w:cs="宋体"/>
                <w:color w:val="auto"/>
                <w:sz w:val="24"/>
              </w:rPr>
              <w:t>2863933.82</w:t>
            </w:r>
          </w:p>
          <w:p w14:paraId="102F2226">
            <w:pPr>
              <w:widowControl/>
              <w:spacing w:line="240" w:lineRule="auto"/>
              <w:ind w:firstLine="0" w:firstLineChars="0"/>
              <w:jc w:val="center"/>
              <w:rPr>
                <w:rFonts w:hint="eastAsia" w:ascii="宋体" w:hAnsi="宋体" w:eastAsia="宋体" w:cs="宋体"/>
                <w:color w:val="auto"/>
                <w:kern w:val="0"/>
                <w:sz w:val="24"/>
              </w:rPr>
            </w:pPr>
          </w:p>
        </w:tc>
        <w:tc>
          <w:tcPr>
            <w:tcW w:w="1043" w:type="pct"/>
            <w:noWrap w:val="0"/>
            <w:vAlign w:val="center"/>
          </w:tcPr>
          <w:p w14:paraId="40E04CC5">
            <w:pPr>
              <w:adjustRightInd w:val="0"/>
              <w:snapToGrid w:val="0"/>
              <w:spacing w:line="240" w:lineRule="auto"/>
              <w:ind w:firstLine="0" w:firstLineChars="0"/>
              <w:jc w:val="center"/>
              <w:rPr>
                <w:rFonts w:hint="eastAsia" w:ascii="宋体" w:hAnsi="宋体" w:eastAsia="宋体" w:cs="宋体"/>
                <w:color w:val="auto"/>
                <w:sz w:val="24"/>
              </w:rPr>
            </w:pPr>
            <w:r>
              <w:rPr>
                <w:rFonts w:hint="eastAsia" w:ascii="宋体" w:hAnsi="宋体" w:eastAsia="宋体" w:cs="宋体"/>
                <w:color w:val="auto"/>
                <w:sz w:val="24"/>
              </w:rPr>
              <w:t>34479177.24</w:t>
            </w:r>
          </w:p>
          <w:p w14:paraId="5D65FA55">
            <w:pPr>
              <w:widowControl/>
              <w:spacing w:line="240" w:lineRule="auto"/>
              <w:ind w:firstLine="0" w:firstLineChars="0"/>
              <w:jc w:val="center"/>
              <w:rPr>
                <w:rFonts w:hint="eastAsia" w:ascii="宋体" w:hAnsi="宋体" w:eastAsia="宋体" w:cs="宋体"/>
                <w:color w:val="auto"/>
                <w:kern w:val="0"/>
                <w:sz w:val="24"/>
              </w:rPr>
            </w:pPr>
          </w:p>
        </w:tc>
        <w:tc>
          <w:tcPr>
            <w:tcW w:w="488" w:type="pct"/>
            <w:noWrap w:val="0"/>
            <w:vAlign w:val="center"/>
          </w:tcPr>
          <w:p w14:paraId="3E0CB9DD">
            <w:pPr>
              <w:widowControl/>
              <w:spacing w:line="240" w:lineRule="auto"/>
              <w:ind w:firstLine="0" w:firstLineChars="0"/>
              <w:jc w:val="center"/>
              <w:rPr>
                <w:rFonts w:hint="eastAsia" w:ascii="宋体" w:hAnsi="宋体" w:eastAsia="宋体" w:cs="宋体"/>
                <w:color w:val="auto"/>
                <w:kern w:val="0"/>
                <w:sz w:val="24"/>
              </w:rPr>
            </w:pPr>
            <w:r>
              <w:rPr>
                <w:rFonts w:hint="eastAsia" w:ascii="宋体" w:hAnsi="宋体" w:eastAsia="宋体" w:cs="宋体"/>
                <w:color w:val="auto"/>
                <w:kern w:val="0"/>
                <w:sz w:val="24"/>
              </w:rPr>
              <w:t>矿4</w:t>
            </w:r>
          </w:p>
        </w:tc>
        <w:tc>
          <w:tcPr>
            <w:tcW w:w="973" w:type="pct"/>
            <w:gridSpan w:val="2"/>
            <w:noWrap w:val="0"/>
            <w:vAlign w:val="center"/>
          </w:tcPr>
          <w:p w14:paraId="09791E90">
            <w:pPr>
              <w:widowControl/>
              <w:spacing w:line="240" w:lineRule="auto"/>
              <w:ind w:firstLine="0" w:firstLineChars="0"/>
              <w:jc w:val="center"/>
              <w:rPr>
                <w:rFonts w:hint="eastAsia" w:ascii="宋体" w:hAnsi="宋体" w:eastAsia="宋体" w:cs="宋体"/>
                <w:color w:val="auto"/>
                <w:kern w:val="0"/>
                <w:sz w:val="24"/>
              </w:rPr>
            </w:pPr>
            <w:r>
              <w:rPr>
                <w:rFonts w:hint="eastAsia" w:ascii="宋体" w:hAnsi="宋体" w:eastAsia="宋体" w:cs="宋体"/>
                <w:color w:val="auto"/>
                <w:kern w:val="0"/>
                <w:sz w:val="24"/>
              </w:rPr>
              <w:t>2863940.89</w:t>
            </w:r>
          </w:p>
        </w:tc>
        <w:tc>
          <w:tcPr>
            <w:tcW w:w="1042" w:type="pct"/>
            <w:noWrap w:val="0"/>
            <w:vAlign w:val="center"/>
          </w:tcPr>
          <w:p w14:paraId="7D2B731C">
            <w:pPr>
              <w:widowControl/>
              <w:spacing w:line="240" w:lineRule="auto"/>
              <w:ind w:firstLine="0" w:firstLineChars="0"/>
              <w:jc w:val="center"/>
              <w:rPr>
                <w:rFonts w:hint="eastAsia" w:ascii="宋体" w:hAnsi="宋体" w:eastAsia="宋体" w:cs="宋体"/>
                <w:color w:val="auto"/>
                <w:kern w:val="0"/>
                <w:sz w:val="24"/>
              </w:rPr>
            </w:pPr>
            <w:r>
              <w:rPr>
                <w:rFonts w:hint="eastAsia" w:ascii="宋体" w:hAnsi="宋体" w:eastAsia="宋体" w:cs="宋体"/>
                <w:color w:val="auto"/>
                <w:kern w:val="0"/>
                <w:sz w:val="24"/>
              </w:rPr>
              <w:t>34479287.74</w:t>
            </w:r>
          </w:p>
        </w:tc>
      </w:tr>
      <w:tr w14:paraId="6A040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87" w:type="pct"/>
            <w:noWrap w:val="0"/>
            <w:vAlign w:val="center"/>
          </w:tcPr>
          <w:p w14:paraId="2B7C2081">
            <w:pPr>
              <w:widowControl/>
              <w:spacing w:line="240" w:lineRule="auto"/>
              <w:ind w:firstLine="0" w:firstLineChars="0"/>
              <w:jc w:val="center"/>
              <w:rPr>
                <w:rFonts w:hint="eastAsia" w:ascii="宋体" w:hAnsi="宋体" w:eastAsia="宋体" w:cs="宋体"/>
                <w:b/>
                <w:bCs/>
                <w:color w:val="auto"/>
                <w:kern w:val="0"/>
                <w:sz w:val="24"/>
              </w:rPr>
            </w:pPr>
            <w:r>
              <w:rPr>
                <w:rFonts w:hint="eastAsia" w:ascii="宋体" w:hAnsi="宋体" w:eastAsia="宋体" w:cs="宋体"/>
                <w:b/>
                <w:bCs/>
                <w:color w:val="auto"/>
                <w:kern w:val="0"/>
                <w:sz w:val="24"/>
              </w:rPr>
              <w:t>矿5</w:t>
            </w:r>
          </w:p>
        </w:tc>
        <w:tc>
          <w:tcPr>
            <w:tcW w:w="964" w:type="pct"/>
            <w:gridSpan w:val="2"/>
            <w:noWrap w:val="0"/>
            <w:vAlign w:val="center"/>
          </w:tcPr>
          <w:p w14:paraId="3D480F39">
            <w:pPr>
              <w:adjustRightInd w:val="0"/>
              <w:snapToGrid w:val="0"/>
              <w:spacing w:line="240" w:lineRule="auto"/>
              <w:ind w:firstLine="0" w:firstLineChars="0"/>
              <w:jc w:val="center"/>
              <w:rPr>
                <w:rFonts w:hint="eastAsia" w:ascii="宋体" w:hAnsi="宋体" w:eastAsia="宋体" w:cs="宋体"/>
                <w:color w:val="auto"/>
                <w:sz w:val="24"/>
              </w:rPr>
            </w:pPr>
            <w:r>
              <w:rPr>
                <w:rFonts w:hint="eastAsia" w:ascii="宋体" w:hAnsi="宋体" w:eastAsia="宋体" w:cs="宋体"/>
                <w:color w:val="auto"/>
                <w:sz w:val="24"/>
              </w:rPr>
              <w:t>2863793.74</w:t>
            </w:r>
          </w:p>
          <w:p w14:paraId="7FFDEC73">
            <w:pPr>
              <w:widowControl/>
              <w:spacing w:line="240" w:lineRule="auto"/>
              <w:ind w:firstLine="0" w:firstLineChars="0"/>
              <w:jc w:val="center"/>
              <w:rPr>
                <w:rFonts w:hint="eastAsia" w:ascii="宋体" w:hAnsi="宋体" w:eastAsia="宋体" w:cs="宋体"/>
                <w:color w:val="auto"/>
                <w:kern w:val="0"/>
                <w:sz w:val="24"/>
              </w:rPr>
            </w:pPr>
          </w:p>
        </w:tc>
        <w:tc>
          <w:tcPr>
            <w:tcW w:w="1043" w:type="pct"/>
            <w:noWrap w:val="0"/>
            <w:vAlign w:val="center"/>
          </w:tcPr>
          <w:p w14:paraId="5799AA97">
            <w:pPr>
              <w:adjustRightInd w:val="0"/>
              <w:snapToGrid w:val="0"/>
              <w:spacing w:line="240" w:lineRule="auto"/>
              <w:ind w:firstLine="0" w:firstLineChars="0"/>
              <w:jc w:val="center"/>
              <w:rPr>
                <w:rFonts w:hint="eastAsia" w:ascii="宋体" w:hAnsi="宋体" w:eastAsia="宋体" w:cs="宋体"/>
                <w:color w:val="auto"/>
                <w:sz w:val="24"/>
              </w:rPr>
            </w:pPr>
            <w:r>
              <w:rPr>
                <w:rFonts w:hint="eastAsia" w:ascii="宋体" w:hAnsi="宋体" w:eastAsia="宋体" w:cs="宋体"/>
                <w:color w:val="auto"/>
                <w:sz w:val="24"/>
              </w:rPr>
              <w:t>34478979.14</w:t>
            </w:r>
          </w:p>
          <w:p w14:paraId="2CD3455D">
            <w:pPr>
              <w:widowControl/>
              <w:spacing w:line="240" w:lineRule="auto"/>
              <w:ind w:firstLine="0" w:firstLineChars="0"/>
              <w:jc w:val="center"/>
              <w:rPr>
                <w:rFonts w:hint="eastAsia" w:ascii="宋体" w:hAnsi="宋体" w:eastAsia="宋体" w:cs="宋体"/>
                <w:color w:val="auto"/>
                <w:kern w:val="0"/>
                <w:sz w:val="24"/>
              </w:rPr>
            </w:pPr>
          </w:p>
        </w:tc>
        <w:tc>
          <w:tcPr>
            <w:tcW w:w="488" w:type="pct"/>
            <w:noWrap w:val="0"/>
            <w:vAlign w:val="center"/>
          </w:tcPr>
          <w:p w14:paraId="0792750E">
            <w:pPr>
              <w:widowControl/>
              <w:spacing w:line="240" w:lineRule="auto"/>
              <w:ind w:firstLine="0" w:firstLineChars="0"/>
              <w:jc w:val="center"/>
              <w:rPr>
                <w:rFonts w:hint="eastAsia" w:ascii="宋体" w:hAnsi="宋体" w:eastAsia="宋体" w:cs="宋体"/>
                <w:color w:val="auto"/>
                <w:kern w:val="0"/>
                <w:sz w:val="24"/>
              </w:rPr>
            </w:pPr>
            <w:r>
              <w:rPr>
                <w:rFonts w:hint="eastAsia" w:ascii="宋体" w:hAnsi="宋体" w:eastAsia="宋体" w:cs="宋体"/>
                <w:color w:val="auto"/>
                <w:kern w:val="0"/>
                <w:sz w:val="24"/>
              </w:rPr>
              <w:t>矿5</w:t>
            </w:r>
          </w:p>
        </w:tc>
        <w:tc>
          <w:tcPr>
            <w:tcW w:w="973" w:type="pct"/>
            <w:gridSpan w:val="2"/>
            <w:noWrap w:val="0"/>
            <w:vAlign w:val="center"/>
          </w:tcPr>
          <w:p w14:paraId="2DE76736">
            <w:pPr>
              <w:widowControl/>
              <w:spacing w:line="240" w:lineRule="auto"/>
              <w:ind w:firstLine="0" w:firstLineChars="0"/>
              <w:jc w:val="center"/>
              <w:rPr>
                <w:rFonts w:hint="eastAsia" w:ascii="宋体" w:hAnsi="宋体" w:eastAsia="宋体" w:cs="宋体"/>
                <w:color w:val="auto"/>
                <w:kern w:val="0"/>
                <w:sz w:val="24"/>
              </w:rPr>
            </w:pPr>
            <w:r>
              <w:rPr>
                <w:rFonts w:hint="eastAsia" w:ascii="宋体" w:hAnsi="宋体" w:eastAsia="宋体" w:cs="宋体"/>
                <w:color w:val="auto"/>
                <w:kern w:val="0"/>
                <w:sz w:val="24"/>
              </w:rPr>
              <w:t>2863800.81</w:t>
            </w:r>
          </w:p>
        </w:tc>
        <w:tc>
          <w:tcPr>
            <w:tcW w:w="1042" w:type="pct"/>
            <w:noWrap w:val="0"/>
            <w:vAlign w:val="center"/>
          </w:tcPr>
          <w:p w14:paraId="2E50A9F9">
            <w:pPr>
              <w:widowControl/>
              <w:spacing w:line="240" w:lineRule="auto"/>
              <w:ind w:firstLine="0" w:firstLineChars="0"/>
              <w:jc w:val="center"/>
              <w:rPr>
                <w:rFonts w:hint="eastAsia" w:ascii="宋体" w:hAnsi="宋体" w:eastAsia="宋体" w:cs="宋体"/>
                <w:color w:val="auto"/>
                <w:kern w:val="0"/>
                <w:sz w:val="24"/>
              </w:rPr>
            </w:pPr>
            <w:r>
              <w:rPr>
                <w:rFonts w:hint="eastAsia" w:ascii="宋体" w:hAnsi="宋体" w:eastAsia="宋体" w:cs="宋体"/>
                <w:color w:val="auto"/>
                <w:kern w:val="0"/>
                <w:sz w:val="24"/>
              </w:rPr>
              <w:t>34479089.64</w:t>
            </w:r>
          </w:p>
        </w:tc>
      </w:tr>
      <w:tr w14:paraId="5B0F6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87" w:type="pct"/>
            <w:noWrap w:val="0"/>
            <w:vAlign w:val="center"/>
          </w:tcPr>
          <w:p w14:paraId="79CCBB65">
            <w:pPr>
              <w:widowControl/>
              <w:spacing w:line="240" w:lineRule="auto"/>
              <w:ind w:firstLine="0" w:firstLineChars="0"/>
              <w:jc w:val="center"/>
              <w:rPr>
                <w:rFonts w:hint="eastAsia" w:ascii="宋体" w:hAnsi="宋体" w:eastAsia="宋体" w:cs="宋体"/>
                <w:b/>
                <w:bCs/>
                <w:color w:val="auto"/>
                <w:kern w:val="0"/>
                <w:sz w:val="24"/>
              </w:rPr>
            </w:pPr>
            <w:r>
              <w:rPr>
                <w:rFonts w:hint="eastAsia" w:ascii="宋体" w:hAnsi="宋体" w:eastAsia="宋体" w:cs="宋体"/>
                <w:b/>
                <w:bCs/>
                <w:color w:val="auto"/>
                <w:sz w:val="24"/>
              </w:rPr>
              <w:t>矿6</w:t>
            </w:r>
          </w:p>
        </w:tc>
        <w:tc>
          <w:tcPr>
            <w:tcW w:w="964" w:type="pct"/>
            <w:gridSpan w:val="2"/>
            <w:noWrap w:val="0"/>
            <w:vAlign w:val="center"/>
          </w:tcPr>
          <w:p w14:paraId="63ABDDE8">
            <w:pPr>
              <w:adjustRightInd w:val="0"/>
              <w:snapToGrid w:val="0"/>
              <w:spacing w:line="240" w:lineRule="auto"/>
              <w:ind w:firstLine="0" w:firstLineChars="0"/>
              <w:jc w:val="center"/>
              <w:rPr>
                <w:rFonts w:hint="eastAsia" w:ascii="宋体" w:hAnsi="宋体" w:eastAsia="宋体" w:cs="宋体"/>
                <w:color w:val="auto"/>
                <w:sz w:val="24"/>
              </w:rPr>
            </w:pPr>
            <w:r>
              <w:rPr>
                <w:rFonts w:hint="eastAsia" w:ascii="宋体" w:hAnsi="宋体" w:eastAsia="宋体" w:cs="宋体"/>
                <w:color w:val="auto"/>
                <w:sz w:val="24"/>
              </w:rPr>
              <w:t>2863842.94</w:t>
            </w:r>
          </w:p>
          <w:p w14:paraId="72EDEC8E">
            <w:pPr>
              <w:widowControl/>
              <w:spacing w:line="240" w:lineRule="auto"/>
              <w:ind w:firstLine="0" w:firstLineChars="0"/>
              <w:jc w:val="center"/>
              <w:rPr>
                <w:rFonts w:hint="eastAsia" w:ascii="宋体" w:hAnsi="宋体" w:eastAsia="宋体" w:cs="宋体"/>
                <w:color w:val="auto"/>
                <w:kern w:val="0"/>
                <w:sz w:val="24"/>
              </w:rPr>
            </w:pPr>
          </w:p>
        </w:tc>
        <w:tc>
          <w:tcPr>
            <w:tcW w:w="1043" w:type="pct"/>
            <w:noWrap w:val="0"/>
            <w:vAlign w:val="center"/>
          </w:tcPr>
          <w:p w14:paraId="612E31ED">
            <w:pPr>
              <w:adjustRightInd w:val="0"/>
              <w:snapToGrid w:val="0"/>
              <w:spacing w:line="240" w:lineRule="auto"/>
              <w:ind w:firstLine="0" w:firstLineChars="0"/>
              <w:jc w:val="center"/>
              <w:rPr>
                <w:rFonts w:hint="eastAsia" w:ascii="宋体" w:hAnsi="宋体" w:eastAsia="宋体" w:cs="宋体"/>
                <w:color w:val="auto"/>
                <w:sz w:val="24"/>
              </w:rPr>
            </w:pPr>
            <w:r>
              <w:rPr>
                <w:rFonts w:hint="eastAsia" w:ascii="宋体" w:hAnsi="宋体" w:eastAsia="宋体" w:cs="宋体"/>
                <w:color w:val="auto"/>
                <w:sz w:val="24"/>
              </w:rPr>
              <w:t>34478874.86</w:t>
            </w:r>
          </w:p>
          <w:p w14:paraId="18157223">
            <w:pPr>
              <w:widowControl/>
              <w:spacing w:line="240" w:lineRule="auto"/>
              <w:ind w:firstLine="0" w:firstLineChars="0"/>
              <w:jc w:val="center"/>
              <w:rPr>
                <w:rFonts w:hint="eastAsia" w:ascii="宋体" w:hAnsi="宋体" w:eastAsia="宋体" w:cs="宋体"/>
                <w:color w:val="auto"/>
                <w:kern w:val="0"/>
                <w:sz w:val="24"/>
              </w:rPr>
            </w:pPr>
          </w:p>
        </w:tc>
        <w:tc>
          <w:tcPr>
            <w:tcW w:w="488" w:type="pct"/>
            <w:noWrap w:val="0"/>
            <w:vAlign w:val="center"/>
          </w:tcPr>
          <w:p w14:paraId="0EAF3351">
            <w:pPr>
              <w:widowControl/>
              <w:spacing w:line="240" w:lineRule="auto"/>
              <w:ind w:firstLine="0" w:firstLineChars="0"/>
              <w:jc w:val="center"/>
              <w:rPr>
                <w:rFonts w:hint="eastAsia" w:ascii="宋体" w:hAnsi="宋体" w:eastAsia="宋体" w:cs="宋体"/>
                <w:color w:val="auto"/>
                <w:kern w:val="0"/>
                <w:sz w:val="24"/>
              </w:rPr>
            </w:pPr>
            <w:r>
              <w:rPr>
                <w:rFonts w:hint="eastAsia" w:ascii="宋体" w:hAnsi="宋体" w:eastAsia="宋体" w:cs="宋体"/>
                <w:color w:val="auto"/>
                <w:sz w:val="24"/>
              </w:rPr>
              <w:t>矿6</w:t>
            </w:r>
          </w:p>
        </w:tc>
        <w:tc>
          <w:tcPr>
            <w:tcW w:w="973" w:type="pct"/>
            <w:gridSpan w:val="2"/>
            <w:noWrap w:val="0"/>
            <w:vAlign w:val="center"/>
          </w:tcPr>
          <w:p w14:paraId="7157CFD8">
            <w:pPr>
              <w:widowControl/>
              <w:spacing w:line="240" w:lineRule="auto"/>
              <w:ind w:firstLine="0" w:firstLineChars="0"/>
              <w:jc w:val="center"/>
              <w:rPr>
                <w:rFonts w:hint="eastAsia" w:ascii="宋体" w:hAnsi="宋体" w:eastAsia="宋体" w:cs="宋体"/>
                <w:color w:val="auto"/>
                <w:kern w:val="0"/>
                <w:sz w:val="24"/>
              </w:rPr>
            </w:pPr>
            <w:r>
              <w:rPr>
                <w:rFonts w:hint="eastAsia" w:ascii="宋体" w:hAnsi="宋体" w:eastAsia="宋体" w:cs="宋体"/>
                <w:color w:val="auto"/>
                <w:kern w:val="0"/>
                <w:sz w:val="24"/>
              </w:rPr>
              <w:t>2863850.01</w:t>
            </w:r>
          </w:p>
        </w:tc>
        <w:tc>
          <w:tcPr>
            <w:tcW w:w="1042" w:type="pct"/>
            <w:noWrap w:val="0"/>
            <w:vAlign w:val="center"/>
          </w:tcPr>
          <w:p w14:paraId="4C9774F8">
            <w:pPr>
              <w:widowControl/>
              <w:spacing w:line="240" w:lineRule="auto"/>
              <w:ind w:firstLine="0" w:firstLineChars="0"/>
              <w:jc w:val="center"/>
              <w:rPr>
                <w:rFonts w:hint="eastAsia" w:ascii="宋体" w:hAnsi="宋体" w:eastAsia="宋体" w:cs="宋体"/>
                <w:color w:val="auto"/>
                <w:kern w:val="0"/>
                <w:sz w:val="24"/>
              </w:rPr>
            </w:pPr>
            <w:r>
              <w:rPr>
                <w:rFonts w:hint="eastAsia" w:ascii="宋体" w:hAnsi="宋体" w:eastAsia="宋体" w:cs="宋体"/>
                <w:color w:val="auto"/>
                <w:kern w:val="0"/>
                <w:sz w:val="24"/>
              </w:rPr>
              <w:t>34478985.36</w:t>
            </w:r>
          </w:p>
        </w:tc>
      </w:tr>
      <w:tr w14:paraId="0496B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668" w:type="pct"/>
            <w:gridSpan w:val="2"/>
            <w:noWrap w:val="0"/>
            <w:vAlign w:val="center"/>
          </w:tcPr>
          <w:p w14:paraId="40103810">
            <w:pPr>
              <w:widowControl/>
              <w:spacing w:line="240" w:lineRule="auto"/>
              <w:ind w:firstLine="0" w:firstLineChars="0"/>
              <w:jc w:val="center"/>
              <w:rPr>
                <w:rFonts w:hint="eastAsia" w:ascii="宋体" w:hAnsi="宋体" w:eastAsia="宋体" w:cs="宋体"/>
                <w:color w:val="auto"/>
                <w:kern w:val="0"/>
                <w:sz w:val="24"/>
              </w:rPr>
            </w:pPr>
            <w:r>
              <w:rPr>
                <w:rFonts w:hint="eastAsia" w:ascii="宋体" w:hAnsi="宋体" w:eastAsia="宋体" w:cs="宋体"/>
                <w:b/>
                <w:bCs/>
                <w:color w:val="auto"/>
                <w:kern w:val="0"/>
                <w:sz w:val="24"/>
              </w:rPr>
              <w:t>开采标高</w:t>
            </w:r>
          </w:p>
        </w:tc>
        <w:tc>
          <w:tcPr>
            <w:tcW w:w="1827" w:type="pct"/>
            <w:gridSpan w:val="2"/>
            <w:noWrap w:val="0"/>
            <w:vAlign w:val="center"/>
          </w:tcPr>
          <w:p w14:paraId="6148F21E">
            <w:pPr>
              <w:widowControl/>
              <w:spacing w:line="240" w:lineRule="auto"/>
              <w:ind w:firstLine="0" w:firstLineChars="0"/>
              <w:jc w:val="center"/>
              <w:rPr>
                <w:rFonts w:hint="eastAsia" w:ascii="宋体" w:hAnsi="宋体" w:eastAsia="宋体" w:cs="宋体"/>
                <w:color w:val="auto"/>
                <w:kern w:val="0"/>
                <w:sz w:val="24"/>
              </w:rPr>
            </w:pPr>
            <w:r>
              <w:rPr>
                <w:rFonts w:hint="eastAsia" w:ascii="宋体" w:hAnsi="宋体" w:eastAsia="宋体" w:cs="宋体"/>
                <w:color w:val="auto"/>
                <w:kern w:val="0"/>
                <w:sz w:val="24"/>
              </w:rPr>
              <w:t>1113m～1035m</w:t>
            </w:r>
          </w:p>
        </w:tc>
        <w:tc>
          <w:tcPr>
            <w:tcW w:w="692" w:type="pct"/>
            <w:gridSpan w:val="2"/>
            <w:noWrap w:val="0"/>
            <w:vAlign w:val="center"/>
          </w:tcPr>
          <w:p w14:paraId="5F46E424">
            <w:pPr>
              <w:widowControl/>
              <w:spacing w:line="240" w:lineRule="auto"/>
              <w:ind w:firstLine="0" w:firstLineChars="0"/>
              <w:jc w:val="center"/>
              <w:rPr>
                <w:rFonts w:hint="eastAsia" w:ascii="宋体" w:hAnsi="宋体" w:eastAsia="宋体" w:cs="宋体"/>
                <w:color w:val="auto"/>
                <w:kern w:val="0"/>
                <w:sz w:val="24"/>
              </w:rPr>
            </w:pPr>
            <w:r>
              <w:rPr>
                <w:rFonts w:hint="eastAsia" w:ascii="宋体" w:hAnsi="宋体" w:eastAsia="宋体" w:cs="宋体"/>
                <w:b/>
                <w:bCs/>
                <w:color w:val="auto"/>
                <w:kern w:val="0"/>
                <w:sz w:val="24"/>
              </w:rPr>
              <w:t>矿区面积</w:t>
            </w:r>
          </w:p>
        </w:tc>
        <w:tc>
          <w:tcPr>
            <w:tcW w:w="1811" w:type="pct"/>
            <w:gridSpan w:val="2"/>
            <w:noWrap w:val="0"/>
            <w:vAlign w:val="center"/>
          </w:tcPr>
          <w:p w14:paraId="2433B25F">
            <w:pPr>
              <w:widowControl/>
              <w:spacing w:line="240" w:lineRule="auto"/>
              <w:ind w:firstLine="0" w:firstLineChars="0"/>
              <w:jc w:val="center"/>
              <w:rPr>
                <w:rFonts w:hint="eastAsia" w:ascii="宋体" w:hAnsi="宋体" w:eastAsia="宋体" w:cs="宋体"/>
                <w:color w:val="auto"/>
                <w:kern w:val="0"/>
                <w:sz w:val="24"/>
              </w:rPr>
            </w:pPr>
            <w:r>
              <w:rPr>
                <w:rFonts w:hint="eastAsia" w:ascii="宋体" w:hAnsi="宋体" w:eastAsia="宋体" w:cs="宋体"/>
                <w:color w:val="auto"/>
                <w:kern w:val="0"/>
                <w:sz w:val="24"/>
              </w:rPr>
              <w:t>0.0532km</w:t>
            </w:r>
            <w:r>
              <w:rPr>
                <w:rFonts w:hint="eastAsia" w:ascii="宋体" w:hAnsi="宋体" w:eastAsia="宋体" w:cs="宋体"/>
                <w:color w:val="auto"/>
                <w:kern w:val="0"/>
                <w:sz w:val="24"/>
                <w:vertAlign w:val="superscript"/>
              </w:rPr>
              <w:t>2</w:t>
            </w:r>
            <w:r>
              <w:rPr>
                <w:rFonts w:hint="eastAsia" w:ascii="宋体" w:hAnsi="宋体" w:eastAsia="宋体" w:cs="宋体"/>
                <w:color w:val="auto"/>
                <w:kern w:val="0"/>
                <w:sz w:val="24"/>
              </w:rPr>
              <w:t>（79.80亩）</w:t>
            </w:r>
          </w:p>
        </w:tc>
      </w:tr>
    </w:tbl>
    <w:p w14:paraId="2C8BBB5A">
      <w:pPr>
        <w:pStyle w:val="4"/>
        <w:bidi w:val="0"/>
      </w:pPr>
      <w:r>
        <w:t>建设项目</w:t>
      </w:r>
      <w:r>
        <w:rPr>
          <w:rFonts w:hint="eastAsia"/>
          <w:lang w:val="en-US" w:eastAsia="zh-CN"/>
        </w:rPr>
        <w:t>行政区划、</w:t>
      </w:r>
      <w:r>
        <w:t>地理位置</w:t>
      </w:r>
      <w:r>
        <w:rPr>
          <w:rFonts w:hint="eastAsia"/>
          <w:lang w:val="en-US" w:eastAsia="zh-CN"/>
        </w:rPr>
        <w:t>及交通</w:t>
      </w:r>
    </w:p>
    <w:p w14:paraId="01AD4A35">
      <w:pPr>
        <w:bidi w:val="0"/>
        <w:rPr>
          <w:rFonts w:hint="eastAsia" w:ascii="宋体" w:hAnsi="宋体" w:eastAsia="宋体" w:cs="宋体"/>
          <w:lang w:eastAsia="zh-CN"/>
        </w:rPr>
      </w:pPr>
      <w:r>
        <w:rPr>
          <w:rFonts w:hint="eastAsia" w:ascii="宋体" w:hAnsi="宋体" w:eastAsia="宋体" w:cs="宋体"/>
        </w:rPr>
        <w:t>元谋县大物茂砂厂位于元谋县城337°方向，平距29.0km处，隶属元谋县物茂乡大物茂村所辖。矿区地理坐标东经101°47′21″-101°47′32″，北纬25°52′56″-25°53′07″，标高1113</w:t>
      </w:r>
      <w:r>
        <w:rPr>
          <w:rFonts w:hint="eastAsia" w:ascii="宋体" w:hAnsi="宋体" w:eastAsia="宋体" w:cs="宋体"/>
          <w:lang w:eastAsia="zh-CN"/>
        </w:rPr>
        <w:t>—</w:t>
      </w:r>
      <w:r>
        <w:rPr>
          <w:rFonts w:hint="eastAsia" w:ascii="宋体" w:hAnsi="宋体" w:eastAsia="宋体" w:cs="宋体"/>
        </w:rPr>
        <w:t>1035m。</w:t>
      </w:r>
    </w:p>
    <w:p w14:paraId="3D32C8FB">
      <w:pPr>
        <w:bidi w:val="0"/>
        <w:rPr>
          <w:rFonts w:hint="eastAsia" w:ascii="宋体" w:hAnsi="宋体" w:eastAsia="宋体" w:cs="宋体"/>
          <w:vertAlign w:val="baseline"/>
          <w:lang w:eastAsia="zh-CN"/>
        </w:rPr>
      </w:pPr>
      <w:r>
        <w:rPr>
          <w:rFonts w:hint="eastAsia" w:ascii="宋体" w:hAnsi="宋体" w:eastAsia="宋体" w:cs="宋体"/>
          <w:lang w:eastAsia="zh-CN"/>
        </w:rPr>
        <w:t>G108国道从矿区南西侧通过，紧邻矿区，距离矿区约</w:t>
      </w:r>
      <w:r>
        <w:rPr>
          <w:rFonts w:hint="eastAsia" w:ascii="宋体" w:hAnsi="宋体" w:cs="宋体"/>
          <w:lang w:val="en-US" w:eastAsia="zh-CN"/>
        </w:rPr>
        <w:t>27</w:t>
      </w:r>
      <w:r>
        <w:rPr>
          <w:rFonts w:hint="eastAsia" w:ascii="宋体" w:hAnsi="宋体" w:eastAsia="宋体" w:cs="宋体"/>
          <w:lang w:eastAsia="zh-CN"/>
        </w:rPr>
        <w:t>m；北距离永仁城约31</w:t>
      </w:r>
      <w:r>
        <w:rPr>
          <w:rFonts w:hint="eastAsia" w:ascii="宋体" w:hAnsi="宋体" w:cs="宋体"/>
          <w:lang w:eastAsia="zh-CN"/>
        </w:rPr>
        <w:t>km</w:t>
      </w:r>
      <w:r>
        <w:rPr>
          <w:rFonts w:hint="eastAsia" w:ascii="宋体" w:hAnsi="宋体" w:eastAsia="宋体" w:cs="宋体"/>
          <w:lang w:eastAsia="zh-CN"/>
        </w:rPr>
        <w:t>，南距元谋县城约29</w:t>
      </w:r>
      <w:r>
        <w:rPr>
          <w:rFonts w:hint="eastAsia" w:ascii="宋体" w:hAnsi="宋体" w:cs="宋体"/>
          <w:lang w:eastAsia="zh-CN"/>
        </w:rPr>
        <w:t>km</w:t>
      </w:r>
      <w:r>
        <w:rPr>
          <w:rFonts w:hint="eastAsia" w:ascii="宋体" w:hAnsi="宋体" w:eastAsia="宋体" w:cs="宋体"/>
          <w:lang w:eastAsia="zh-CN"/>
        </w:rPr>
        <w:t>，交通较便利。（见图</w:t>
      </w:r>
      <w:r>
        <w:rPr>
          <w:rFonts w:hint="eastAsia" w:ascii="宋体" w:hAnsi="宋体" w:cs="宋体"/>
          <w:lang w:val="en-US" w:eastAsia="zh-CN"/>
        </w:rPr>
        <w:t>2-1</w:t>
      </w:r>
      <w:r>
        <w:rPr>
          <w:rFonts w:hint="eastAsia" w:ascii="宋体" w:hAnsi="宋体" w:eastAsia="宋体" w:cs="宋体"/>
          <w:lang w:eastAsia="zh-CN"/>
        </w:rPr>
        <w:t>）</w:t>
      </w:r>
    </w:p>
    <w:tbl>
      <w:tblPr>
        <w:tblStyle w:val="3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118"/>
      </w:tblGrid>
      <w:tr w14:paraId="4A89F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118" w:type="dxa"/>
          </w:tcPr>
          <w:p w14:paraId="218029FE">
            <w:pPr>
              <w:pStyle w:val="11"/>
              <w:ind w:left="0" w:leftChars="0" w:right="0" w:rightChars="0" w:firstLine="0" w:firstLineChars="0"/>
              <w:jc w:val="center"/>
              <w:rPr>
                <w:rFonts w:hint="eastAsia"/>
                <w:lang w:eastAsia="zh-CN"/>
              </w:rPr>
            </w:pPr>
            <w:r>
              <w:t xml:space="preserve">图 </w:t>
            </w:r>
            <w:r>
              <w:fldChar w:fldCharType="begin"/>
            </w:r>
            <w:r>
              <w:instrText xml:space="preserve"> STYLEREF 1 \s </w:instrText>
            </w:r>
            <w:r>
              <w:fldChar w:fldCharType="separate"/>
            </w:r>
            <w:r>
              <w:t>2</w:t>
            </w:r>
            <w:r>
              <w:fldChar w:fldCharType="end"/>
            </w:r>
            <w:r>
              <w:rPr>
                <w:rFonts w:hint="eastAsia"/>
                <w:lang w:eastAsia="zh-CN"/>
              </w:rPr>
              <w:t>-</w:t>
            </w:r>
            <w:r>
              <w:fldChar w:fldCharType="begin"/>
            </w:r>
            <w:r>
              <w:instrText xml:space="preserve"> SEQ 图 \* ARABIC \s 1 </w:instrText>
            </w:r>
            <w:r>
              <w:fldChar w:fldCharType="separate"/>
            </w:r>
            <w:r>
              <w:t>1</w:t>
            </w:r>
            <w:r>
              <w:fldChar w:fldCharType="end"/>
            </w:r>
            <w:r>
              <w:rPr>
                <w:rFonts w:hint="eastAsia"/>
                <w:lang w:eastAsia="zh-CN"/>
              </w:rPr>
              <w:t xml:space="preserve"> 交通位置图</w:t>
            </w:r>
            <w:r>
              <w:rPr>
                <w:rFonts w:hint="eastAsia"/>
                <w:lang w:eastAsia="zh-CN"/>
              </w:rPr>
              <w:drawing>
                <wp:anchor distT="0" distB="0" distL="114300" distR="114300" simplePos="0" relativeHeight="251665408" behindDoc="0" locked="0" layoutInCell="1" allowOverlap="1">
                  <wp:simplePos x="0" y="0"/>
                  <wp:positionH relativeFrom="column">
                    <wp:posOffset>84455</wp:posOffset>
                  </wp:positionH>
                  <wp:positionV relativeFrom="paragraph">
                    <wp:posOffset>6985</wp:posOffset>
                  </wp:positionV>
                  <wp:extent cx="5454650" cy="5754370"/>
                  <wp:effectExtent l="0" t="0" r="1270" b="6350"/>
                  <wp:wrapTopAndBottom/>
                  <wp:docPr id="16" name="图片 1" descr="交通位置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descr="交通位置图"/>
                          <pic:cNvPicPr>
                            <a:picLocks noChangeAspect="1"/>
                          </pic:cNvPicPr>
                        </pic:nvPicPr>
                        <pic:blipFill>
                          <a:blip r:embed="rId15"/>
                          <a:srcRect l="9494" t="9637" r="8662" b="12811"/>
                          <a:stretch>
                            <a:fillRect/>
                          </a:stretch>
                        </pic:blipFill>
                        <pic:spPr>
                          <a:xfrm>
                            <a:off x="0" y="0"/>
                            <a:ext cx="5454650" cy="5754370"/>
                          </a:xfrm>
                          <a:prstGeom prst="rect">
                            <a:avLst/>
                          </a:prstGeom>
                          <a:noFill/>
                          <a:ln>
                            <a:noFill/>
                          </a:ln>
                        </pic:spPr>
                      </pic:pic>
                    </a:graphicData>
                  </a:graphic>
                </wp:anchor>
              </w:drawing>
            </w:r>
          </w:p>
        </w:tc>
      </w:tr>
    </w:tbl>
    <w:p w14:paraId="35B9B24E">
      <w:pPr>
        <w:rPr>
          <w:rFonts w:hint="eastAsia"/>
          <w:lang w:val="en-US" w:eastAsia="zh-CN"/>
        </w:rPr>
      </w:pPr>
      <w:r>
        <w:rPr>
          <w:rFonts w:hint="eastAsia"/>
          <w:lang w:val="en-US" w:eastAsia="zh-CN"/>
        </w:rPr>
        <w:br w:type="page"/>
      </w:r>
    </w:p>
    <w:p w14:paraId="6C199D3B">
      <w:pPr>
        <w:pStyle w:val="4"/>
        <w:bidi w:val="0"/>
      </w:pPr>
      <w:bookmarkStart w:id="68" w:name="_Toc19168"/>
      <w:r>
        <w:rPr>
          <w:rFonts w:hint="eastAsia"/>
          <w:lang w:val="en-US" w:eastAsia="zh-CN"/>
        </w:rPr>
        <w:t>矿</w:t>
      </w:r>
      <w:r>
        <w:t>区周边环境</w:t>
      </w:r>
      <w:bookmarkEnd w:id="68"/>
    </w:p>
    <w:p w14:paraId="3ACC356F">
      <w:pPr>
        <w:bidi w:val="0"/>
        <w:rPr>
          <w:rFonts w:hint="eastAsia" w:ascii="宋体" w:hAnsi="宋体" w:eastAsia="宋体" w:cs="宋体"/>
        </w:rPr>
      </w:pPr>
      <w:r>
        <w:rPr>
          <w:rFonts w:hint="eastAsia" w:ascii="宋体" w:hAnsi="宋体" w:eastAsia="宋体" w:cs="宋体"/>
        </w:rPr>
        <w:t>矿区地处荒山地段，矿山生活区位于矿区范围外，破碎站、工业场地均位于矿区范围内；以矿权边界为基点：东侧、东南侧、北侧、东北侧为荒地；东侧738m为新村公路；南侧337m为大物茂村；西侧618m为多竹村，945m为G5京昆高速；西侧为大多乐村散户；矿界6#点距离G108国道27m；东北侧60m处有一条森林防火道路；南侧12m为矿山自己的蓄水池，水域面积约338.30m²，蓄水量约1691.5m³，矿山开采对蓄水池影响较小；矿山不存在矿权的交叉、重叠现象，没有高压线路和通讯线路跨越，无自然保护区及旅游景区（点），矿区运输条件好，具有较好的生产作业条件。</w:t>
      </w:r>
    </w:p>
    <w:tbl>
      <w:tblPr>
        <w:tblStyle w:val="3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118"/>
      </w:tblGrid>
      <w:tr w14:paraId="34DCF4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118" w:type="dxa"/>
          </w:tcPr>
          <w:p w14:paraId="33F0CA2A">
            <w:pPr>
              <w:pStyle w:val="11"/>
              <w:ind w:left="0" w:leftChars="0" w:firstLine="0" w:firstLineChars="0"/>
              <w:jc w:val="center"/>
              <w:rPr>
                <w:rFonts w:hint="eastAsia" w:eastAsia="宋体"/>
                <w:lang w:eastAsia="zh-CN"/>
              </w:rPr>
            </w:pPr>
            <w:r>
              <w:rPr>
                <w:rFonts w:ascii="宋体" w:hAnsi="宋体" w:cs="宋体"/>
                <w:color w:val="auto"/>
                <w:sz w:val="28"/>
              </w:rPr>
              <w:drawing>
                <wp:anchor distT="0" distB="0" distL="114300" distR="114300" simplePos="0" relativeHeight="251666432" behindDoc="0" locked="0" layoutInCell="1" allowOverlap="1">
                  <wp:simplePos x="0" y="0"/>
                  <wp:positionH relativeFrom="column">
                    <wp:posOffset>0</wp:posOffset>
                  </wp:positionH>
                  <wp:positionV relativeFrom="paragraph">
                    <wp:posOffset>-3525520</wp:posOffset>
                  </wp:positionV>
                  <wp:extent cx="5712460" cy="3766820"/>
                  <wp:effectExtent l="0" t="0" r="2540" b="12700"/>
                  <wp:wrapSquare wrapText="bothSides"/>
                  <wp:docPr id="1" name="图片 1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34"/>
                          <pic:cNvPicPr>
                            <a:picLocks noChangeAspect="1"/>
                          </pic:cNvPicPr>
                        </pic:nvPicPr>
                        <pic:blipFill>
                          <a:blip r:embed="rId16"/>
                          <a:stretch>
                            <a:fillRect/>
                          </a:stretch>
                        </pic:blipFill>
                        <pic:spPr>
                          <a:xfrm>
                            <a:off x="0" y="0"/>
                            <a:ext cx="5712460" cy="3766820"/>
                          </a:xfrm>
                          <a:prstGeom prst="rect">
                            <a:avLst/>
                          </a:prstGeom>
                          <a:noFill/>
                          <a:ln>
                            <a:noFill/>
                          </a:ln>
                        </pic:spPr>
                      </pic:pic>
                    </a:graphicData>
                  </a:graphic>
                </wp:anchor>
              </w:drawing>
            </w:r>
            <w:r>
              <w:t xml:space="preserve">图 </w:t>
            </w:r>
            <w:r>
              <w:fldChar w:fldCharType="begin"/>
            </w:r>
            <w:r>
              <w:instrText xml:space="preserve"> STYLEREF 1 \s </w:instrText>
            </w:r>
            <w:r>
              <w:fldChar w:fldCharType="separate"/>
            </w:r>
            <w:r>
              <w:t>2</w:t>
            </w:r>
            <w:r>
              <w:fldChar w:fldCharType="end"/>
            </w:r>
            <w:r>
              <w:rPr>
                <w:rFonts w:hint="eastAsia"/>
                <w:lang w:eastAsia="zh-CN"/>
              </w:rPr>
              <w:t>-</w:t>
            </w:r>
            <w:r>
              <w:fldChar w:fldCharType="begin"/>
            </w:r>
            <w:r>
              <w:instrText xml:space="preserve"> SEQ 图 \* ARABIC \s 1 </w:instrText>
            </w:r>
            <w:r>
              <w:fldChar w:fldCharType="separate"/>
            </w:r>
            <w:r>
              <w:t>2</w:t>
            </w:r>
            <w:r>
              <w:fldChar w:fldCharType="end"/>
            </w:r>
            <w:r>
              <w:rPr>
                <w:rFonts w:hint="eastAsia"/>
                <w:lang w:eastAsia="zh-CN"/>
              </w:rPr>
              <w:t xml:space="preserve"> 矿区周边环境卫星示意图</w:t>
            </w:r>
          </w:p>
        </w:tc>
      </w:tr>
    </w:tbl>
    <w:p w14:paraId="6859D23F">
      <w:pPr>
        <w:pStyle w:val="3"/>
        <w:bidi w:val="0"/>
      </w:pPr>
      <w:bookmarkStart w:id="69" w:name="_Toc7522"/>
      <w:r>
        <w:rPr>
          <w:rFonts w:hint="eastAsia"/>
        </w:rPr>
        <w:t>自然环境概况</w:t>
      </w:r>
      <w:bookmarkEnd w:id="69"/>
    </w:p>
    <w:p w14:paraId="593BC728">
      <w:pPr>
        <w:pStyle w:val="4"/>
        <w:bidi w:val="0"/>
        <w:rPr>
          <w:rFonts w:hint="eastAsia"/>
        </w:rPr>
      </w:pPr>
      <w:bookmarkStart w:id="70" w:name="_Toc18968"/>
      <w:r>
        <w:rPr>
          <w:rFonts w:hint="eastAsia"/>
          <w:lang w:val="en-US" w:eastAsia="zh-CN"/>
        </w:rPr>
        <w:t>矿区</w:t>
      </w:r>
      <w:r>
        <w:t>地形地貌</w:t>
      </w:r>
      <w:bookmarkEnd w:id="70"/>
    </w:p>
    <w:p w14:paraId="2A2BB4CE">
      <w:pPr>
        <w:bidi w:val="0"/>
        <w:rPr>
          <w:rFonts w:hint="eastAsia" w:ascii="宋体" w:hAnsi="宋体" w:eastAsia="宋体" w:cs="宋体"/>
          <w:lang w:eastAsia="zh-CN"/>
        </w:rPr>
      </w:pPr>
      <w:r>
        <w:rPr>
          <w:rFonts w:hint="eastAsia" w:ascii="宋体" w:hAnsi="宋体" w:eastAsia="宋体" w:cs="宋体"/>
        </w:rPr>
        <w:t>矿区总体地势北东高南西低，为构造剥蚀地貌区。矿区最高点位于矿区外北东侧山顶，海拔标高1134m，最低点为矿区南西侧河流部位，海拔标高 1023m，相对高差 111m，为浅切割低中山地貌，地形自然坡度 16～25°，局部相对较陡，区内植被不发育，植物主要为杂草，少量灌木、乔木</w:t>
      </w:r>
      <w:r>
        <w:rPr>
          <w:rFonts w:hint="eastAsia" w:ascii="宋体" w:hAnsi="宋体" w:eastAsia="宋体" w:cs="宋体"/>
          <w:lang w:eastAsia="zh-CN"/>
        </w:rPr>
        <w:t>。</w:t>
      </w:r>
    </w:p>
    <w:p w14:paraId="1C231ACE">
      <w:pPr>
        <w:pStyle w:val="4"/>
        <w:bidi w:val="0"/>
        <w:rPr>
          <w:rFonts w:hint="eastAsia"/>
        </w:rPr>
      </w:pPr>
      <w:bookmarkStart w:id="71" w:name="_Toc19572"/>
      <w:r>
        <w:rPr>
          <w:rFonts w:hint="eastAsia"/>
        </w:rPr>
        <w:t>气候</w:t>
      </w:r>
      <w:bookmarkEnd w:id="71"/>
    </w:p>
    <w:p w14:paraId="018466AC">
      <w:pPr>
        <w:bidi w:val="0"/>
        <w:rPr>
          <w:rFonts w:hint="eastAsia" w:ascii="宋体" w:hAnsi="宋体" w:eastAsia="宋体" w:cs="宋体"/>
        </w:rPr>
      </w:pPr>
      <w:r>
        <w:rPr>
          <w:rFonts w:hint="eastAsia" w:ascii="宋体" w:hAnsi="宋体" w:eastAsia="宋体" w:cs="宋体"/>
        </w:rPr>
        <w:t>矿区所在地属南亚热带干热季风气候，年平均气温21.9℃，极端最高温度42℃</w:t>
      </w:r>
      <w:r>
        <w:rPr>
          <w:rFonts w:hint="eastAsia" w:ascii="宋体" w:hAnsi="宋体" w:eastAsia="宋体" w:cs="宋体"/>
          <w:lang w:eastAsia="zh-CN"/>
        </w:rPr>
        <w:t>，</w:t>
      </w:r>
      <w:r>
        <w:rPr>
          <w:rFonts w:hint="eastAsia" w:ascii="宋体" w:hAnsi="宋体" w:eastAsia="宋体" w:cs="宋体"/>
        </w:rPr>
        <w:t>最低温度零下0.1℃.年日照时数2670.4小时。年平均日照时数7.3小时/天，日照百分率60%。山区无霜期305</w:t>
      </w:r>
      <w:r>
        <w:rPr>
          <w:rFonts w:hint="eastAsia" w:ascii="宋体" w:hAnsi="宋体" w:eastAsia="宋体" w:cs="宋体"/>
          <w:lang w:eastAsia="zh-CN"/>
        </w:rPr>
        <w:t>—</w:t>
      </w:r>
      <w:r>
        <w:rPr>
          <w:rFonts w:hint="eastAsia" w:ascii="宋体" w:hAnsi="宋体" w:eastAsia="宋体" w:cs="宋体"/>
        </w:rPr>
        <w:t>314天，半山区302</w:t>
      </w:r>
      <w:r>
        <w:rPr>
          <w:rFonts w:hint="eastAsia" w:ascii="宋体" w:hAnsi="宋体" w:eastAsia="宋体" w:cs="宋体"/>
          <w:lang w:eastAsia="zh-CN"/>
        </w:rPr>
        <w:t>—</w:t>
      </w:r>
      <w:r>
        <w:rPr>
          <w:rFonts w:hint="eastAsia" w:ascii="宋体" w:hAnsi="宋体" w:eastAsia="宋体" w:cs="宋体"/>
        </w:rPr>
        <w:t>331天，坝区平均霜日2天。年蒸发量为降水量的6.4倍。年平均相对湿度为53%。多东南风，年平均风速2.5m/秒。年平均降雨量613.8mm。最多年</w:t>
      </w:r>
      <w:r>
        <w:rPr>
          <w:rFonts w:hint="eastAsia" w:ascii="宋体" w:hAnsi="宋体" w:eastAsia="宋体" w:cs="宋体"/>
          <w:lang w:eastAsia="zh-CN"/>
        </w:rPr>
        <w:t>降雨量</w:t>
      </w:r>
      <w:r>
        <w:rPr>
          <w:rFonts w:hint="eastAsia" w:ascii="宋体" w:hAnsi="宋体" w:eastAsia="宋体" w:cs="宋体"/>
        </w:rPr>
        <w:t>906.7mm(1966年</w:t>
      </w:r>
      <w:r>
        <w:rPr>
          <w:rFonts w:hint="eastAsia" w:ascii="宋体" w:hAnsi="宋体" w:eastAsia="宋体" w:cs="宋体"/>
          <w:lang w:eastAsia="zh-CN"/>
        </w:rPr>
        <w:t>）</w:t>
      </w:r>
      <w:r>
        <w:rPr>
          <w:rFonts w:hint="eastAsia" w:ascii="宋体" w:hAnsi="宋体" w:eastAsia="宋体" w:cs="宋体"/>
        </w:rPr>
        <w:t>，最少年</w:t>
      </w:r>
      <w:r>
        <w:rPr>
          <w:rFonts w:hint="eastAsia" w:ascii="宋体" w:hAnsi="宋体" w:eastAsia="宋体" w:cs="宋体"/>
          <w:lang w:eastAsia="zh-CN"/>
        </w:rPr>
        <w:t>降雨量</w:t>
      </w:r>
      <w:r>
        <w:rPr>
          <w:rFonts w:hint="eastAsia" w:ascii="宋体" w:hAnsi="宋体" w:eastAsia="宋体" w:cs="宋体"/>
        </w:rPr>
        <w:t>287.4mm(1960年</w:t>
      </w:r>
      <w:r>
        <w:rPr>
          <w:rFonts w:hint="eastAsia" w:ascii="宋体" w:hAnsi="宋体" w:eastAsia="宋体" w:cs="宋体"/>
          <w:lang w:eastAsia="zh-CN"/>
        </w:rPr>
        <w:t>）</w:t>
      </w:r>
      <w:r>
        <w:rPr>
          <w:rFonts w:hint="eastAsia" w:ascii="宋体" w:hAnsi="宋体" w:eastAsia="宋体" w:cs="宋体"/>
        </w:rPr>
        <w:t>。雨季开始一般在5月29日</w:t>
      </w:r>
      <w:r>
        <w:rPr>
          <w:rFonts w:hint="eastAsia" w:ascii="宋体" w:hAnsi="宋体" w:eastAsia="宋体" w:cs="宋体"/>
          <w:lang w:eastAsia="zh-CN"/>
        </w:rPr>
        <w:t>（</w:t>
      </w:r>
      <w:r>
        <w:rPr>
          <w:rFonts w:hint="eastAsia" w:ascii="宋体" w:hAnsi="宋体" w:eastAsia="宋体" w:cs="宋体"/>
        </w:rPr>
        <w:t>最早为5月6日</w:t>
      </w:r>
      <w:r>
        <w:rPr>
          <w:rFonts w:hint="eastAsia" w:ascii="宋体" w:hAnsi="宋体" w:eastAsia="宋体" w:cs="宋体"/>
          <w:lang w:eastAsia="zh-CN"/>
        </w:rPr>
        <w:t>），</w:t>
      </w:r>
      <w:r>
        <w:rPr>
          <w:rFonts w:hint="eastAsia" w:ascii="宋体" w:hAnsi="宋体" w:eastAsia="宋体" w:cs="宋体"/>
        </w:rPr>
        <w:t>结束一般在10月11日</w:t>
      </w:r>
      <w:r>
        <w:rPr>
          <w:rFonts w:hint="eastAsia" w:ascii="宋体" w:hAnsi="宋体" w:eastAsia="宋体" w:cs="宋体"/>
          <w:lang w:eastAsia="zh-CN"/>
        </w:rPr>
        <w:t>（</w:t>
      </w:r>
      <w:r>
        <w:rPr>
          <w:rFonts w:hint="eastAsia" w:ascii="宋体" w:hAnsi="宋体" w:eastAsia="宋体" w:cs="宋体"/>
        </w:rPr>
        <w:t>最迟10月29日</w:t>
      </w:r>
      <w:r>
        <w:rPr>
          <w:rFonts w:hint="eastAsia" w:ascii="宋体" w:hAnsi="宋体" w:eastAsia="宋体" w:cs="宋体"/>
          <w:lang w:eastAsia="zh-CN"/>
        </w:rPr>
        <w:t>）</w:t>
      </w:r>
      <w:r>
        <w:rPr>
          <w:rFonts w:hint="eastAsia" w:ascii="宋体" w:hAnsi="宋体" w:eastAsia="宋体" w:cs="宋体"/>
        </w:rPr>
        <w:t>。7月降雨最多</w:t>
      </w:r>
      <w:r>
        <w:rPr>
          <w:rFonts w:hint="eastAsia" w:ascii="宋体" w:hAnsi="宋体" w:eastAsia="宋体" w:cs="宋体"/>
          <w:lang w:eastAsia="zh-CN"/>
        </w:rPr>
        <w:t>，</w:t>
      </w:r>
      <w:r>
        <w:rPr>
          <w:rFonts w:hint="eastAsia" w:ascii="宋体" w:hAnsi="宋体" w:eastAsia="宋体" w:cs="宋体"/>
        </w:rPr>
        <w:t>平均为137.8mm；1月份最少，为3.1mm，冬春雨少，3-5月不足60.6mm,12-2月不足20mm。</w:t>
      </w:r>
    </w:p>
    <w:p w14:paraId="5EDC8A00">
      <w:pPr>
        <w:pStyle w:val="4"/>
        <w:bidi w:val="0"/>
      </w:pPr>
      <w:bookmarkStart w:id="72" w:name="_Toc3161"/>
      <w:r>
        <w:rPr>
          <w:rFonts w:hint="eastAsia"/>
        </w:rPr>
        <w:t>地震烈度</w:t>
      </w:r>
      <w:bookmarkEnd w:id="72"/>
    </w:p>
    <w:p w14:paraId="00C3FB61">
      <w:pPr>
        <w:bidi w:val="0"/>
        <w:rPr>
          <w:rFonts w:hint="eastAsia" w:ascii="宋体" w:hAnsi="宋体" w:eastAsia="宋体" w:cs="宋体"/>
          <w:lang w:eastAsia="zh-CN"/>
        </w:rPr>
      </w:pPr>
      <w:r>
        <w:rPr>
          <w:rFonts w:hint="eastAsia" w:ascii="宋体" w:hAnsi="宋体" w:eastAsia="宋体" w:cs="宋体"/>
        </w:rPr>
        <w:t>根据《中国地震动参数区划图》（GB18306-2015）及《</w:t>
      </w:r>
      <w:r>
        <w:rPr>
          <w:rFonts w:hint="eastAsia" w:ascii="宋体" w:hAnsi="宋体" w:cs="宋体"/>
          <w:lang w:eastAsia="zh-CN"/>
        </w:rPr>
        <w:t>建筑抗震设计</w:t>
      </w:r>
      <w:r>
        <w:rPr>
          <w:rFonts w:hint="eastAsia" w:ascii="宋体" w:hAnsi="宋体" w:cs="宋体"/>
          <w:lang w:val="en-US" w:eastAsia="zh-CN"/>
        </w:rPr>
        <w:t>标准</w:t>
      </w:r>
      <w:r>
        <w:rPr>
          <w:rFonts w:hint="eastAsia" w:ascii="宋体" w:hAnsi="宋体" w:eastAsia="宋体" w:cs="宋体"/>
        </w:rPr>
        <w:t>》（</w:t>
      </w:r>
      <w:r>
        <w:rPr>
          <w:rFonts w:hint="eastAsia" w:ascii="宋体" w:hAnsi="宋体" w:cs="宋体"/>
          <w:lang w:eastAsia="zh-CN"/>
        </w:rPr>
        <w:t>GB 50011-2010，20</w:t>
      </w:r>
      <w:r>
        <w:rPr>
          <w:rFonts w:hint="eastAsia" w:ascii="宋体" w:hAnsi="宋体" w:cs="宋体"/>
          <w:lang w:val="en-US" w:eastAsia="zh-CN"/>
        </w:rPr>
        <w:t>24</w:t>
      </w:r>
      <w:r>
        <w:rPr>
          <w:rFonts w:hint="eastAsia" w:ascii="宋体" w:hAnsi="宋体" w:cs="宋体"/>
          <w:lang w:eastAsia="zh-CN"/>
        </w:rPr>
        <w:t>年版</w:t>
      </w:r>
      <w:r>
        <w:rPr>
          <w:rFonts w:hint="eastAsia" w:ascii="宋体" w:hAnsi="宋体" w:eastAsia="宋体" w:cs="宋体"/>
        </w:rPr>
        <w:t>），矿区所在位置属地震基本烈度7度区第三组，地震动峰值加速度0.15g，反应谱特征周期0.45s；根据1：100万《云南省区域地壳稳定性评价》资料，矿山处于区域为次稳定区，矿山建设应据此设防</w:t>
      </w:r>
      <w:r>
        <w:rPr>
          <w:rFonts w:hint="eastAsia" w:ascii="宋体" w:hAnsi="宋体" w:eastAsia="宋体" w:cs="宋体"/>
          <w:lang w:eastAsia="zh-CN"/>
        </w:rPr>
        <w:t>。</w:t>
      </w:r>
    </w:p>
    <w:p w14:paraId="2B5BAC42">
      <w:pPr>
        <w:pStyle w:val="4"/>
        <w:bidi w:val="0"/>
        <w:rPr>
          <w:rFonts w:hint="eastAsia"/>
          <w:lang w:val="en-US" w:eastAsia="zh-CN"/>
        </w:rPr>
      </w:pPr>
      <w:bookmarkStart w:id="73" w:name="_Toc5746"/>
      <w:r>
        <w:rPr>
          <w:rFonts w:hint="eastAsia"/>
          <w:lang w:val="en-US" w:eastAsia="zh-CN"/>
        </w:rPr>
        <w:t>经济概况</w:t>
      </w:r>
      <w:bookmarkEnd w:id="73"/>
    </w:p>
    <w:p w14:paraId="69ACC94C">
      <w:pPr>
        <w:bidi w:val="0"/>
        <w:rPr>
          <w:rFonts w:hint="eastAsia" w:ascii="宋体" w:hAnsi="宋体" w:eastAsia="宋体" w:cs="宋体"/>
        </w:rPr>
      </w:pPr>
      <w:r>
        <w:rPr>
          <w:rFonts w:hint="eastAsia" w:ascii="宋体" w:hAnsi="宋体" w:eastAsia="宋体" w:cs="宋体"/>
        </w:rPr>
        <w:t>元谋县大物茂砂厂隶属元谋县物茂乡大物茂村所辖。物茂乡地处元谋县县城西北侧，乡政府距县城29km，全乡辖5个村民委员会，53个村民小组，总人口16470人。</w:t>
      </w:r>
    </w:p>
    <w:p w14:paraId="24B35FBF">
      <w:pPr>
        <w:bidi w:val="0"/>
        <w:rPr>
          <w:rFonts w:hint="eastAsia" w:ascii="宋体" w:hAnsi="宋体" w:eastAsia="宋体" w:cs="宋体"/>
          <w:lang w:val="en-US"/>
        </w:rPr>
      </w:pPr>
      <w:r>
        <w:rPr>
          <w:rFonts w:hint="eastAsia" w:ascii="宋体" w:hAnsi="宋体" w:eastAsia="宋体" w:cs="宋体"/>
        </w:rPr>
        <w:t>物茂乡</w:t>
      </w:r>
      <w:r>
        <w:rPr>
          <w:rFonts w:hint="eastAsia" w:ascii="宋体" w:hAnsi="宋体" w:eastAsia="宋体" w:cs="宋体"/>
          <w:lang w:val="en-US"/>
        </w:rPr>
        <w:t>全乡总人口5579户、16001人。其中：男8188人，女7813人；城镇人口1658人，乡村人口14343人；少数民族7123人，占总人口的44.5%。主要少数民族有彝族6600人、傈僳族395人、傣族31人、壮族20人、回族15人、苗族11人、白族12人。人口自然增长率-0.02%。</w:t>
      </w:r>
    </w:p>
    <w:p w14:paraId="5FD04651">
      <w:pPr>
        <w:bidi w:val="0"/>
        <w:rPr>
          <w:rFonts w:hint="eastAsia" w:ascii="宋体" w:hAnsi="宋体" w:eastAsia="宋体" w:cs="宋体"/>
          <w:lang w:eastAsia="zh-CN"/>
        </w:rPr>
      </w:pPr>
      <w:r>
        <w:rPr>
          <w:rFonts w:hint="eastAsia" w:ascii="宋体" w:hAnsi="宋体" w:eastAsia="宋体" w:cs="宋体"/>
          <w:lang w:val="en-US"/>
        </w:rPr>
        <w:t>2023年农林牧渔业总产值61912万元，同比增长12.5%；完成固定资产投资72792万元，完成目标数65000万元的111.99%；招商引资实际到位资金51620万元，完成目标数32000万元的161.31%；完成财税收入1737万元，增长5.36%。争取上级补助资金525万元，完成目标数362万元的145.03%。扎实推进市场主体培育工作，年内新增市场主体570户，现有市场主体1413户。</w:t>
      </w:r>
    </w:p>
    <w:p w14:paraId="45208777">
      <w:pPr>
        <w:pStyle w:val="3"/>
        <w:bidi w:val="0"/>
      </w:pPr>
      <w:bookmarkStart w:id="74" w:name="_Toc32445"/>
      <w:r>
        <w:t>建设项目地质概况</w:t>
      </w:r>
      <w:bookmarkEnd w:id="74"/>
    </w:p>
    <w:p w14:paraId="430A1C5F">
      <w:pPr>
        <w:keepNext w:val="0"/>
        <w:keepLines w:val="0"/>
        <w:widowControl/>
        <w:suppressLineNumbers w:val="0"/>
        <w:jc w:val="left"/>
      </w:pPr>
      <w:r>
        <w:rPr>
          <w:rFonts w:hint="eastAsia" w:ascii="宋体" w:hAnsi="宋体" w:eastAsia="宋体" w:cs="宋体"/>
        </w:rPr>
        <w:t>地质概况资料来源于</w:t>
      </w:r>
      <w:r>
        <w:rPr>
          <w:rFonts w:hint="eastAsia" w:ascii="宋体" w:hAnsi="宋体" w:eastAsia="宋体" w:cs="宋体"/>
          <w:color w:val="auto"/>
          <w:lang w:val="en-US" w:eastAsia="zh-CN"/>
        </w:rPr>
        <w:t>《云南省元谋县大物茂砂厂建筑用砂矿资源储量核实报告（2024年）》</w:t>
      </w:r>
      <w:r>
        <w:rPr>
          <w:rFonts w:hint="eastAsia" w:ascii="宋体" w:hAnsi="宋体" w:cs="宋体"/>
          <w:color w:val="auto"/>
          <w:lang w:val="en-US" w:eastAsia="zh-CN"/>
        </w:rPr>
        <w:t>（</w:t>
      </w:r>
      <w:r>
        <w:rPr>
          <w:rFonts w:hint="eastAsia" w:ascii="宋体" w:hAnsi="宋体" w:eastAsia="宋体" w:cs="宋体"/>
          <w:color w:val="auto"/>
          <w:lang w:val="en-US" w:eastAsia="zh-CN"/>
        </w:rPr>
        <w:t>云南省一九九煤田地质勘探队，2024年10月编制</w:t>
      </w:r>
      <w:r>
        <w:rPr>
          <w:rFonts w:hint="eastAsia" w:ascii="宋体" w:hAnsi="宋体" w:cs="宋体"/>
          <w:color w:val="auto"/>
          <w:lang w:val="en-US" w:eastAsia="zh-CN"/>
        </w:rPr>
        <w:t>）</w:t>
      </w:r>
      <w:r>
        <w:rPr>
          <w:rFonts w:hint="eastAsia" w:ascii="宋体" w:hAnsi="宋体" w:eastAsia="宋体" w:cs="宋体"/>
          <w:color w:val="000000"/>
          <w:kern w:val="0"/>
          <w:sz w:val="28"/>
          <w:szCs w:val="28"/>
          <w:lang w:val="en-US" w:eastAsia="zh-CN" w:bidi="ar"/>
        </w:rPr>
        <w:t>为依据进行描述。</w:t>
      </w:r>
    </w:p>
    <w:p w14:paraId="4B27E96E">
      <w:pPr>
        <w:pStyle w:val="4"/>
        <w:bidi w:val="0"/>
      </w:pPr>
      <w:bookmarkStart w:id="75" w:name="_Toc17989"/>
      <w:r>
        <w:t>矿区地质概况</w:t>
      </w:r>
      <w:bookmarkEnd w:id="75"/>
    </w:p>
    <w:p w14:paraId="0CB5F486">
      <w:pPr>
        <w:pStyle w:val="5"/>
        <w:bidi w:val="0"/>
        <w:rPr>
          <w:rFonts w:hint="default"/>
          <w:lang w:val="en-US" w:eastAsia="zh-CN"/>
        </w:rPr>
      </w:pPr>
      <w:r>
        <w:rPr>
          <w:rFonts w:hint="eastAsia"/>
          <w:lang w:val="en-US" w:eastAsia="zh-CN"/>
        </w:rPr>
        <w:t>矿区地层</w:t>
      </w:r>
    </w:p>
    <w:p w14:paraId="46041445">
      <w:pPr>
        <w:bidi w:val="0"/>
        <w:rPr>
          <w:rFonts w:hint="eastAsia"/>
        </w:rPr>
      </w:pPr>
      <w:r>
        <w:rPr>
          <w:rFonts w:hint="eastAsia"/>
        </w:rPr>
        <w:t>区域出露地层有：前震旦系（Zb）、侏罗系（J）、白垩系（K）及第四系（Q）等，本区区域各地层出露及岩性特征描述见表</w:t>
      </w:r>
      <w:r>
        <w:rPr>
          <w:rFonts w:hint="eastAsia"/>
          <w:lang w:val="en-US" w:eastAsia="zh-CN"/>
        </w:rPr>
        <w:t>2-2</w:t>
      </w:r>
      <w:r>
        <w:rPr>
          <w:rFonts w:hint="eastAsia"/>
        </w:rPr>
        <w:t>。</w:t>
      </w:r>
    </w:p>
    <w:p w14:paraId="0278EA59">
      <w:pPr>
        <w:pStyle w:val="11"/>
        <w:ind w:left="0" w:leftChars="0" w:firstLine="0" w:firstLineChars="0"/>
        <w:jc w:val="center"/>
        <w:rPr>
          <w:rFonts w:hint="eastAsia" w:eastAsia="宋体"/>
          <w:lang w:eastAsia="zh-CN"/>
        </w:rPr>
      </w:pPr>
      <w:r>
        <w:t xml:space="preserve">表 </w:t>
      </w:r>
      <w:r>
        <w:fldChar w:fldCharType="begin"/>
      </w:r>
      <w:r>
        <w:instrText xml:space="preserve"> STYLEREF 1 \s </w:instrText>
      </w:r>
      <w:r>
        <w:fldChar w:fldCharType="separate"/>
      </w:r>
      <w:r>
        <w:t>2</w:t>
      </w:r>
      <w:r>
        <w:fldChar w:fldCharType="end"/>
      </w:r>
      <w:r>
        <w:rPr>
          <w:rFonts w:hint="eastAsia"/>
          <w:lang w:eastAsia="zh-CN"/>
        </w:rPr>
        <w:t>-</w:t>
      </w:r>
      <w:r>
        <w:fldChar w:fldCharType="begin"/>
      </w:r>
      <w:r>
        <w:instrText xml:space="preserve"> SEQ 表 \* ARABIC \s 1 </w:instrText>
      </w:r>
      <w:r>
        <w:fldChar w:fldCharType="separate"/>
      </w:r>
      <w:r>
        <w:t>2</w:t>
      </w:r>
      <w:r>
        <w:fldChar w:fldCharType="end"/>
      </w:r>
      <w:r>
        <w:rPr>
          <w:rFonts w:hint="eastAsia"/>
          <w:lang w:eastAsia="zh-CN"/>
        </w:rPr>
        <w:t xml:space="preserve"> 区域地层简表</w:t>
      </w:r>
    </w:p>
    <w:tbl>
      <w:tblPr>
        <w:tblStyle w:val="51"/>
        <w:tblW w:w="4997"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470"/>
        <w:gridCol w:w="712"/>
        <w:gridCol w:w="689"/>
        <w:gridCol w:w="459"/>
        <w:gridCol w:w="475"/>
        <w:gridCol w:w="1055"/>
        <w:gridCol w:w="1379"/>
        <w:gridCol w:w="3678"/>
      </w:tblGrid>
      <w:tr w14:paraId="50F7EC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64" w:type="pct"/>
            <w:tcBorders>
              <w:bottom w:val="single" w:color="000000" w:sz="6" w:space="0"/>
              <w:right w:val="single" w:color="000000" w:sz="6" w:space="0"/>
            </w:tcBorders>
            <w:noWrap w:val="0"/>
            <w:vAlign w:val="center"/>
          </w:tcPr>
          <w:p w14:paraId="1C188EBC">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bCs/>
                <w:color w:val="auto"/>
                <w:kern w:val="0"/>
                <w:sz w:val="21"/>
                <w:szCs w:val="21"/>
                <w:lang w:val="en-US" w:eastAsia="en-US" w:bidi="ar-SA"/>
              </w:rPr>
            </w:pPr>
            <w:r>
              <w:rPr>
                <w:rFonts w:hint="eastAsia" w:ascii="宋体" w:hAnsi="宋体" w:eastAsia="宋体" w:cs="宋体"/>
                <w:b/>
                <w:bCs/>
                <w:color w:val="auto"/>
                <w:kern w:val="0"/>
                <w:sz w:val="21"/>
                <w:szCs w:val="21"/>
                <w:lang w:val="en-US" w:eastAsia="en-US" w:bidi="ar-SA"/>
              </w:rPr>
              <w:t>界</w:t>
            </w:r>
          </w:p>
        </w:tc>
        <w:tc>
          <w:tcPr>
            <w:tcW w:w="399" w:type="pct"/>
            <w:tcBorders>
              <w:left w:val="single" w:color="000000" w:sz="6" w:space="0"/>
              <w:bottom w:val="single" w:color="000000" w:sz="6" w:space="0"/>
              <w:right w:val="single" w:color="000000" w:sz="6" w:space="0"/>
            </w:tcBorders>
            <w:noWrap w:val="0"/>
            <w:vAlign w:val="center"/>
          </w:tcPr>
          <w:p w14:paraId="566F9A7B">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bCs/>
                <w:color w:val="auto"/>
                <w:kern w:val="0"/>
                <w:sz w:val="21"/>
                <w:szCs w:val="21"/>
                <w:lang w:val="en-US" w:eastAsia="en-US" w:bidi="ar-SA"/>
              </w:rPr>
            </w:pPr>
            <w:r>
              <w:rPr>
                <w:rFonts w:hint="eastAsia" w:ascii="宋体" w:hAnsi="宋体" w:eastAsia="宋体" w:cs="宋体"/>
                <w:b/>
                <w:bCs/>
                <w:color w:val="auto"/>
                <w:kern w:val="0"/>
                <w:sz w:val="21"/>
                <w:szCs w:val="21"/>
                <w:lang w:val="en-US" w:eastAsia="en-US" w:bidi="ar-SA"/>
              </w:rPr>
              <w:t>系</w:t>
            </w:r>
          </w:p>
        </w:tc>
        <w:tc>
          <w:tcPr>
            <w:tcW w:w="386" w:type="pct"/>
            <w:tcBorders>
              <w:left w:val="single" w:color="000000" w:sz="6" w:space="0"/>
              <w:bottom w:val="single" w:color="000000" w:sz="6" w:space="0"/>
              <w:right w:val="single" w:color="000000" w:sz="6" w:space="0"/>
            </w:tcBorders>
            <w:noWrap w:val="0"/>
            <w:vAlign w:val="center"/>
          </w:tcPr>
          <w:p w14:paraId="626D7180">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bCs/>
                <w:color w:val="auto"/>
                <w:kern w:val="0"/>
                <w:sz w:val="21"/>
                <w:szCs w:val="21"/>
                <w:lang w:val="en-US" w:eastAsia="en-US" w:bidi="ar-SA"/>
              </w:rPr>
            </w:pPr>
            <w:r>
              <w:rPr>
                <w:rFonts w:hint="eastAsia" w:ascii="宋体" w:hAnsi="宋体" w:eastAsia="宋体" w:cs="宋体"/>
                <w:b/>
                <w:bCs/>
                <w:color w:val="auto"/>
                <w:kern w:val="0"/>
                <w:sz w:val="21"/>
                <w:szCs w:val="21"/>
                <w:lang w:val="en-US" w:eastAsia="en-US" w:bidi="ar-SA"/>
              </w:rPr>
              <w:t>统</w:t>
            </w:r>
          </w:p>
        </w:tc>
        <w:tc>
          <w:tcPr>
            <w:tcW w:w="523" w:type="pct"/>
            <w:gridSpan w:val="2"/>
            <w:tcBorders>
              <w:left w:val="single" w:color="000000" w:sz="6" w:space="0"/>
              <w:bottom w:val="single" w:color="000000" w:sz="6" w:space="0"/>
              <w:right w:val="single" w:color="000000" w:sz="6" w:space="0"/>
            </w:tcBorders>
            <w:noWrap w:val="0"/>
            <w:vAlign w:val="center"/>
          </w:tcPr>
          <w:p w14:paraId="7037CBA7">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bCs/>
                <w:color w:val="auto"/>
                <w:kern w:val="0"/>
                <w:sz w:val="21"/>
                <w:szCs w:val="21"/>
                <w:lang w:val="en-US" w:eastAsia="en-US" w:bidi="ar-SA"/>
              </w:rPr>
            </w:pPr>
            <w:r>
              <w:rPr>
                <w:rFonts w:hint="eastAsia" w:ascii="宋体" w:hAnsi="宋体" w:eastAsia="宋体" w:cs="宋体"/>
                <w:b/>
                <w:bCs/>
                <w:color w:val="auto"/>
                <w:kern w:val="0"/>
                <w:sz w:val="21"/>
                <w:szCs w:val="21"/>
                <w:lang w:val="en-US" w:eastAsia="en-US" w:bidi="ar-SA"/>
              </w:rPr>
              <w:t>地层名称</w:t>
            </w:r>
          </w:p>
        </w:tc>
        <w:tc>
          <w:tcPr>
            <w:tcW w:w="591" w:type="pct"/>
            <w:tcBorders>
              <w:left w:val="single" w:color="000000" w:sz="6" w:space="0"/>
              <w:bottom w:val="single" w:color="000000" w:sz="6" w:space="0"/>
              <w:right w:val="single" w:color="000000" w:sz="6" w:space="0"/>
            </w:tcBorders>
            <w:noWrap w:val="0"/>
            <w:vAlign w:val="center"/>
          </w:tcPr>
          <w:p w14:paraId="302ECD20">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bCs/>
                <w:color w:val="auto"/>
                <w:kern w:val="0"/>
                <w:sz w:val="21"/>
                <w:szCs w:val="21"/>
                <w:lang w:val="en-US" w:eastAsia="en-US" w:bidi="ar-SA"/>
              </w:rPr>
            </w:pPr>
            <w:r>
              <w:rPr>
                <w:rFonts w:hint="eastAsia" w:ascii="宋体" w:hAnsi="宋体" w:eastAsia="宋体" w:cs="宋体"/>
                <w:b/>
                <w:bCs/>
                <w:color w:val="auto"/>
                <w:kern w:val="0"/>
                <w:sz w:val="21"/>
                <w:szCs w:val="21"/>
                <w:lang w:val="en-US" w:eastAsia="en-US" w:bidi="ar-SA"/>
              </w:rPr>
              <w:t>代号</w:t>
            </w:r>
          </w:p>
        </w:tc>
        <w:tc>
          <w:tcPr>
            <w:tcW w:w="773" w:type="pct"/>
            <w:tcBorders>
              <w:left w:val="single" w:color="000000" w:sz="6" w:space="0"/>
              <w:bottom w:val="single" w:color="000000" w:sz="6" w:space="0"/>
              <w:right w:val="single" w:color="000000" w:sz="6" w:space="0"/>
            </w:tcBorders>
            <w:noWrap w:val="0"/>
            <w:vAlign w:val="center"/>
          </w:tcPr>
          <w:p w14:paraId="0E3EAAA3">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bCs/>
                <w:color w:val="auto"/>
                <w:kern w:val="0"/>
                <w:sz w:val="21"/>
                <w:szCs w:val="21"/>
                <w:lang w:val="en-US" w:eastAsia="en-US" w:bidi="ar-SA"/>
              </w:rPr>
            </w:pPr>
            <w:r>
              <w:rPr>
                <w:rFonts w:hint="eastAsia" w:ascii="宋体" w:hAnsi="宋体" w:eastAsia="宋体" w:cs="宋体"/>
                <w:b/>
                <w:bCs/>
                <w:color w:val="auto"/>
                <w:kern w:val="0"/>
                <w:sz w:val="21"/>
                <w:szCs w:val="21"/>
                <w:lang w:val="en-US" w:eastAsia="en-US" w:bidi="ar-SA"/>
              </w:rPr>
              <w:t>地层厚度（m）</w:t>
            </w:r>
          </w:p>
        </w:tc>
        <w:tc>
          <w:tcPr>
            <w:tcW w:w="2061" w:type="pct"/>
            <w:tcBorders>
              <w:left w:val="single" w:color="000000" w:sz="6" w:space="0"/>
              <w:bottom w:val="single" w:color="000000" w:sz="6" w:space="0"/>
            </w:tcBorders>
            <w:noWrap w:val="0"/>
            <w:vAlign w:val="center"/>
          </w:tcPr>
          <w:p w14:paraId="2B37A334">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bCs/>
                <w:color w:val="auto"/>
                <w:kern w:val="0"/>
                <w:sz w:val="21"/>
                <w:szCs w:val="21"/>
                <w:lang w:val="en-US" w:eastAsia="en-US" w:bidi="ar-SA"/>
              </w:rPr>
            </w:pPr>
            <w:r>
              <w:rPr>
                <w:rFonts w:hint="eastAsia" w:ascii="宋体" w:hAnsi="宋体" w:eastAsia="宋体" w:cs="宋体"/>
                <w:b/>
                <w:bCs/>
                <w:color w:val="auto"/>
                <w:kern w:val="0"/>
                <w:sz w:val="21"/>
                <w:szCs w:val="21"/>
                <w:lang w:val="en-US" w:eastAsia="en-US" w:bidi="ar-SA"/>
              </w:rPr>
              <w:t>岩 性 描 述</w:t>
            </w:r>
          </w:p>
        </w:tc>
      </w:tr>
      <w:tr w14:paraId="71228F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45" w:hRule="atLeast"/>
          <w:jc w:val="center"/>
        </w:trPr>
        <w:tc>
          <w:tcPr>
            <w:tcW w:w="264" w:type="pct"/>
            <w:vMerge w:val="restart"/>
            <w:tcBorders>
              <w:top w:val="single" w:color="000000" w:sz="6" w:space="0"/>
              <w:bottom w:val="single" w:color="000000" w:sz="6" w:space="0"/>
              <w:right w:val="single" w:color="000000" w:sz="6" w:space="0"/>
            </w:tcBorders>
            <w:noWrap w:val="0"/>
            <w:vAlign w:val="center"/>
          </w:tcPr>
          <w:p w14:paraId="4D437C44">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新</w:t>
            </w:r>
          </w:p>
          <w:p w14:paraId="7098A532">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生</w:t>
            </w:r>
          </w:p>
          <w:p w14:paraId="589DC092">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界</w:t>
            </w:r>
          </w:p>
        </w:tc>
        <w:tc>
          <w:tcPr>
            <w:tcW w:w="399" w:type="pct"/>
            <w:vMerge w:val="restart"/>
            <w:tcBorders>
              <w:top w:val="single" w:color="000000" w:sz="6" w:space="0"/>
              <w:left w:val="single" w:color="000000" w:sz="6" w:space="0"/>
              <w:bottom w:val="single" w:color="000000" w:sz="6" w:space="0"/>
              <w:right w:val="single" w:color="000000" w:sz="6" w:space="0"/>
            </w:tcBorders>
            <w:noWrap w:val="0"/>
            <w:vAlign w:val="center"/>
          </w:tcPr>
          <w:p w14:paraId="1B27EFE9">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第四系</w:t>
            </w:r>
          </w:p>
        </w:tc>
        <w:tc>
          <w:tcPr>
            <w:tcW w:w="386" w:type="pct"/>
            <w:tcBorders>
              <w:top w:val="single" w:color="000000" w:sz="6" w:space="0"/>
              <w:left w:val="single" w:color="000000" w:sz="6" w:space="0"/>
              <w:bottom w:val="single" w:color="000000" w:sz="6" w:space="0"/>
              <w:right w:val="single" w:color="000000" w:sz="6" w:space="0"/>
            </w:tcBorders>
            <w:noWrap w:val="0"/>
            <w:vAlign w:val="center"/>
          </w:tcPr>
          <w:p w14:paraId="66544941">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全新统</w:t>
            </w:r>
          </w:p>
        </w:tc>
        <w:tc>
          <w:tcPr>
            <w:tcW w:w="523" w:type="pct"/>
            <w:gridSpan w:val="2"/>
            <w:tcBorders>
              <w:top w:val="single" w:color="000000" w:sz="6" w:space="0"/>
              <w:left w:val="single" w:color="000000" w:sz="6" w:space="0"/>
              <w:bottom w:val="single" w:color="000000" w:sz="6" w:space="0"/>
              <w:right w:val="single" w:color="000000" w:sz="6" w:space="0"/>
            </w:tcBorders>
            <w:noWrap w:val="0"/>
            <w:vAlign w:val="center"/>
          </w:tcPr>
          <w:p w14:paraId="790C4F36">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p>
        </w:tc>
        <w:tc>
          <w:tcPr>
            <w:tcW w:w="591" w:type="pct"/>
            <w:tcBorders>
              <w:top w:val="single" w:color="000000" w:sz="6" w:space="0"/>
              <w:left w:val="single" w:color="000000" w:sz="6" w:space="0"/>
              <w:bottom w:val="single" w:color="000000" w:sz="6" w:space="0"/>
              <w:right w:val="single" w:color="000000" w:sz="6" w:space="0"/>
            </w:tcBorders>
            <w:noWrap w:val="0"/>
            <w:vAlign w:val="center"/>
          </w:tcPr>
          <w:p w14:paraId="0938B9AE">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Qh</w:t>
            </w:r>
          </w:p>
        </w:tc>
        <w:tc>
          <w:tcPr>
            <w:tcW w:w="773" w:type="pct"/>
            <w:tcBorders>
              <w:top w:val="single" w:color="000000" w:sz="6" w:space="0"/>
              <w:left w:val="single" w:color="000000" w:sz="6" w:space="0"/>
              <w:bottom w:val="single" w:color="000000" w:sz="6" w:space="0"/>
              <w:right w:val="single" w:color="000000" w:sz="6" w:space="0"/>
            </w:tcBorders>
            <w:noWrap w:val="0"/>
            <w:vAlign w:val="center"/>
          </w:tcPr>
          <w:p w14:paraId="4DA6E378">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0-50</w:t>
            </w:r>
          </w:p>
        </w:tc>
        <w:tc>
          <w:tcPr>
            <w:tcW w:w="2061" w:type="pct"/>
            <w:tcBorders>
              <w:top w:val="single" w:color="000000" w:sz="6" w:space="0"/>
              <w:left w:val="single" w:color="000000" w:sz="6" w:space="0"/>
              <w:bottom w:val="single" w:color="000000" w:sz="6" w:space="0"/>
            </w:tcBorders>
            <w:noWrap w:val="0"/>
            <w:vAlign w:val="center"/>
          </w:tcPr>
          <w:p w14:paraId="5FAAD84F">
            <w:pPr>
              <w:widowControl w:val="0"/>
              <w:autoSpaceDE w:val="0"/>
              <w:autoSpaceDN w:val="0"/>
              <w:adjustRightInd w:val="0"/>
              <w:snapToGrid w:val="0"/>
              <w:spacing w:before="1" w:line="240" w:lineRule="auto"/>
              <w:ind w:left="0" w:leftChars="0" w:firstLine="0" w:firstLineChars="0"/>
              <w:jc w:val="both"/>
              <w:rPr>
                <w:rFonts w:hint="eastAsia" w:ascii="宋体" w:hAnsi="宋体" w:eastAsia="宋体" w:cs="宋体"/>
                <w:color w:val="auto"/>
                <w:kern w:val="0"/>
                <w:sz w:val="21"/>
                <w:szCs w:val="21"/>
                <w:lang w:val="en-US" w:eastAsia="en-US" w:bidi="ar-SA"/>
              </w:rPr>
            </w:pPr>
            <w:r>
              <w:rPr>
                <w:rFonts w:hint="eastAsia" w:ascii="宋体" w:hAnsi="宋体" w:eastAsia="宋体" w:cs="宋体"/>
                <w:color w:val="auto"/>
                <w:kern w:val="0"/>
                <w:sz w:val="21"/>
                <w:szCs w:val="21"/>
                <w:lang w:val="en-US" w:eastAsia="zh-CN" w:bidi="ar-SA"/>
              </w:rPr>
              <w:t>洪、冲积砂砾石，砂质粘</w:t>
            </w:r>
            <w:r>
              <w:rPr>
                <w:rFonts w:hint="eastAsia" w:ascii="宋体" w:hAnsi="宋体" w:eastAsia="宋体" w:cs="宋体"/>
                <w:color w:val="auto"/>
                <w:kern w:val="0"/>
                <w:sz w:val="21"/>
                <w:szCs w:val="21"/>
                <w:lang w:val="en-US" w:eastAsia="en-US" w:bidi="ar-SA"/>
              </w:rPr>
              <w:t>土夹砂砾石</w:t>
            </w:r>
          </w:p>
        </w:tc>
      </w:tr>
      <w:tr w14:paraId="326BDD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jc w:val="center"/>
        </w:trPr>
        <w:tc>
          <w:tcPr>
            <w:tcW w:w="264" w:type="pct"/>
            <w:vMerge w:val="continue"/>
            <w:tcBorders>
              <w:top w:val="nil"/>
              <w:bottom w:val="single" w:color="000000" w:sz="6" w:space="0"/>
              <w:right w:val="single" w:color="000000" w:sz="6" w:space="0"/>
            </w:tcBorders>
            <w:noWrap w:val="0"/>
            <w:vAlign w:val="center"/>
          </w:tcPr>
          <w:p w14:paraId="5A6CAF44">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p>
        </w:tc>
        <w:tc>
          <w:tcPr>
            <w:tcW w:w="399" w:type="pct"/>
            <w:vMerge w:val="continue"/>
            <w:tcBorders>
              <w:top w:val="nil"/>
              <w:left w:val="single" w:color="000000" w:sz="6" w:space="0"/>
              <w:bottom w:val="single" w:color="000000" w:sz="6" w:space="0"/>
              <w:right w:val="single" w:color="000000" w:sz="6" w:space="0"/>
            </w:tcBorders>
            <w:noWrap w:val="0"/>
            <w:vAlign w:val="center"/>
          </w:tcPr>
          <w:p w14:paraId="3B9CD053">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p>
        </w:tc>
        <w:tc>
          <w:tcPr>
            <w:tcW w:w="386" w:type="pct"/>
            <w:tcBorders>
              <w:top w:val="single" w:color="000000" w:sz="6" w:space="0"/>
              <w:left w:val="single" w:color="000000" w:sz="6" w:space="0"/>
              <w:bottom w:val="single" w:color="000000" w:sz="6" w:space="0"/>
              <w:right w:val="single" w:color="000000" w:sz="6" w:space="0"/>
            </w:tcBorders>
            <w:noWrap w:val="0"/>
            <w:vAlign w:val="center"/>
          </w:tcPr>
          <w:p w14:paraId="01EB569D">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更新统</w:t>
            </w:r>
          </w:p>
        </w:tc>
        <w:tc>
          <w:tcPr>
            <w:tcW w:w="523" w:type="pct"/>
            <w:gridSpan w:val="2"/>
            <w:tcBorders>
              <w:top w:val="single" w:color="000000" w:sz="6" w:space="0"/>
              <w:left w:val="single" w:color="000000" w:sz="6" w:space="0"/>
              <w:bottom w:val="single" w:color="000000" w:sz="6" w:space="0"/>
              <w:right w:val="single" w:color="000000" w:sz="6" w:space="0"/>
            </w:tcBorders>
            <w:noWrap w:val="0"/>
            <w:vAlign w:val="center"/>
          </w:tcPr>
          <w:p w14:paraId="39DB40DA">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p>
        </w:tc>
        <w:tc>
          <w:tcPr>
            <w:tcW w:w="591" w:type="pct"/>
            <w:tcBorders>
              <w:top w:val="single" w:color="000000" w:sz="6" w:space="0"/>
              <w:left w:val="single" w:color="000000" w:sz="6" w:space="0"/>
              <w:bottom w:val="single" w:color="000000" w:sz="6" w:space="0"/>
              <w:right w:val="single" w:color="000000" w:sz="6" w:space="0"/>
            </w:tcBorders>
            <w:noWrap w:val="0"/>
            <w:vAlign w:val="center"/>
          </w:tcPr>
          <w:p w14:paraId="62632B0A">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Qp</w:t>
            </w:r>
          </w:p>
        </w:tc>
        <w:tc>
          <w:tcPr>
            <w:tcW w:w="773" w:type="pct"/>
            <w:tcBorders>
              <w:top w:val="single" w:color="000000" w:sz="6" w:space="0"/>
              <w:left w:val="single" w:color="000000" w:sz="6" w:space="0"/>
              <w:bottom w:val="single" w:color="000000" w:sz="6" w:space="0"/>
              <w:right w:val="single" w:color="000000" w:sz="6" w:space="0"/>
            </w:tcBorders>
            <w:noWrap w:val="0"/>
            <w:vAlign w:val="center"/>
          </w:tcPr>
          <w:p w14:paraId="4D0436F3">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0-156</w:t>
            </w:r>
          </w:p>
        </w:tc>
        <w:tc>
          <w:tcPr>
            <w:tcW w:w="2061" w:type="pct"/>
            <w:tcBorders>
              <w:top w:val="single" w:color="000000" w:sz="6" w:space="0"/>
              <w:left w:val="single" w:color="000000" w:sz="6" w:space="0"/>
              <w:bottom w:val="single" w:color="000000" w:sz="6" w:space="0"/>
            </w:tcBorders>
            <w:noWrap w:val="0"/>
            <w:vAlign w:val="center"/>
          </w:tcPr>
          <w:p w14:paraId="4E56C845">
            <w:pPr>
              <w:widowControl w:val="0"/>
              <w:autoSpaceDE w:val="0"/>
              <w:autoSpaceDN w:val="0"/>
              <w:adjustRightInd w:val="0"/>
              <w:snapToGrid w:val="0"/>
              <w:spacing w:before="2" w:line="240" w:lineRule="auto"/>
              <w:ind w:left="0" w:leftChars="0" w:right="88" w:firstLine="0" w:firstLineChars="0"/>
              <w:jc w:val="both"/>
              <w:rPr>
                <w:rFonts w:hint="eastAsia" w:ascii="宋体" w:hAnsi="宋体" w:eastAsia="宋体" w:cs="宋体"/>
                <w:color w:val="auto"/>
                <w:kern w:val="0"/>
                <w:sz w:val="21"/>
                <w:szCs w:val="21"/>
                <w:lang w:val="en-US" w:eastAsia="en-US" w:bidi="ar-SA"/>
              </w:rPr>
            </w:pPr>
            <w:r>
              <w:rPr>
                <w:rFonts w:hint="eastAsia" w:ascii="宋体" w:hAnsi="宋体" w:eastAsia="宋体" w:cs="宋体"/>
                <w:color w:val="auto"/>
                <w:spacing w:val="-8"/>
                <w:kern w:val="0"/>
                <w:sz w:val="21"/>
                <w:szCs w:val="21"/>
                <w:lang w:val="en-US" w:eastAsia="zh-CN" w:bidi="ar-SA"/>
              </w:rPr>
              <w:t>上部为铁红、暗红色黏土层</w:t>
            </w:r>
            <w:r>
              <w:rPr>
                <w:rFonts w:hint="eastAsia" w:ascii="宋体" w:hAnsi="宋体" w:eastAsia="宋体" w:cs="宋体"/>
                <w:color w:val="auto"/>
                <w:spacing w:val="-9"/>
                <w:kern w:val="0"/>
                <w:sz w:val="21"/>
                <w:szCs w:val="21"/>
                <w:lang w:val="en-US" w:eastAsia="zh-CN" w:bidi="ar-SA"/>
              </w:rPr>
              <w:t>，中部位灰白色泥质粉砂层、粉砂层，下部为砂</w:t>
            </w:r>
            <w:r>
              <w:rPr>
                <w:rFonts w:hint="eastAsia" w:ascii="宋体" w:hAnsi="宋体" w:eastAsia="宋体" w:cs="宋体"/>
                <w:color w:val="auto"/>
                <w:kern w:val="0"/>
                <w:sz w:val="21"/>
                <w:szCs w:val="21"/>
                <w:lang w:val="en-US" w:eastAsia="en-US" w:bidi="ar-SA"/>
              </w:rPr>
              <w:t>砾石层</w:t>
            </w:r>
          </w:p>
        </w:tc>
      </w:tr>
      <w:tr w14:paraId="24ACB3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17" w:hRule="atLeast"/>
          <w:jc w:val="center"/>
        </w:trPr>
        <w:tc>
          <w:tcPr>
            <w:tcW w:w="264" w:type="pct"/>
            <w:vMerge w:val="restart"/>
            <w:tcBorders>
              <w:top w:val="single" w:color="000000" w:sz="6" w:space="0"/>
              <w:bottom w:val="single" w:color="000000" w:sz="6" w:space="0"/>
              <w:right w:val="single" w:color="000000" w:sz="6" w:space="0"/>
            </w:tcBorders>
            <w:noWrap w:val="0"/>
            <w:vAlign w:val="center"/>
          </w:tcPr>
          <w:p w14:paraId="0A49580B">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中</w:t>
            </w:r>
          </w:p>
          <w:p w14:paraId="6A416227">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生</w:t>
            </w:r>
          </w:p>
          <w:p w14:paraId="269EB086">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界</w:t>
            </w:r>
          </w:p>
        </w:tc>
        <w:tc>
          <w:tcPr>
            <w:tcW w:w="399" w:type="pct"/>
            <w:tcBorders>
              <w:top w:val="single" w:color="000000" w:sz="6" w:space="0"/>
              <w:left w:val="single" w:color="000000" w:sz="6" w:space="0"/>
              <w:bottom w:val="single" w:color="000000" w:sz="6" w:space="0"/>
              <w:right w:val="single" w:color="000000" w:sz="6" w:space="0"/>
            </w:tcBorders>
            <w:noWrap w:val="0"/>
            <w:vAlign w:val="center"/>
          </w:tcPr>
          <w:p w14:paraId="1C2DFAD8">
            <w:pPr>
              <w:widowControl w:val="0"/>
              <w:autoSpaceDE w:val="0"/>
              <w:autoSpaceDN w:val="0"/>
              <w:adjustRightInd w:val="0"/>
              <w:snapToGrid w:val="0"/>
              <w:spacing w:before="34" w:line="240" w:lineRule="auto"/>
              <w:ind w:left="0" w:leftChars="0" w:firstLine="0" w:firstLineChars="0"/>
              <w:jc w:val="both"/>
              <w:rPr>
                <w:rFonts w:hint="eastAsia" w:ascii="宋体" w:hAnsi="宋体" w:eastAsia="宋体" w:cs="宋体"/>
                <w:b w:val="0"/>
                <w:bCs w:val="0"/>
                <w:color w:val="auto"/>
                <w:kern w:val="0"/>
                <w:sz w:val="21"/>
                <w:szCs w:val="21"/>
                <w:lang w:val="en-US" w:eastAsia="en-US" w:bidi="ar-SA"/>
              </w:rPr>
            </w:pPr>
          </w:p>
          <w:p w14:paraId="54C3FE37">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白垩系</w:t>
            </w:r>
          </w:p>
        </w:tc>
        <w:tc>
          <w:tcPr>
            <w:tcW w:w="386" w:type="pct"/>
            <w:tcBorders>
              <w:top w:val="single" w:color="000000" w:sz="6" w:space="0"/>
              <w:left w:val="single" w:color="000000" w:sz="6" w:space="0"/>
              <w:bottom w:val="single" w:color="000000" w:sz="6" w:space="0"/>
              <w:right w:val="single" w:color="000000" w:sz="6" w:space="0"/>
            </w:tcBorders>
            <w:noWrap w:val="0"/>
            <w:vAlign w:val="center"/>
          </w:tcPr>
          <w:p w14:paraId="4E81C06F">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上统</w:t>
            </w:r>
          </w:p>
        </w:tc>
        <w:tc>
          <w:tcPr>
            <w:tcW w:w="523" w:type="pct"/>
            <w:gridSpan w:val="2"/>
            <w:tcBorders>
              <w:top w:val="single" w:color="000000" w:sz="6" w:space="0"/>
              <w:left w:val="single" w:color="000000" w:sz="6" w:space="0"/>
              <w:bottom w:val="single" w:color="000000" w:sz="6" w:space="0"/>
              <w:right w:val="single" w:color="000000" w:sz="6" w:space="0"/>
            </w:tcBorders>
            <w:noWrap w:val="0"/>
            <w:vAlign w:val="center"/>
          </w:tcPr>
          <w:p w14:paraId="4BC9114C">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江底河组</w:t>
            </w:r>
          </w:p>
        </w:tc>
        <w:tc>
          <w:tcPr>
            <w:tcW w:w="591" w:type="pct"/>
            <w:tcBorders>
              <w:top w:val="single" w:color="000000" w:sz="6" w:space="0"/>
              <w:left w:val="single" w:color="000000" w:sz="6" w:space="0"/>
              <w:bottom w:val="single" w:color="000000" w:sz="6" w:space="0"/>
              <w:right w:val="single" w:color="000000" w:sz="6" w:space="0"/>
            </w:tcBorders>
            <w:noWrap w:val="0"/>
            <w:vAlign w:val="center"/>
          </w:tcPr>
          <w:p w14:paraId="3836418A">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K</w:t>
            </w:r>
            <w:r>
              <w:rPr>
                <w:rFonts w:hint="eastAsia" w:ascii="宋体" w:hAnsi="宋体" w:eastAsia="宋体" w:cs="宋体"/>
                <w:b w:val="0"/>
                <w:bCs w:val="0"/>
                <w:color w:val="auto"/>
                <w:kern w:val="0"/>
                <w:sz w:val="21"/>
                <w:szCs w:val="21"/>
                <w:vertAlign w:val="subscript"/>
                <w:lang w:val="en-US" w:eastAsia="en-US" w:bidi="ar-SA"/>
              </w:rPr>
              <w:t>2</w:t>
            </w:r>
            <w:r>
              <w:rPr>
                <w:rFonts w:hint="eastAsia" w:ascii="宋体" w:hAnsi="宋体" w:eastAsia="宋体" w:cs="宋体"/>
                <w:b w:val="0"/>
                <w:bCs w:val="0"/>
                <w:color w:val="auto"/>
                <w:kern w:val="0"/>
                <w:sz w:val="21"/>
                <w:szCs w:val="21"/>
                <w:lang w:val="en-US" w:eastAsia="en-US" w:bidi="ar-SA"/>
              </w:rPr>
              <w:t>j</w:t>
            </w:r>
            <w:r>
              <w:rPr>
                <w:rFonts w:hint="eastAsia" w:ascii="宋体" w:hAnsi="宋体" w:eastAsia="宋体" w:cs="宋体"/>
                <w:b w:val="0"/>
                <w:bCs w:val="0"/>
                <w:color w:val="auto"/>
                <w:kern w:val="0"/>
                <w:sz w:val="21"/>
                <w:szCs w:val="21"/>
                <w:vertAlign w:val="superscript"/>
                <w:lang w:val="en-US" w:eastAsia="en-US" w:bidi="ar-SA"/>
              </w:rPr>
              <w:t>3</w:t>
            </w:r>
          </w:p>
        </w:tc>
        <w:tc>
          <w:tcPr>
            <w:tcW w:w="773" w:type="pct"/>
            <w:tcBorders>
              <w:top w:val="single" w:color="000000" w:sz="6" w:space="0"/>
              <w:left w:val="single" w:color="000000" w:sz="6" w:space="0"/>
              <w:bottom w:val="single" w:color="000000" w:sz="6" w:space="0"/>
              <w:right w:val="single" w:color="000000" w:sz="6" w:space="0"/>
            </w:tcBorders>
            <w:noWrap w:val="0"/>
            <w:vAlign w:val="center"/>
          </w:tcPr>
          <w:p w14:paraId="25979A48">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290.8-601.6</w:t>
            </w:r>
          </w:p>
        </w:tc>
        <w:tc>
          <w:tcPr>
            <w:tcW w:w="2061" w:type="pct"/>
            <w:tcBorders>
              <w:top w:val="single" w:color="000000" w:sz="6" w:space="0"/>
              <w:left w:val="single" w:color="000000" w:sz="6" w:space="0"/>
              <w:bottom w:val="single" w:color="000000" w:sz="6" w:space="0"/>
            </w:tcBorders>
            <w:noWrap w:val="0"/>
            <w:vAlign w:val="center"/>
          </w:tcPr>
          <w:p w14:paraId="4F166953">
            <w:pPr>
              <w:widowControl w:val="0"/>
              <w:autoSpaceDE w:val="0"/>
              <w:autoSpaceDN w:val="0"/>
              <w:adjustRightInd w:val="0"/>
              <w:snapToGrid w:val="0"/>
              <w:spacing w:before="1" w:line="240" w:lineRule="auto"/>
              <w:ind w:left="0" w:leftChars="0" w:firstLine="0" w:firstLineChars="0"/>
              <w:jc w:val="both"/>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紫红、灰、灰绿色灰质粉砂质泥岩夹灰质泥岩及灰质粉砂岩</w:t>
            </w:r>
          </w:p>
        </w:tc>
      </w:tr>
      <w:tr w14:paraId="02D868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46" w:hRule="atLeast"/>
          <w:jc w:val="center"/>
        </w:trPr>
        <w:tc>
          <w:tcPr>
            <w:tcW w:w="264" w:type="pct"/>
            <w:vMerge w:val="continue"/>
            <w:tcBorders>
              <w:top w:val="nil"/>
              <w:bottom w:val="single" w:color="000000" w:sz="6" w:space="0"/>
              <w:right w:val="single" w:color="000000" w:sz="6" w:space="0"/>
            </w:tcBorders>
            <w:noWrap w:val="0"/>
            <w:vAlign w:val="center"/>
          </w:tcPr>
          <w:p w14:paraId="229D4BF6">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zh-CN" w:bidi="ar-SA"/>
              </w:rPr>
            </w:pPr>
          </w:p>
        </w:tc>
        <w:tc>
          <w:tcPr>
            <w:tcW w:w="399" w:type="pct"/>
            <w:vMerge w:val="restart"/>
            <w:tcBorders>
              <w:top w:val="single" w:color="000000" w:sz="6" w:space="0"/>
              <w:left w:val="single" w:color="000000" w:sz="6" w:space="0"/>
              <w:bottom w:val="single" w:color="000000" w:sz="6" w:space="0"/>
              <w:right w:val="single" w:color="000000" w:sz="6" w:space="0"/>
            </w:tcBorders>
            <w:noWrap w:val="0"/>
            <w:vAlign w:val="center"/>
          </w:tcPr>
          <w:p w14:paraId="24236AC9">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侏罗系</w:t>
            </w:r>
          </w:p>
        </w:tc>
        <w:tc>
          <w:tcPr>
            <w:tcW w:w="386" w:type="pct"/>
            <w:vMerge w:val="restart"/>
            <w:tcBorders>
              <w:top w:val="single" w:color="000000" w:sz="6" w:space="0"/>
              <w:left w:val="single" w:color="000000" w:sz="6" w:space="0"/>
              <w:bottom w:val="single" w:color="000000" w:sz="6" w:space="0"/>
              <w:right w:val="single" w:color="000000" w:sz="6" w:space="0"/>
            </w:tcBorders>
            <w:noWrap w:val="0"/>
            <w:vAlign w:val="center"/>
          </w:tcPr>
          <w:p w14:paraId="48AB478A">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中统</w:t>
            </w:r>
          </w:p>
        </w:tc>
        <w:tc>
          <w:tcPr>
            <w:tcW w:w="523" w:type="pct"/>
            <w:gridSpan w:val="2"/>
            <w:tcBorders>
              <w:top w:val="single" w:color="000000" w:sz="6" w:space="0"/>
              <w:left w:val="single" w:color="000000" w:sz="6" w:space="0"/>
              <w:bottom w:val="single" w:color="000000" w:sz="6" w:space="0"/>
              <w:right w:val="single" w:color="000000" w:sz="6" w:space="0"/>
            </w:tcBorders>
            <w:noWrap w:val="0"/>
            <w:vAlign w:val="center"/>
          </w:tcPr>
          <w:p w14:paraId="62C6C6BB">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张河组</w:t>
            </w:r>
          </w:p>
        </w:tc>
        <w:tc>
          <w:tcPr>
            <w:tcW w:w="591" w:type="pct"/>
            <w:tcBorders>
              <w:top w:val="single" w:color="000000" w:sz="6" w:space="0"/>
              <w:left w:val="single" w:color="000000" w:sz="6" w:space="0"/>
              <w:bottom w:val="single" w:color="000000" w:sz="6" w:space="0"/>
              <w:right w:val="single" w:color="000000" w:sz="6" w:space="0"/>
            </w:tcBorders>
            <w:noWrap w:val="0"/>
            <w:vAlign w:val="center"/>
          </w:tcPr>
          <w:p w14:paraId="211F7618">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J</w:t>
            </w:r>
            <w:r>
              <w:rPr>
                <w:rFonts w:hint="eastAsia" w:ascii="宋体" w:hAnsi="宋体" w:eastAsia="宋体" w:cs="宋体"/>
                <w:b w:val="0"/>
                <w:bCs w:val="0"/>
                <w:color w:val="auto"/>
                <w:kern w:val="0"/>
                <w:sz w:val="21"/>
                <w:szCs w:val="21"/>
                <w:vertAlign w:val="subscript"/>
                <w:lang w:val="en-US" w:eastAsia="en-US" w:bidi="ar-SA"/>
              </w:rPr>
              <w:t>2</w:t>
            </w:r>
            <w:r>
              <w:rPr>
                <w:rFonts w:hint="eastAsia" w:ascii="宋体" w:hAnsi="宋体" w:eastAsia="宋体" w:cs="宋体"/>
                <w:b w:val="0"/>
                <w:bCs w:val="0"/>
                <w:color w:val="auto"/>
                <w:kern w:val="0"/>
                <w:sz w:val="21"/>
                <w:szCs w:val="21"/>
                <w:lang w:val="en-US" w:eastAsia="en-US" w:bidi="ar-SA"/>
              </w:rPr>
              <w:t>z</w:t>
            </w:r>
          </w:p>
        </w:tc>
        <w:tc>
          <w:tcPr>
            <w:tcW w:w="773" w:type="pct"/>
            <w:tcBorders>
              <w:top w:val="single" w:color="000000" w:sz="6" w:space="0"/>
              <w:left w:val="single" w:color="000000" w:sz="6" w:space="0"/>
              <w:bottom w:val="single" w:color="000000" w:sz="6" w:space="0"/>
              <w:right w:val="single" w:color="000000" w:sz="6" w:space="0"/>
            </w:tcBorders>
            <w:noWrap w:val="0"/>
            <w:vAlign w:val="center"/>
          </w:tcPr>
          <w:p w14:paraId="2EE8E089">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487.1-557.2</w:t>
            </w:r>
          </w:p>
        </w:tc>
        <w:tc>
          <w:tcPr>
            <w:tcW w:w="2061" w:type="pct"/>
            <w:tcBorders>
              <w:top w:val="single" w:color="000000" w:sz="6" w:space="0"/>
              <w:left w:val="single" w:color="000000" w:sz="6" w:space="0"/>
              <w:bottom w:val="single" w:color="000000" w:sz="6" w:space="0"/>
            </w:tcBorders>
            <w:noWrap w:val="0"/>
            <w:vAlign w:val="center"/>
          </w:tcPr>
          <w:p w14:paraId="5DB5289A">
            <w:pPr>
              <w:widowControl w:val="0"/>
              <w:autoSpaceDE w:val="0"/>
              <w:autoSpaceDN w:val="0"/>
              <w:adjustRightInd w:val="0"/>
              <w:snapToGrid w:val="0"/>
              <w:spacing w:before="2" w:line="240" w:lineRule="auto"/>
              <w:ind w:left="0" w:leftChars="0" w:firstLine="0" w:firstLineChars="0"/>
              <w:jc w:val="both"/>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暗紫、灰绿色细-粗粒长石石英砂岩夹泥岩</w:t>
            </w:r>
          </w:p>
        </w:tc>
      </w:tr>
      <w:tr w14:paraId="6000AA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jc w:val="center"/>
        </w:trPr>
        <w:tc>
          <w:tcPr>
            <w:tcW w:w="264" w:type="pct"/>
            <w:vMerge w:val="continue"/>
            <w:tcBorders>
              <w:top w:val="nil"/>
              <w:bottom w:val="single" w:color="000000" w:sz="6" w:space="0"/>
              <w:right w:val="single" w:color="000000" w:sz="6" w:space="0"/>
            </w:tcBorders>
            <w:noWrap w:val="0"/>
            <w:vAlign w:val="center"/>
          </w:tcPr>
          <w:p w14:paraId="653CE0B0">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zh-CN" w:bidi="ar-SA"/>
              </w:rPr>
            </w:pPr>
          </w:p>
        </w:tc>
        <w:tc>
          <w:tcPr>
            <w:tcW w:w="399" w:type="pct"/>
            <w:vMerge w:val="continue"/>
            <w:tcBorders>
              <w:top w:val="nil"/>
              <w:left w:val="single" w:color="000000" w:sz="6" w:space="0"/>
              <w:bottom w:val="single" w:color="000000" w:sz="6" w:space="0"/>
              <w:right w:val="single" w:color="000000" w:sz="6" w:space="0"/>
            </w:tcBorders>
            <w:noWrap w:val="0"/>
            <w:vAlign w:val="center"/>
          </w:tcPr>
          <w:p w14:paraId="7D8F73FE">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zh-CN" w:bidi="ar-SA"/>
              </w:rPr>
            </w:pPr>
          </w:p>
        </w:tc>
        <w:tc>
          <w:tcPr>
            <w:tcW w:w="386" w:type="pct"/>
            <w:vMerge w:val="continue"/>
            <w:tcBorders>
              <w:top w:val="nil"/>
              <w:left w:val="single" w:color="000000" w:sz="6" w:space="0"/>
              <w:bottom w:val="single" w:color="000000" w:sz="6" w:space="0"/>
              <w:right w:val="single" w:color="000000" w:sz="6" w:space="0"/>
            </w:tcBorders>
            <w:noWrap w:val="0"/>
            <w:vAlign w:val="center"/>
          </w:tcPr>
          <w:p w14:paraId="601093FD">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zh-CN" w:bidi="ar-SA"/>
              </w:rPr>
            </w:pPr>
          </w:p>
        </w:tc>
        <w:tc>
          <w:tcPr>
            <w:tcW w:w="523" w:type="pct"/>
            <w:gridSpan w:val="2"/>
            <w:tcBorders>
              <w:top w:val="single" w:color="000000" w:sz="6" w:space="0"/>
              <w:left w:val="single" w:color="000000" w:sz="6" w:space="0"/>
              <w:bottom w:val="single" w:color="000000" w:sz="6" w:space="0"/>
              <w:right w:val="single" w:color="000000" w:sz="6" w:space="0"/>
            </w:tcBorders>
            <w:noWrap w:val="0"/>
            <w:vAlign w:val="center"/>
          </w:tcPr>
          <w:p w14:paraId="12CE4CC8">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冯家河组</w:t>
            </w:r>
          </w:p>
        </w:tc>
        <w:tc>
          <w:tcPr>
            <w:tcW w:w="591" w:type="pct"/>
            <w:tcBorders>
              <w:top w:val="single" w:color="000000" w:sz="6" w:space="0"/>
              <w:left w:val="single" w:color="000000" w:sz="6" w:space="0"/>
              <w:bottom w:val="single" w:color="000000" w:sz="6" w:space="0"/>
              <w:right w:val="single" w:color="000000" w:sz="6" w:space="0"/>
            </w:tcBorders>
            <w:noWrap w:val="0"/>
            <w:vAlign w:val="center"/>
          </w:tcPr>
          <w:p w14:paraId="15A42078">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J</w:t>
            </w:r>
            <w:r>
              <w:rPr>
                <w:rFonts w:hint="eastAsia" w:ascii="宋体" w:hAnsi="宋体" w:eastAsia="宋体" w:cs="宋体"/>
                <w:b w:val="0"/>
                <w:bCs w:val="0"/>
                <w:color w:val="auto"/>
                <w:kern w:val="0"/>
                <w:sz w:val="21"/>
                <w:szCs w:val="21"/>
                <w:vertAlign w:val="subscript"/>
                <w:lang w:val="en-US" w:eastAsia="en-US" w:bidi="ar-SA"/>
              </w:rPr>
              <w:t>2</w:t>
            </w:r>
            <w:r>
              <w:rPr>
                <w:rFonts w:hint="eastAsia" w:ascii="宋体" w:hAnsi="宋体" w:eastAsia="宋体" w:cs="宋体"/>
                <w:b w:val="0"/>
                <w:bCs w:val="0"/>
                <w:color w:val="auto"/>
                <w:kern w:val="0"/>
                <w:sz w:val="21"/>
                <w:szCs w:val="21"/>
                <w:lang w:val="en-US" w:eastAsia="en-US" w:bidi="ar-SA"/>
              </w:rPr>
              <w:t>f</w:t>
            </w:r>
          </w:p>
        </w:tc>
        <w:tc>
          <w:tcPr>
            <w:tcW w:w="773" w:type="pct"/>
            <w:tcBorders>
              <w:top w:val="single" w:color="000000" w:sz="6" w:space="0"/>
              <w:left w:val="single" w:color="000000" w:sz="6" w:space="0"/>
              <w:bottom w:val="single" w:color="000000" w:sz="6" w:space="0"/>
              <w:right w:val="single" w:color="000000" w:sz="6" w:space="0"/>
            </w:tcBorders>
            <w:noWrap w:val="0"/>
            <w:vAlign w:val="center"/>
          </w:tcPr>
          <w:p w14:paraId="51B57653">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954.9-1108.4</w:t>
            </w:r>
          </w:p>
        </w:tc>
        <w:tc>
          <w:tcPr>
            <w:tcW w:w="2061" w:type="pct"/>
            <w:tcBorders>
              <w:top w:val="single" w:color="000000" w:sz="6" w:space="0"/>
              <w:left w:val="single" w:color="000000" w:sz="6" w:space="0"/>
              <w:bottom w:val="single" w:color="000000" w:sz="6" w:space="0"/>
            </w:tcBorders>
            <w:noWrap w:val="0"/>
            <w:vAlign w:val="center"/>
          </w:tcPr>
          <w:p w14:paraId="11C7CD57">
            <w:pPr>
              <w:widowControl w:val="0"/>
              <w:autoSpaceDE w:val="0"/>
              <w:autoSpaceDN w:val="0"/>
              <w:adjustRightInd w:val="0"/>
              <w:snapToGrid w:val="0"/>
              <w:spacing w:before="34" w:line="240" w:lineRule="auto"/>
              <w:ind w:left="0" w:leftChars="0" w:right="151" w:firstLine="0" w:firstLineChars="0"/>
              <w:jc w:val="both"/>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紫红色泥岩及细-粉砂岩</w:t>
            </w:r>
          </w:p>
        </w:tc>
      </w:tr>
      <w:tr w14:paraId="6485B6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18" w:hRule="atLeast"/>
          <w:jc w:val="center"/>
        </w:trPr>
        <w:tc>
          <w:tcPr>
            <w:tcW w:w="264" w:type="pct"/>
            <w:vMerge w:val="continue"/>
            <w:tcBorders>
              <w:top w:val="nil"/>
              <w:bottom w:val="single" w:color="000000" w:sz="6" w:space="0"/>
              <w:right w:val="single" w:color="000000" w:sz="6" w:space="0"/>
            </w:tcBorders>
            <w:noWrap w:val="0"/>
            <w:vAlign w:val="center"/>
          </w:tcPr>
          <w:p w14:paraId="65605596">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zh-CN" w:bidi="ar-SA"/>
              </w:rPr>
            </w:pPr>
          </w:p>
        </w:tc>
        <w:tc>
          <w:tcPr>
            <w:tcW w:w="399" w:type="pct"/>
            <w:vMerge w:val="continue"/>
            <w:tcBorders>
              <w:top w:val="nil"/>
              <w:left w:val="single" w:color="000000" w:sz="6" w:space="0"/>
              <w:bottom w:val="single" w:color="000000" w:sz="6" w:space="0"/>
              <w:right w:val="single" w:color="000000" w:sz="6" w:space="0"/>
            </w:tcBorders>
            <w:noWrap w:val="0"/>
            <w:vAlign w:val="center"/>
          </w:tcPr>
          <w:p w14:paraId="36058671">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zh-CN" w:bidi="ar-SA"/>
              </w:rPr>
            </w:pPr>
          </w:p>
        </w:tc>
        <w:tc>
          <w:tcPr>
            <w:tcW w:w="386" w:type="pct"/>
            <w:tcBorders>
              <w:top w:val="single" w:color="000000" w:sz="6" w:space="0"/>
              <w:left w:val="single" w:color="000000" w:sz="6" w:space="0"/>
              <w:bottom w:val="single" w:color="000000" w:sz="6" w:space="0"/>
              <w:right w:val="single" w:color="000000" w:sz="6" w:space="0"/>
            </w:tcBorders>
            <w:noWrap w:val="0"/>
            <w:vAlign w:val="center"/>
          </w:tcPr>
          <w:p w14:paraId="099EC871">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下统</w:t>
            </w:r>
          </w:p>
        </w:tc>
        <w:tc>
          <w:tcPr>
            <w:tcW w:w="523" w:type="pct"/>
            <w:gridSpan w:val="2"/>
            <w:tcBorders>
              <w:top w:val="single" w:color="000000" w:sz="6" w:space="0"/>
              <w:left w:val="single" w:color="000000" w:sz="6" w:space="0"/>
              <w:bottom w:val="single" w:color="000000" w:sz="6" w:space="0"/>
              <w:right w:val="single" w:color="000000" w:sz="6" w:space="0"/>
            </w:tcBorders>
            <w:noWrap w:val="0"/>
            <w:vAlign w:val="center"/>
          </w:tcPr>
          <w:p w14:paraId="33773515">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舍资组</w:t>
            </w:r>
          </w:p>
        </w:tc>
        <w:tc>
          <w:tcPr>
            <w:tcW w:w="591" w:type="pct"/>
            <w:tcBorders>
              <w:top w:val="single" w:color="000000" w:sz="6" w:space="0"/>
              <w:left w:val="single" w:color="000000" w:sz="6" w:space="0"/>
              <w:bottom w:val="single" w:color="000000" w:sz="6" w:space="0"/>
              <w:right w:val="single" w:color="000000" w:sz="6" w:space="0"/>
            </w:tcBorders>
            <w:noWrap w:val="0"/>
            <w:vAlign w:val="center"/>
          </w:tcPr>
          <w:p w14:paraId="37595C33">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J</w:t>
            </w:r>
            <w:r>
              <w:rPr>
                <w:rFonts w:hint="eastAsia" w:ascii="宋体" w:hAnsi="宋体" w:eastAsia="宋体" w:cs="宋体"/>
                <w:b w:val="0"/>
                <w:bCs w:val="0"/>
                <w:color w:val="auto"/>
                <w:kern w:val="0"/>
                <w:sz w:val="21"/>
                <w:szCs w:val="21"/>
                <w:vertAlign w:val="subscript"/>
                <w:lang w:val="en-US" w:eastAsia="en-US" w:bidi="ar-SA"/>
              </w:rPr>
              <w:t>1</w:t>
            </w:r>
            <w:r>
              <w:rPr>
                <w:rFonts w:hint="eastAsia" w:ascii="宋体" w:hAnsi="宋体" w:eastAsia="宋体" w:cs="宋体"/>
                <w:b w:val="0"/>
                <w:bCs w:val="0"/>
                <w:color w:val="auto"/>
                <w:kern w:val="0"/>
                <w:sz w:val="21"/>
                <w:szCs w:val="21"/>
                <w:lang w:val="en-US" w:eastAsia="en-US" w:bidi="ar-SA"/>
              </w:rPr>
              <w:t>s</w:t>
            </w:r>
          </w:p>
        </w:tc>
        <w:tc>
          <w:tcPr>
            <w:tcW w:w="773" w:type="pct"/>
            <w:tcBorders>
              <w:top w:val="single" w:color="000000" w:sz="6" w:space="0"/>
              <w:left w:val="single" w:color="000000" w:sz="6" w:space="0"/>
              <w:bottom w:val="single" w:color="000000" w:sz="6" w:space="0"/>
              <w:right w:val="single" w:color="000000" w:sz="6" w:space="0"/>
            </w:tcBorders>
            <w:noWrap w:val="0"/>
            <w:vAlign w:val="center"/>
          </w:tcPr>
          <w:p w14:paraId="3C171534">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224.0-670.7</w:t>
            </w:r>
          </w:p>
        </w:tc>
        <w:tc>
          <w:tcPr>
            <w:tcW w:w="2061" w:type="pct"/>
            <w:tcBorders>
              <w:top w:val="single" w:color="000000" w:sz="6" w:space="0"/>
              <w:left w:val="single" w:color="000000" w:sz="6" w:space="0"/>
              <w:bottom w:val="single" w:color="000000" w:sz="6" w:space="0"/>
            </w:tcBorders>
            <w:noWrap w:val="0"/>
            <w:vAlign w:val="center"/>
          </w:tcPr>
          <w:p w14:paraId="1BF37A7E">
            <w:pPr>
              <w:widowControl w:val="0"/>
              <w:autoSpaceDE w:val="0"/>
              <w:autoSpaceDN w:val="0"/>
              <w:adjustRightInd w:val="0"/>
              <w:snapToGrid w:val="0"/>
              <w:spacing w:before="1" w:line="240" w:lineRule="auto"/>
              <w:ind w:left="0" w:leftChars="0" w:firstLine="0" w:firstLineChars="0"/>
              <w:jc w:val="both"/>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灰绿、黄绿色泥岩及砂岩不等厚互层，夹少量砂质泥岩、石英砂岩</w:t>
            </w:r>
          </w:p>
        </w:tc>
      </w:tr>
      <w:tr w14:paraId="4A6939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8" w:hRule="atLeast"/>
          <w:jc w:val="center"/>
        </w:trPr>
        <w:tc>
          <w:tcPr>
            <w:tcW w:w="264" w:type="pct"/>
            <w:tcBorders>
              <w:top w:val="single" w:color="000000" w:sz="6" w:space="0"/>
              <w:right w:val="single" w:color="000000" w:sz="6" w:space="0"/>
            </w:tcBorders>
            <w:noWrap w:val="0"/>
            <w:vAlign w:val="center"/>
          </w:tcPr>
          <w:p w14:paraId="2B3763AB">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元</w:t>
            </w:r>
          </w:p>
          <w:p w14:paraId="068027E3">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古</w:t>
            </w:r>
          </w:p>
          <w:p w14:paraId="62DA8514">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界</w:t>
            </w:r>
          </w:p>
        </w:tc>
        <w:tc>
          <w:tcPr>
            <w:tcW w:w="399" w:type="pct"/>
            <w:tcBorders>
              <w:top w:val="single" w:color="000000" w:sz="6" w:space="0"/>
              <w:left w:val="single" w:color="000000" w:sz="6" w:space="0"/>
              <w:right w:val="single" w:color="000000" w:sz="6" w:space="0"/>
            </w:tcBorders>
            <w:noWrap w:val="0"/>
            <w:vAlign w:val="center"/>
          </w:tcPr>
          <w:p w14:paraId="343E339F">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前震旦系</w:t>
            </w:r>
          </w:p>
        </w:tc>
        <w:tc>
          <w:tcPr>
            <w:tcW w:w="386" w:type="pct"/>
            <w:tcBorders>
              <w:top w:val="single" w:color="000000" w:sz="6" w:space="0"/>
              <w:left w:val="single" w:color="000000" w:sz="6" w:space="0"/>
              <w:right w:val="single" w:color="000000" w:sz="6" w:space="0"/>
            </w:tcBorders>
            <w:noWrap w:val="0"/>
            <w:vAlign w:val="center"/>
          </w:tcPr>
          <w:p w14:paraId="357F0DA7">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p>
        </w:tc>
        <w:tc>
          <w:tcPr>
            <w:tcW w:w="257" w:type="pct"/>
            <w:tcBorders>
              <w:top w:val="single" w:color="000000" w:sz="6" w:space="0"/>
              <w:left w:val="single" w:color="000000" w:sz="6" w:space="0"/>
              <w:right w:val="single" w:color="000000" w:sz="6" w:space="0"/>
            </w:tcBorders>
            <w:noWrap w:val="0"/>
            <w:vAlign w:val="center"/>
          </w:tcPr>
          <w:p w14:paraId="15209497">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上昆阳群</w:t>
            </w:r>
          </w:p>
        </w:tc>
        <w:tc>
          <w:tcPr>
            <w:tcW w:w="266" w:type="pct"/>
            <w:tcBorders>
              <w:top w:val="single" w:color="000000" w:sz="6" w:space="0"/>
              <w:left w:val="single" w:color="000000" w:sz="6" w:space="0"/>
              <w:right w:val="single" w:color="000000" w:sz="6" w:space="0"/>
            </w:tcBorders>
            <w:noWrap w:val="0"/>
            <w:vAlign w:val="center"/>
          </w:tcPr>
          <w:p w14:paraId="3D155A52">
            <w:pPr>
              <w:widowControl w:val="0"/>
              <w:autoSpaceDE w:val="0"/>
              <w:autoSpaceDN w:val="0"/>
              <w:adjustRightInd w:val="0"/>
              <w:snapToGrid w:val="0"/>
              <w:spacing w:before="34" w:line="240" w:lineRule="auto"/>
              <w:ind w:left="0" w:leftChars="0" w:firstLine="0" w:firstLineChars="0"/>
              <w:jc w:val="center"/>
              <w:rPr>
                <w:rFonts w:hint="eastAsia" w:ascii="宋体" w:hAnsi="宋体" w:eastAsia="宋体" w:cs="宋体"/>
                <w:b w:val="0"/>
                <w:bCs w:val="0"/>
                <w:color w:val="auto"/>
                <w:kern w:val="0"/>
                <w:sz w:val="21"/>
                <w:szCs w:val="21"/>
                <w:lang w:val="en-US" w:eastAsia="en-US" w:bidi="ar-SA"/>
              </w:rPr>
            </w:pPr>
            <w:r>
              <w:rPr>
                <w:rFonts w:hint="eastAsia" w:ascii="宋体" w:hAnsi="宋体" w:eastAsia="宋体" w:cs="宋体"/>
                <w:b w:val="0"/>
                <w:bCs w:val="0"/>
                <w:color w:val="auto"/>
                <w:kern w:val="0"/>
                <w:sz w:val="21"/>
                <w:szCs w:val="21"/>
                <w:lang w:val="en-US" w:eastAsia="en-US" w:bidi="ar-SA"/>
              </w:rPr>
              <w:t>片麻岩、片岩段</w:t>
            </w:r>
          </w:p>
        </w:tc>
        <w:tc>
          <w:tcPr>
            <w:tcW w:w="591" w:type="pct"/>
            <w:tcBorders>
              <w:top w:val="single" w:color="000000" w:sz="6" w:space="0"/>
              <w:left w:val="single" w:color="000000" w:sz="6" w:space="0"/>
              <w:right w:val="single" w:color="000000" w:sz="6" w:space="0"/>
            </w:tcBorders>
            <w:noWrap w:val="0"/>
            <w:vAlign w:val="center"/>
          </w:tcPr>
          <w:p w14:paraId="448FD615">
            <w:pPr>
              <w:widowControl w:val="0"/>
              <w:autoSpaceDE w:val="0"/>
              <w:autoSpaceDN w:val="0"/>
              <w:adjustRightInd w:val="0"/>
              <w:snapToGrid w:val="0"/>
              <w:spacing w:before="34" w:line="240" w:lineRule="auto"/>
              <w:ind w:left="0" w:leftChars="0" w:firstLine="0" w:firstLineChars="0"/>
              <w:jc w:val="center"/>
              <w:rPr>
                <w:rFonts w:hint="default" w:ascii="宋体" w:hAnsi="宋体" w:eastAsia="宋体" w:cs="宋体"/>
                <w:b w:val="0"/>
                <w:bCs w:val="0"/>
                <w:color w:val="auto"/>
                <w:kern w:val="0"/>
                <w:sz w:val="21"/>
                <w:szCs w:val="21"/>
                <w:lang w:val="en-US" w:eastAsia="zh-CN" w:bidi="ar-SA"/>
              </w:rPr>
            </w:pPr>
            <w:r>
              <w:rPr>
                <w:rFonts w:hint="eastAsia" w:ascii="宋体" w:hAnsi="宋体" w:eastAsia="宋体" w:cs="宋体"/>
                <w:b w:val="0"/>
                <w:bCs w:val="0"/>
                <w:color w:val="auto"/>
                <w:kern w:val="0"/>
                <w:sz w:val="21"/>
                <w:szCs w:val="21"/>
                <w:lang w:val="en-US" w:eastAsia="en-US" w:bidi="ar-SA"/>
              </w:rPr>
              <w:t>Pt</w:t>
            </w:r>
            <w:r>
              <w:rPr>
                <w:rFonts w:hint="eastAsia" w:ascii="宋体" w:hAnsi="宋体" w:eastAsia="宋体" w:cs="宋体"/>
                <w:b w:val="0"/>
                <w:bCs w:val="0"/>
                <w:color w:val="auto"/>
                <w:kern w:val="0"/>
                <w:sz w:val="21"/>
                <w:szCs w:val="21"/>
                <w:vertAlign w:val="subscript"/>
                <w:lang w:val="en-US" w:eastAsia="en-US" w:bidi="ar-SA"/>
              </w:rPr>
              <w:t>1</w:t>
            </w:r>
            <w:r>
              <w:rPr>
                <w:rFonts w:hint="eastAsia" w:ascii="宋体" w:hAnsi="宋体" w:eastAsia="宋体" w:cs="宋体"/>
                <w:b w:val="0"/>
                <w:bCs w:val="0"/>
                <w:color w:val="auto"/>
                <w:kern w:val="0"/>
                <w:sz w:val="21"/>
                <w:szCs w:val="21"/>
                <w:lang w:val="en-US" w:eastAsia="en-US" w:bidi="ar-SA"/>
              </w:rPr>
              <w:t>kn</w:t>
            </w:r>
            <w:r>
              <w:rPr>
                <w:rFonts w:hint="eastAsia" w:ascii="宋体" w:hAnsi="宋体" w:eastAsia="宋体" w:cs="宋体"/>
                <w:b w:val="0"/>
                <w:bCs w:val="0"/>
                <w:color w:val="auto"/>
                <w:kern w:val="0"/>
                <w:sz w:val="21"/>
                <w:szCs w:val="21"/>
                <w:lang w:val="en-US" w:eastAsia="zh-CN" w:bidi="ar-SA"/>
                <w:eastAsianLayout w:id="249" w:combine="1"/>
              </w:rPr>
              <w:t>1 2</w:t>
            </w:r>
          </w:p>
        </w:tc>
        <w:tc>
          <w:tcPr>
            <w:tcW w:w="773" w:type="pct"/>
            <w:tcBorders>
              <w:top w:val="single" w:color="000000" w:sz="6" w:space="0"/>
              <w:left w:val="single" w:color="000000" w:sz="6" w:space="0"/>
              <w:right w:val="single" w:color="000000" w:sz="6" w:space="0"/>
            </w:tcBorders>
            <w:noWrap w:val="0"/>
            <w:vAlign w:val="center"/>
          </w:tcPr>
          <w:p w14:paraId="7F004BB1">
            <w:pPr>
              <w:widowControl w:val="0"/>
              <w:autoSpaceDE w:val="0"/>
              <w:autoSpaceDN w:val="0"/>
              <w:adjustRightInd w:val="0"/>
              <w:snapToGrid w:val="0"/>
              <w:spacing w:line="240" w:lineRule="auto"/>
              <w:ind w:left="0" w:leftChars="0" w:firstLine="0" w:firstLineChars="0"/>
              <w:jc w:val="center"/>
              <w:rPr>
                <w:rFonts w:hint="eastAsia" w:ascii="宋体" w:hAnsi="宋体" w:eastAsia="宋体" w:cs="宋体"/>
                <w:color w:val="auto"/>
                <w:kern w:val="0"/>
                <w:sz w:val="21"/>
                <w:szCs w:val="21"/>
                <w:lang w:val="en-US" w:eastAsia="en-US" w:bidi="ar-SA"/>
              </w:rPr>
            </w:pPr>
            <w:r>
              <w:rPr>
                <w:rFonts w:hint="eastAsia" w:ascii="宋体" w:hAnsi="宋体" w:eastAsia="宋体" w:cs="宋体"/>
                <w:color w:val="auto"/>
                <w:kern w:val="0"/>
                <w:sz w:val="21"/>
                <w:szCs w:val="21"/>
                <w:lang w:val="en-US" w:eastAsia="en-US" w:bidi="ar-SA"/>
              </w:rPr>
              <w:t>&gt;1310</w:t>
            </w:r>
          </w:p>
        </w:tc>
        <w:tc>
          <w:tcPr>
            <w:tcW w:w="2061" w:type="pct"/>
            <w:tcBorders>
              <w:top w:val="single" w:color="000000" w:sz="6" w:space="0"/>
              <w:left w:val="single" w:color="000000" w:sz="6" w:space="0"/>
            </w:tcBorders>
            <w:noWrap w:val="0"/>
            <w:vAlign w:val="center"/>
          </w:tcPr>
          <w:p w14:paraId="38284A49">
            <w:pPr>
              <w:widowControl w:val="0"/>
              <w:autoSpaceDE w:val="0"/>
              <w:autoSpaceDN w:val="0"/>
              <w:adjustRightInd w:val="0"/>
              <w:snapToGrid w:val="0"/>
              <w:spacing w:before="1" w:line="240" w:lineRule="auto"/>
              <w:ind w:left="0" w:leftChars="0" w:right="72" w:firstLine="0" w:firstLineChars="0"/>
              <w:jc w:val="both"/>
              <w:rPr>
                <w:rFonts w:hint="eastAsia" w:ascii="宋体" w:hAnsi="宋体" w:eastAsia="宋体" w:cs="宋体"/>
                <w:color w:val="auto"/>
                <w:kern w:val="0"/>
                <w:sz w:val="21"/>
                <w:szCs w:val="21"/>
                <w:lang w:val="en-US" w:eastAsia="en-US" w:bidi="ar-SA"/>
              </w:rPr>
            </w:pPr>
            <w:r>
              <w:rPr>
                <w:rFonts w:hint="eastAsia" w:ascii="宋体" w:hAnsi="宋体" w:eastAsia="宋体" w:cs="宋体"/>
                <w:color w:val="auto"/>
                <w:spacing w:val="-8"/>
                <w:kern w:val="0"/>
                <w:sz w:val="21"/>
                <w:szCs w:val="21"/>
                <w:lang w:val="en-US" w:eastAsia="zh-CN" w:bidi="ar-SA"/>
              </w:rPr>
              <w:t>上部花岗片麻岩，中部云</w:t>
            </w:r>
            <w:r>
              <w:rPr>
                <w:rFonts w:hint="eastAsia" w:ascii="宋体" w:hAnsi="宋体" w:eastAsia="宋体" w:cs="宋体"/>
                <w:color w:val="auto"/>
                <w:spacing w:val="15"/>
                <w:kern w:val="0"/>
                <w:sz w:val="21"/>
                <w:szCs w:val="21"/>
                <w:lang w:val="en-US" w:eastAsia="zh-CN" w:bidi="ar-SA"/>
              </w:rPr>
              <w:t>母石英片岩夹中晶大理</w:t>
            </w:r>
            <w:r>
              <w:rPr>
                <w:rFonts w:hint="eastAsia" w:ascii="宋体" w:hAnsi="宋体" w:eastAsia="宋体" w:cs="宋体"/>
                <w:color w:val="auto"/>
                <w:spacing w:val="-8"/>
                <w:kern w:val="0"/>
                <w:sz w:val="21"/>
                <w:szCs w:val="21"/>
                <w:lang w:val="en-US" w:eastAsia="zh-CN" w:bidi="ar-SA"/>
              </w:rPr>
              <w:t>岩透镜体，下部眼球状白</w:t>
            </w:r>
            <w:r>
              <w:rPr>
                <w:rFonts w:hint="eastAsia" w:ascii="宋体" w:hAnsi="宋体" w:eastAsia="宋体" w:cs="宋体"/>
                <w:color w:val="auto"/>
                <w:spacing w:val="-12"/>
                <w:kern w:val="0"/>
                <w:sz w:val="21"/>
                <w:szCs w:val="21"/>
                <w:lang w:val="en-US" w:eastAsia="zh-CN" w:bidi="ar-SA"/>
              </w:rPr>
              <w:t>云母斜长片麻岩、花岗片</w:t>
            </w:r>
            <w:r>
              <w:rPr>
                <w:rFonts w:hint="eastAsia" w:ascii="宋体" w:hAnsi="宋体" w:eastAsia="宋体" w:cs="宋体"/>
                <w:color w:val="auto"/>
                <w:spacing w:val="15"/>
                <w:kern w:val="0"/>
                <w:sz w:val="21"/>
                <w:szCs w:val="21"/>
                <w:lang w:val="en-US" w:eastAsia="zh-CN" w:bidi="ar-SA"/>
              </w:rPr>
              <w:t>岩夹石榴子石云母石英</w:t>
            </w:r>
            <w:r>
              <w:rPr>
                <w:rFonts w:hint="eastAsia" w:ascii="宋体" w:hAnsi="宋体" w:eastAsia="宋体" w:cs="宋体"/>
                <w:color w:val="auto"/>
                <w:kern w:val="0"/>
                <w:sz w:val="21"/>
                <w:szCs w:val="21"/>
                <w:lang w:val="en-US" w:eastAsia="en-US" w:bidi="ar-SA"/>
              </w:rPr>
              <w:t>片岩</w:t>
            </w:r>
          </w:p>
        </w:tc>
      </w:tr>
    </w:tbl>
    <w:p w14:paraId="6B44EC05">
      <w:pPr>
        <w:pStyle w:val="5"/>
        <w:bidi w:val="0"/>
        <w:rPr>
          <w:rFonts w:hint="eastAsia"/>
        </w:rPr>
      </w:pPr>
      <w:r>
        <w:rPr>
          <w:rFonts w:hint="eastAsia"/>
          <w:lang w:val="en-US" w:eastAsia="zh-CN"/>
        </w:rPr>
        <w:t>矿区</w:t>
      </w:r>
      <w:r>
        <w:t>构造</w:t>
      </w:r>
    </w:p>
    <w:p w14:paraId="53E65ACA">
      <w:pPr>
        <w:bidi w:val="0"/>
        <w:rPr>
          <w:rFonts w:hint="eastAsia" w:ascii="宋体" w:hAnsi="宋体" w:eastAsia="宋体" w:cs="宋体"/>
        </w:rPr>
      </w:pPr>
      <w:r>
        <w:rPr>
          <w:rFonts w:hint="eastAsia" w:ascii="宋体" w:hAnsi="宋体" w:eastAsia="宋体" w:cs="宋体"/>
        </w:rPr>
        <w:t>区内地质构造简单，断裂不发育，褶皱平缓开阔，地层倾角多接近水平，以碗状向斜、狭窄背斜相间的褶皱形态为特点。矿区周边构造主要为元谋大断层，其构造特征概述如下：</w:t>
      </w:r>
    </w:p>
    <w:p w14:paraId="5DFA2195">
      <w:pPr>
        <w:bidi w:val="0"/>
        <w:rPr>
          <w:rFonts w:hint="eastAsia" w:ascii="宋体" w:hAnsi="宋体" w:eastAsia="宋体" w:cs="宋体"/>
        </w:rPr>
      </w:pPr>
      <w:r>
        <w:rPr>
          <w:rFonts w:hint="eastAsia" w:ascii="宋体" w:hAnsi="宋体" w:eastAsia="宋体" w:cs="宋体"/>
        </w:rPr>
        <w:t>元谋大断裂：该断裂位于矿区东侧，断裂近南北向走向，长达数百公里以上，其特征及地质表现有：沿断裂带普遍有断层角砾岩及糜稜岩，破碎带宽50m，岩层直立、倒转或被拖曳现象明显，并有弱动力变质现象；断层总体向东倾，倾角陡；断层活动时间长；对断裂两侧的地层沉积有一定的控制作用，但不十分显著；对成矿作用有一定的控制，沿断裂分布有由基性－超基性岩浆分异而形成的铜、镍及铂等矿产；沿断裂带有明显的新构造运动迹象，现代地震活动频繁。断层远离该矿区，对矿区的影响不大。</w:t>
      </w:r>
    </w:p>
    <w:p w14:paraId="4D4225CA">
      <w:pPr>
        <w:pStyle w:val="5"/>
        <w:bidi w:val="0"/>
        <w:rPr>
          <w:rFonts w:hint="eastAsia"/>
          <w:lang w:val="en-US" w:eastAsia="zh-CN"/>
        </w:rPr>
      </w:pPr>
      <w:r>
        <w:rPr>
          <w:rFonts w:hint="eastAsia"/>
          <w:lang w:val="en-US" w:eastAsia="zh-CN"/>
        </w:rPr>
        <w:t>矿区岩浆岩</w:t>
      </w:r>
    </w:p>
    <w:p w14:paraId="6E334EC7">
      <w:pPr>
        <w:rPr>
          <w:rFonts w:hint="eastAsia" w:eastAsia="宋体"/>
          <w:lang w:val="en-US" w:eastAsia="zh-CN"/>
        </w:rPr>
      </w:pPr>
      <w:r>
        <w:t>矿区范围内及周边广泛分布晋宁期花岗岩</w:t>
      </w:r>
      <w:r>
        <w:rPr>
          <w:kern w:val="28"/>
          <w:szCs w:val="28"/>
        </w:rPr>
        <w:t>（</w:t>
      </w:r>
      <w:r>
        <w:rPr>
          <w:szCs w:val="28"/>
        </w:rPr>
        <w:t>γ</w:t>
      </w:r>
      <w:r>
        <w:rPr>
          <w:szCs w:val="28"/>
          <w:vertAlign w:val="subscript"/>
        </w:rPr>
        <w:t>2</w:t>
      </w:r>
      <w:r>
        <w:rPr>
          <w:szCs w:val="28"/>
          <w:vertAlign w:val="superscript"/>
        </w:rPr>
        <w:t>1</w:t>
      </w:r>
      <w:r>
        <w:rPr>
          <w:kern w:val="28"/>
          <w:szCs w:val="28"/>
        </w:rPr>
        <w:t>），</w:t>
      </w:r>
      <w:r>
        <w:t>呈岩基产出。</w:t>
      </w:r>
      <w:r>
        <w:rPr>
          <w:rFonts w:hint="eastAsia" w:ascii="宋体" w:hAnsi="宋体" w:eastAsia="宋体" w:cs="宋体"/>
        </w:rPr>
        <w:t>近地表为褐黄色全-强风化花岗岩，往深部为灰白、肉红色半-弱风化花岗岩，粗-中粒结构，块状构造，属酸性侵入岩体，为矿区开采主要矿体。</w:t>
      </w:r>
    </w:p>
    <w:p w14:paraId="63E88C48">
      <w:pPr>
        <w:pStyle w:val="4"/>
        <w:bidi w:val="0"/>
      </w:pPr>
      <w:bookmarkStart w:id="76" w:name="_Toc29152"/>
      <w:r>
        <w:t>水文地质概况</w:t>
      </w:r>
      <w:bookmarkEnd w:id="76"/>
    </w:p>
    <w:p w14:paraId="2D9AF60B">
      <w:pPr>
        <w:pStyle w:val="5"/>
        <w:bidi w:val="0"/>
        <w:rPr>
          <w:rFonts w:hint="eastAsia"/>
        </w:rPr>
      </w:pPr>
      <w:r>
        <w:rPr>
          <w:rFonts w:hint="eastAsia"/>
        </w:rPr>
        <w:t>矿区水文地质特征</w:t>
      </w:r>
    </w:p>
    <w:p w14:paraId="551C6EFB">
      <w:pPr>
        <w:bidi w:val="0"/>
        <w:rPr>
          <w:rFonts w:hint="eastAsia" w:ascii="宋体" w:hAnsi="宋体" w:eastAsia="宋体" w:cs="宋体"/>
        </w:rPr>
      </w:pPr>
      <w:r>
        <w:rPr>
          <w:rFonts w:hint="eastAsia" w:ascii="宋体" w:hAnsi="宋体" w:eastAsia="宋体" w:cs="宋体"/>
        </w:rPr>
        <w:t>矿区位于蜻蛉河支流永定河下游东岸部位，属金沙江水系；总体地势北东高南西低，为构造剥蚀地貌区。矿区最高点位于矿区北东侧图幅外山顶，海拔标高1235m，最低点为矿区南西侧河流部位，海拔标高1028m，为当地最低侵蚀基准面，矿山开采标高1113～1035m，均位于当地最低侵蚀基准面以上。矿区水文地质特征如下</w:t>
      </w:r>
    </w:p>
    <w:p w14:paraId="18D632CD">
      <w:pPr>
        <w:numPr>
          <w:ilvl w:val="0"/>
          <w:numId w:val="13"/>
        </w:numPr>
        <w:bidi w:val="0"/>
        <w:ind w:left="0" w:leftChars="0" w:firstLine="560" w:firstLineChars="200"/>
        <w:rPr>
          <w:rFonts w:hint="eastAsia"/>
        </w:rPr>
      </w:pPr>
      <w:r>
        <w:rPr>
          <w:rFonts w:hint="eastAsia"/>
        </w:rPr>
        <w:t>地表水</w:t>
      </w:r>
    </w:p>
    <w:p w14:paraId="5804B574">
      <w:pPr>
        <w:bidi w:val="0"/>
        <w:rPr>
          <w:rFonts w:hint="eastAsia"/>
        </w:rPr>
      </w:pPr>
      <w:r>
        <w:rPr>
          <w:rFonts w:hint="eastAsia"/>
        </w:rPr>
        <w:t>矿区内无地表水体、无泉点分布；矿区周边地表水体主要为矿区南西侧平距约86m处的永定河，矿区开采标高位于河床之上，对矿区开采影响较小。</w:t>
      </w:r>
    </w:p>
    <w:p w14:paraId="06E6BA4D">
      <w:pPr>
        <w:numPr>
          <w:ilvl w:val="0"/>
          <w:numId w:val="13"/>
        </w:numPr>
        <w:bidi w:val="0"/>
        <w:ind w:left="0" w:leftChars="0" w:firstLine="560" w:firstLineChars="200"/>
        <w:rPr>
          <w:rFonts w:hint="eastAsia" w:eastAsia="宋体"/>
        </w:rPr>
      </w:pPr>
      <w:r>
        <w:rPr>
          <w:rFonts w:hint="eastAsia" w:eastAsia="宋体"/>
        </w:rPr>
        <w:t>含、隔水层（组）特征</w:t>
      </w:r>
    </w:p>
    <w:p w14:paraId="074B1EE5">
      <w:pPr>
        <w:bidi w:val="0"/>
        <w:rPr>
          <w:rFonts w:hint="eastAsia"/>
        </w:rPr>
      </w:pPr>
      <w:r>
        <w:rPr>
          <w:rFonts w:hint="eastAsia"/>
        </w:rPr>
        <w:t>根据矿区地层性质、地下水的赋存条件、水理特征、富水性、水力性质，将矿区地下水类型划分为松散岩类孔隙水及火成岩裂隙水，其所属含水层（组）的富水性特征如下：</w:t>
      </w:r>
    </w:p>
    <w:p w14:paraId="142D49A4">
      <w:pPr>
        <w:keepNext w:val="0"/>
        <w:keepLines w:val="0"/>
        <w:pageBreakBefore w:val="0"/>
        <w:widowControl w:val="0"/>
        <w:numPr>
          <w:ilvl w:val="0"/>
          <w:numId w:val="14"/>
        </w:numPr>
        <w:kinsoku/>
        <w:wordWrap/>
        <w:overflowPunct/>
        <w:topLinePunct w:val="0"/>
        <w:autoSpaceDE/>
        <w:autoSpaceDN/>
        <w:bidi w:val="0"/>
        <w:adjustRightInd/>
        <w:snapToGrid/>
        <w:ind w:left="0" w:leftChars="0" w:firstLine="560" w:firstLineChars="200"/>
        <w:textAlignment w:val="auto"/>
        <w:rPr>
          <w:rFonts w:hint="eastAsia"/>
        </w:rPr>
      </w:pPr>
      <w:r>
        <w:rPr>
          <w:rFonts w:hint="eastAsia"/>
        </w:rPr>
        <w:t>松散岩类孔隙水</w:t>
      </w:r>
    </w:p>
    <w:p w14:paraId="4AC6F557">
      <w:pPr>
        <w:bidi w:val="0"/>
        <w:rPr>
          <w:rFonts w:hint="eastAsia"/>
        </w:rPr>
      </w:pPr>
      <w:r>
        <w:rPr>
          <w:rFonts w:hint="eastAsia"/>
        </w:rPr>
        <w:t>赋存于新生界第四系残坡积层（</w:t>
      </w:r>
      <w:r>
        <w:rPr>
          <w:szCs w:val="28"/>
        </w:rPr>
        <w:t>Q</w:t>
      </w:r>
      <w:r>
        <w:rPr>
          <w:szCs w:val="28"/>
          <w:vertAlign w:val="subscript"/>
        </w:rPr>
        <w:t>4</w:t>
      </w:r>
      <w:r>
        <w:rPr>
          <w:szCs w:val="28"/>
          <w:vertAlign w:val="superscript"/>
        </w:rPr>
        <w:t>el+dl</w:t>
      </w:r>
      <w:r>
        <w:rPr>
          <w:rFonts w:hint="eastAsia"/>
        </w:rPr>
        <w:t>）中，由褐黄色、褐色砂质粘土、砂、花岗岩碎块组成，一般厚度0.8～2.6m不等。该类地下水含水层厚度较小，含水层以孔隙、颗粒之间为赋水空间，均匀性较好。含水层富水性受岩性控制明显，粘性土孔隙度较大，但连通性较差，不利于地下水的赋存和运移，易成为地下水的相对隔水层，富水性弱。主要接受大气降水补给，大气降水大部分顺坡流入低凹地带的沟谷中，少部分渗入地下补给地下水。</w:t>
      </w:r>
    </w:p>
    <w:p w14:paraId="29423D96">
      <w:pPr>
        <w:keepNext w:val="0"/>
        <w:keepLines w:val="0"/>
        <w:pageBreakBefore w:val="0"/>
        <w:widowControl w:val="0"/>
        <w:numPr>
          <w:ilvl w:val="0"/>
          <w:numId w:val="14"/>
        </w:numPr>
        <w:kinsoku/>
        <w:wordWrap/>
        <w:overflowPunct/>
        <w:topLinePunct w:val="0"/>
        <w:autoSpaceDE/>
        <w:autoSpaceDN/>
        <w:bidi w:val="0"/>
        <w:adjustRightInd/>
        <w:snapToGrid/>
        <w:ind w:left="0" w:leftChars="0" w:firstLine="560" w:firstLineChars="200"/>
        <w:textAlignment w:val="auto"/>
        <w:rPr>
          <w:rFonts w:hint="eastAsia" w:eastAsia="宋体"/>
        </w:rPr>
      </w:pPr>
      <w:r>
        <w:rPr>
          <w:rFonts w:hint="eastAsia" w:eastAsia="宋体"/>
        </w:rPr>
        <w:t>火成岩裂隙水</w:t>
      </w:r>
    </w:p>
    <w:p w14:paraId="708ADD11">
      <w:pPr>
        <w:bidi w:val="0"/>
        <w:rPr>
          <w:rFonts w:hint="eastAsia"/>
        </w:rPr>
      </w:pPr>
      <w:r>
        <w:rPr>
          <w:rFonts w:hint="eastAsia"/>
        </w:rPr>
        <w:t>赋存于晋宁期花岗岩（</w:t>
      </w:r>
      <w:r>
        <w:rPr>
          <w:szCs w:val="28"/>
        </w:rPr>
        <w:t>γ</w:t>
      </w:r>
      <w:r>
        <w:rPr>
          <w:szCs w:val="28"/>
          <w:vertAlign w:val="subscript"/>
        </w:rPr>
        <w:t>2</w:t>
      </w:r>
      <w:r>
        <w:rPr>
          <w:szCs w:val="28"/>
          <w:vertAlign w:val="superscript"/>
        </w:rPr>
        <w:t>1</w:t>
      </w:r>
      <w:r>
        <w:rPr>
          <w:rFonts w:hint="eastAsia"/>
        </w:rPr>
        <w:t>）中，据区域水文资料，该花岗岩地下水径流模数0.5～1.0L/S.</w:t>
      </w:r>
      <w:r>
        <w:rPr>
          <w:szCs w:val="28"/>
        </w:rPr>
        <w:t>km</w:t>
      </w:r>
      <w:r>
        <w:rPr>
          <w:szCs w:val="28"/>
          <w:vertAlign w:val="superscript"/>
        </w:rPr>
        <w:t>2</w:t>
      </w:r>
      <w:r>
        <w:rPr>
          <w:rFonts w:hint="eastAsia"/>
        </w:rPr>
        <w:t>，水量中等；近地表全-强风化花岗岩矿呈砂状，其透水性强，深部岩石节理不发育，其透水性极弱。地下水主要赋存于岩石浅层风化裂隙中，地下水的赋存深度及水量大小与岩石发育裂隙的</w:t>
      </w:r>
      <w:r>
        <w:rPr>
          <w:rFonts w:hint="eastAsia"/>
          <w:lang w:eastAsia="zh-CN"/>
        </w:rPr>
        <w:t>延伸</w:t>
      </w:r>
      <w:r>
        <w:rPr>
          <w:rFonts w:hint="eastAsia"/>
        </w:rPr>
        <w:t>长度及裂隙发育程度相关。</w:t>
      </w:r>
    </w:p>
    <w:p w14:paraId="6C736FD4">
      <w:pPr>
        <w:numPr>
          <w:ilvl w:val="0"/>
          <w:numId w:val="13"/>
        </w:numPr>
        <w:bidi w:val="0"/>
        <w:ind w:left="0" w:leftChars="0" w:firstLine="560" w:firstLineChars="200"/>
        <w:rPr>
          <w:rFonts w:hint="eastAsia"/>
        </w:rPr>
      </w:pPr>
      <w:r>
        <w:rPr>
          <w:rFonts w:hint="eastAsia"/>
        </w:rPr>
        <w:t>构造对矿床充水的影响</w:t>
      </w:r>
    </w:p>
    <w:p w14:paraId="52728C9A">
      <w:pPr>
        <w:bidi w:val="0"/>
      </w:pPr>
      <w:r>
        <w:rPr>
          <w:rFonts w:hint="eastAsia"/>
        </w:rPr>
        <w:t>区内无大的构造断裂，无导水性断裂构造存在，节理裂隙为工作区内的主要构造形式；雨季时大部分降水主要以片流形式沿地表向低凹沟谷地段汇集、排泄，部分沿节理裂隙下渗，补给深层地下水，但渗入量小，对矿床充水影响小。</w:t>
      </w:r>
    </w:p>
    <w:p w14:paraId="1758FB42">
      <w:pPr>
        <w:numPr>
          <w:ilvl w:val="0"/>
          <w:numId w:val="13"/>
        </w:numPr>
        <w:bidi w:val="0"/>
        <w:ind w:left="0" w:leftChars="0" w:firstLine="560" w:firstLineChars="200"/>
        <w:rPr>
          <w:rFonts w:hint="eastAsia" w:eastAsia="宋体"/>
        </w:rPr>
      </w:pPr>
      <w:r>
        <w:rPr>
          <w:rFonts w:hint="eastAsia" w:eastAsia="宋体"/>
        </w:rPr>
        <w:t>地下水的补给、径流、排泄条件</w:t>
      </w:r>
    </w:p>
    <w:p w14:paraId="7C34CEF8">
      <w:pPr>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地下水类型以基岩裂隙水为主，工作区位于其补给径流区，工作区地下水主要接受大气降水渗入补给，以大气蒸发和地表径流方式向四周低凹的河流沟谷进行排泄，仅少量沿节理裂隙下渗补给地下水。本矿区地下水补给条件差，径流、排泄条件较好。</w:t>
      </w:r>
    </w:p>
    <w:p w14:paraId="5CE0F132">
      <w:pPr>
        <w:pStyle w:val="5"/>
        <w:bidi w:val="0"/>
        <w:rPr>
          <w:rFonts w:hint="eastAsia"/>
        </w:rPr>
      </w:pPr>
      <w:r>
        <w:rPr>
          <w:rFonts w:hint="eastAsia"/>
        </w:rPr>
        <w:t>矿床水文地质条件类型</w:t>
      </w:r>
    </w:p>
    <w:p w14:paraId="4402A0B6">
      <w:pPr>
        <w:bidi w:val="0"/>
      </w:pPr>
      <w:r>
        <w:t>随着露天开采的推进，采场边坡规模的扩大，矿山原有的地形地貌将被改变，原有的斜坡将被削为缓坡或平地，自然排水能力将会下降，可能会短暂滞留少部分水，但最终都会以大气蒸发和地表径流方式向四周低凹的河流沟谷进行排泄，或少量沿节理裂隙下渗补给地下水，对矿区影响小。矿山采用山坡露天方式进行开采，将破坏地下水类型，但在开采深度范围内为同一层位，地下水类型基本不会改变。矿山开采未揭露地下水位，未来矿坑充水来源主要为大气降水，自然排水能力虽然比开采前下降，但还是可以利用自然排水把降水排出矿区外，对矿床开采影响不大。</w:t>
      </w:r>
    </w:p>
    <w:p w14:paraId="19CF89F5">
      <w:pPr>
        <w:bidi w:val="0"/>
        <w:rPr>
          <w:rFonts w:hint="eastAsia"/>
        </w:rPr>
      </w:pPr>
      <w:r>
        <w:t>综上所述，矿山开采受地下水和地表水影响小，矿区水文地质条件复杂程度属简单类型。</w:t>
      </w:r>
    </w:p>
    <w:p w14:paraId="07ECB2EB">
      <w:pPr>
        <w:pStyle w:val="4"/>
        <w:bidi w:val="0"/>
        <w:rPr>
          <w:rFonts w:hint="eastAsia"/>
        </w:rPr>
      </w:pPr>
      <w:bookmarkStart w:id="77" w:name="_Toc7723"/>
      <w:r>
        <w:t>工程地质概况</w:t>
      </w:r>
      <w:bookmarkEnd w:id="77"/>
    </w:p>
    <w:p w14:paraId="3731D854">
      <w:pPr>
        <w:pStyle w:val="5"/>
        <w:bidi w:val="0"/>
        <w:rPr>
          <w:rFonts w:hint="eastAsia"/>
        </w:rPr>
      </w:pPr>
      <w:r>
        <w:rPr>
          <w:rFonts w:hint="eastAsia"/>
          <w:lang w:val="en-US" w:eastAsia="zh-CN"/>
        </w:rPr>
        <w:t>矿区工程地质</w:t>
      </w:r>
      <w:r>
        <w:rPr>
          <w:rFonts w:hint="eastAsia"/>
        </w:rPr>
        <w:t>岩组特征</w:t>
      </w:r>
    </w:p>
    <w:p w14:paraId="1D6EE14C">
      <w:pPr>
        <w:bidi w:val="0"/>
        <w:rPr>
          <w:rFonts w:hint="eastAsia" w:ascii="宋体" w:hAnsi="宋体" w:eastAsia="宋体" w:cs="宋体"/>
        </w:rPr>
      </w:pPr>
      <w:r>
        <w:rPr>
          <w:rFonts w:hint="eastAsia" w:ascii="宋体" w:hAnsi="宋体" w:cs="宋体"/>
          <w:sz w:val="28"/>
          <w:szCs w:val="28"/>
        </w:rPr>
        <w:t>根据矿区地层的岩性组合、结构特征及物理力学性质，按工程地质手册中岩土分类依据把矿区岩石分为三个主要工程地质岩组，各岩组岩土体工程地质特征见表</w:t>
      </w:r>
      <w:r>
        <w:rPr>
          <w:rFonts w:hint="eastAsia" w:ascii="宋体" w:hAnsi="宋体" w:cs="宋体"/>
          <w:sz w:val="28"/>
          <w:szCs w:val="28"/>
          <w:lang w:val="en-US" w:eastAsia="zh-CN"/>
        </w:rPr>
        <w:t>2-3</w:t>
      </w:r>
      <w:r>
        <w:rPr>
          <w:rFonts w:hint="eastAsia" w:ascii="宋体" w:hAnsi="宋体" w:eastAsia="宋体" w:cs="宋体"/>
        </w:rPr>
        <w:t>。</w:t>
      </w:r>
    </w:p>
    <w:p w14:paraId="6BCB5112">
      <w:pPr>
        <w:pStyle w:val="11"/>
        <w:ind w:left="0" w:leftChars="0" w:firstLine="0" w:firstLineChars="0"/>
        <w:jc w:val="center"/>
        <w:rPr>
          <w:rFonts w:hint="eastAsia" w:eastAsia="宋体"/>
          <w:lang w:eastAsia="zh-CN"/>
        </w:rPr>
      </w:pPr>
      <w:r>
        <w:t xml:space="preserve">表 </w:t>
      </w:r>
      <w:r>
        <w:fldChar w:fldCharType="begin"/>
      </w:r>
      <w:r>
        <w:instrText xml:space="preserve"> STYLEREF 1 \s </w:instrText>
      </w:r>
      <w:r>
        <w:fldChar w:fldCharType="separate"/>
      </w:r>
      <w:r>
        <w:t>2</w:t>
      </w:r>
      <w:r>
        <w:fldChar w:fldCharType="end"/>
      </w:r>
      <w:r>
        <w:rPr>
          <w:rFonts w:hint="eastAsia"/>
          <w:lang w:eastAsia="zh-CN"/>
        </w:rPr>
        <w:t>-</w:t>
      </w:r>
      <w:r>
        <w:fldChar w:fldCharType="begin"/>
      </w:r>
      <w:r>
        <w:instrText xml:space="preserve"> SEQ 表 \* ARABIC \s 1 </w:instrText>
      </w:r>
      <w:r>
        <w:fldChar w:fldCharType="separate"/>
      </w:r>
      <w:r>
        <w:t>3</w:t>
      </w:r>
      <w:r>
        <w:fldChar w:fldCharType="end"/>
      </w:r>
      <w:r>
        <w:rPr>
          <w:rFonts w:hint="eastAsia"/>
          <w:lang w:eastAsia="zh-CN"/>
        </w:rPr>
        <w:t xml:space="preserve"> 岩土体工程地质特征</w:t>
      </w:r>
    </w:p>
    <w:tbl>
      <w:tblPr>
        <w:tblStyle w:val="29"/>
        <w:tblW w:w="4998"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1448"/>
        <w:gridCol w:w="853"/>
        <w:gridCol w:w="1479"/>
        <w:gridCol w:w="959"/>
        <w:gridCol w:w="923"/>
        <w:gridCol w:w="3452"/>
      </w:tblGrid>
      <w:tr w14:paraId="22667FF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794" w:type="pct"/>
            <w:tcBorders>
              <w:tl2br w:val="nil"/>
              <w:tr2bl w:val="nil"/>
            </w:tcBorders>
            <w:noWrap w:val="0"/>
            <w:vAlign w:val="center"/>
          </w:tcPr>
          <w:p w14:paraId="0073499B">
            <w:pPr>
              <w:adjustRightInd w:val="0"/>
              <w:snapToGrid w:val="0"/>
              <w:spacing w:line="240" w:lineRule="auto"/>
              <w:ind w:firstLine="0" w:firstLineChars="0"/>
              <w:jc w:val="center"/>
              <w:rPr>
                <w:rFonts w:hint="eastAsia" w:ascii="宋体" w:hAnsi="宋体" w:eastAsia="宋体" w:cs="宋体"/>
                <w:b/>
                <w:bCs w:val="0"/>
                <w:color w:val="auto"/>
                <w:sz w:val="21"/>
                <w:szCs w:val="21"/>
              </w:rPr>
            </w:pPr>
            <w:r>
              <w:rPr>
                <w:rFonts w:hint="eastAsia" w:ascii="宋体" w:hAnsi="宋体" w:eastAsia="宋体" w:cs="宋体"/>
                <w:b/>
                <w:bCs w:val="0"/>
                <w:color w:val="auto"/>
                <w:sz w:val="21"/>
                <w:szCs w:val="21"/>
              </w:rPr>
              <w:t>岩组</w:t>
            </w:r>
          </w:p>
          <w:p w14:paraId="0F39259C">
            <w:pPr>
              <w:adjustRightInd w:val="0"/>
              <w:snapToGrid w:val="0"/>
              <w:spacing w:line="240" w:lineRule="auto"/>
              <w:ind w:firstLine="0" w:firstLineChars="0"/>
              <w:jc w:val="center"/>
              <w:rPr>
                <w:rFonts w:ascii="宋体" w:hAnsi="宋体" w:eastAsia="宋体" w:cs="宋体"/>
                <w:b/>
                <w:bCs w:val="0"/>
                <w:color w:val="auto"/>
                <w:sz w:val="21"/>
                <w:szCs w:val="21"/>
              </w:rPr>
            </w:pPr>
            <w:r>
              <w:rPr>
                <w:rFonts w:hint="eastAsia" w:ascii="宋体" w:hAnsi="宋体" w:eastAsia="宋体" w:cs="宋体"/>
                <w:b/>
                <w:bCs w:val="0"/>
                <w:color w:val="auto"/>
                <w:sz w:val="21"/>
                <w:szCs w:val="21"/>
              </w:rPr>
              <w:t>类型</w:t>
            </w:r>
          </w:p>
        </w:tc>
        <w:tc>
          <w:tcPr>
            <w:tcW w:w="468" w:type="pct"/>
            <w:tcBorders>
              <w:tl2br w:val="nil"/>
              <w:tr2bl w:val="nil"/>
            </w:tcBorders>
            <w:noWrap w:val="0"/>
            <w:vAlign w:val="center"/>
          </w:tcPr>
          <w:p w14:paraId="31783978">
            <w:pPr>
              <w:adjustRightInd w:val="0"/>
              <w:snapToGrid w:val="0"/>
              <w:spacing w:line="240" w:lineRule="auto"/>
              <w:ind w:firstLine="0" w:firstLineChars="0"/>
              <w:jc w:val="center"/>
              <w:rPr>
                <w:rFonts w:hint="eastAsia" w:ascii="宋体" w:hAnsi="宋体" w:eastAsia="宋体" w:cs="宋体"/>
                <w:b/>
                <w:bCs w:val="0"/>
                <w:color w:val="auto"/>
                <w:sz w:val="21"/>
                <w:szCs w:val="21"/>
              </w:rPr>
            </w:pPr>
            <w:r>
              <w:rPr>
                <w:rFonts w:hint="eastAsia" w:ascii="宋体" w:hAnsi="宋体" w:eastAsia="宋体" w:cs="宋体"/>
                <w:b/>
                <w:bCs w:val="0"/>
                <w:color w:val="auto"/>
                <w:sz w:val="21"/>
                <w:szCs w:val="21"/>
              </w:rPr>
              <w:t>地层</w:t>
            </w:r>
          </w:p>
          <w:p w14:paraId="4F675E00">
            <w:pPr>
              <w:adjustRightInd w:val="0"/>
              <w:snapToGrid w:val="0"/>
              <w:spacing w:line="240" w:lineRule="auto"/>
              <w:ind w:firstLine="0" w:firstLineChars="0"/>
              <w:jc w:val="center"/>
              <w:rPr>
                <w:rFonts w:ascii="宋体" w:hAnsi="宋体" w:eastAsia="宋体" w:cs="宋体"/>
                <w:b/>
                <w:bCs w:val="0"/>
                <w:color w:val="auto"/>
                <w:sz w:val="21"/>
                <w:szCs w:val="21"/>
              </w:rPr>
            </w:pPr>
            <w:r>
              <w:rPr>
                <w:rFonts w:hint="eastAsia" w:ascii="宋体" w:hAnsi="宋体" w:eastAsia="宋体" w:cs="宋体"/>
                <w:b/>
                <w:bCs w:val="0"/>
                <w:color w:val="auto"/>
                <w:sz w:val="21"/>
                <w:szCs w:val="21"/>
              </w:rPr>
              <w:t>代号</w:t>
            </w:r>
          </w:p>
        </w:tc>
        <w:tc>
          <w:tcPr>
            <w:tcW w:w="811" w:type="pct"/>
            <w:tcBorders>
              <w:tl2br w:val="nil"/>
              <w:tr2bl w:val="nil"/>
            </w:tcBorders>
            <w:noWrap w:val="0"/>
            <w:vAlign w:val="center"/>
          </w:tcPr>
          <w:p w14:paraId="47F2D95F">
            <w:pPr>
              <w:adjustRightInd w:val="0"/>
              <w:snapToGrid w:val="0"/>
              <w:spacing w:line="240" w:lineRule="auto"/>
              <w:ind w:firstLine="0" w:firstLineChars="0"/>
              <w:jc w:val="center"/>
              <w:rPr>
                <w:rFonts w:ascii="宋体" w:hAnsi="宋体" w:eastAsia="宋体" w:cs="宋体"/>
                <w:b/>
                <w:bCs w:val="0"/>
                <w:color w:val="auto"/>
                <w:sz w:val="21"/>
                <w:szCs w:val="21"/>
              </w:rPr>
            </w:pPr>
            <w:r>
              <w:rPr>
                <w:rFonts w:hint="eastAsia" w:ascii="宋体" w:hAnsi="宋体" w:eastAsia="宋体" w:cs="宋体"/>
                <w:b/>
                <w:bCs w:val="0"/>
                <w:color w:val="auto"/>
                <w:sz w:val="21"/>
                <w:szCs w:val="21"/>
              </w:rPr>
              <w:t>岩性</w:t>
            </w:r>
          </w:p>
        </w:tc>
        <w:tc>
          <w:tcPr>
            <w:tcW w:w="526" w:type="pct"/>
            <w:tcBorders>
              <w:tl2br w:val="nil"/>
              <w:tr2bl w:val="nil"/>
            </w:tcBorders>
            <w:noWrap w:val="0"/>
            <w:vAlign w:val="center"/>
          </w:tcPr>
          <w:p w14:paraId="76FFF8D8">
            <w:pPr>
              <w:adjustRightInd w:val="0"/>
              <w:snapToGrid w:val="0"/>
              <w:spacing w:line="240" w:lineRule="auto"/>
              <w:ind w:firstLine="0" w:firstLineChars="0"/>
              <w:jc w:val="center"/>
              <w:rPr>
                <w:rFonts w:ascii="宋体" w:hAnsi="宋体" w:eastAsia="宋体" w:cs="宋体"/>
                <w:b/>
                <w:bCs w:val="0"/>
                <w:color w:val="auto"/>
                <w:sz w:val="21"/>
                <w:szCs w:val="21"/>
              </w:rPr>
            </w:pPr>
            <w:r>
              <w:rPr>
                <w:rFonts w:hint="eastAsia" w:ascii="宋体" w:hAnsi="宋体" w:eastAsia="宋体" w:cs="宋体"/>
                <w:b/>
                <w:bCs w:val="0"/>
                <w:color w:val="auto"/>
                <w:sz w:val="21"/>
                <w:szCs w:val="21"/>
              </w:rPr>
              <w:t>结构面</w:t>
            </w:r>
          </w:p>
        </w:tc>
        <w:tc>
          <w:tcPr>
            <w:tcW w:w="506" w:type="pct"/>
            <w:tcBorders>
              <w:tl2br w:val="nil"/>
              <w:tr2bl w:val="nil"/>
            </w:tcBorders>
            <w:noWrap w:val="0"/>
            <w:vAlign w:val="center"/>
          </w:tcPr>
          <w:p w14:paraId="4825D860">
            <w:pPr>
              <w:adjustRightInd w:val="0"/>
              <w:snapToGrid w:val="0"/>
              <w:spacing w:line="240" w:lineRule="auto"/>
              <w:ind w:firstLine="0" w:firstLineChars="0"/>
              <w:jc w:val="center"/>
              <w:rPr>
                <w:rFonts w:hint="eastAsia" w:ascii="宋体" w:hAnsi="宋体" w:eastAsia="宋体" w:cs="宋体"/>
                <w:b/>
                <w:bCs w:val="0"/>
                <w:color w:val="auto"/>
                <w:sz w:val="21"/>
                <w:szCs w:val="21"/>
              </w:rPr>
            </w:pPr>
            <w:r>
              <w:rPr>
                <w:rFonts w:hint="eastAsia" w:ascii="宋体" w:hAnsi="宋体" w:eastAsia="宋体" w:cs="宋体"/>
                <w:b/>
                <w:bCs w:val="0"/>
                <w:color w:val="auto"/>
                <w:sz w:val="21"/>
                <w:szCs w:val="21"/>
              </w:rPr>
              <w:t>结构</w:t>
            </w:r>
          </w:p>
          <w:p w14:paraId="27625DFD">
            <w:pPr>
              <w:adjustRightInd w:val="0"/>
              <w:snapToGrid w:val="0"/>
              <w:spacing w:line="240" w:lineRule="auto"/>
              <w:ind w:firstLine="0" w:firstLineChars="0"/>
              <w:jc w:val="center"/>
              <w:rPr>
                <w:rFonts w:ascii="宋体" w:hAnsi="宋体" w:eastAsia="宋体" w:cs="宋体"/>
                <w:b/>
                <w:bCs w:val="0"/>
                <w:color w:val="auto"/>
                <w:sz w:val="21"/>
                <w:szCs w:val="21"/>
              </w:rPr>
            </w:pPr>
            <w:r>
              <w:rPr>
                <w:rFonts w:hint="eastAsia" w:ascii="宋体" w:hAnsi="宋体" w:eastAsia="宋体" w:cs="宋体"/>
                <w:b/>
                <w:bCs w:val="0"/>
                <w:color w:val="auto"/>
                <w:sz w:val="21"/>
                <w:szCs w:val="21"/>
              </w:rPr>
              <w:t>类型</w:t>
            </w:r>
          </w:p>
        </w:tc>
        <w:tc>
          <w:tcPr>
            <w:tcW w:w="1893" w:type="pct"/>
            <w:tcBorders>
              <w:tl2br w:val="nil"/>
              <w:tr2bl w:val="nil"/>
            </w:tcBorders>
            <w:noWrap w:val="0"/>
            <w:vAlign w:val="center"/>
          </w:tcPr>
          <w:p w14:paraId="6B31E322">
            <w:pPr>
              <w:adjustRightInd w:val="0"/>
              <w:snapToGrid w:val="0"/>
              <w:spacing w:line="240" w:lineRule="auto"/>
              <w:ind w:firstLine="0" w:firstLineChars="0"/>
              <w:jc w:val="center"/>
              <w:rPr>
                <w:rFonts w:ascii="宋体" w:hAnsi="宋体" w:eastAsia="宋体" w:cs="宋体"/>
                <w:b/>
                <w:bCs w:val="0"/>
                <w:color w:val="auto"/>
                <w:sz w:val="21"/>
                <w:szCs w:val="21"/>
              </w:rPr>
            </w:pPr>
            <w:r>
              <w:rPr>
                <w:rFonts w:hint="eastAsia" w:ascii="宋体" w:hAnsi="宋体" w:eastAsia="宋体" w:cs="宋体"/>
                <w:b/>
                <w:bCs w:val="0"/>
                <w:color w:val="auto"/>
                <w:sz w:val="21"/>
                <w:szCs w:val="21"/>
              </w:rPr>
              <w:t>工程地质特征</w:t>
            </w:r>
          </w:p>
        </w:tc>
      </w:tr>
      <w:tr w14:paraId="76931EB6">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94" w:type="pct"/>
            <w:tcBorders>
              <w:tl2br w:val="nil"/>
              <w:tr2bl w:val="nil"/>
            </w:tcBorders>
            <w:noWrap w:val="0"/>
            <w:vAlign w:val="center"/>
          </w:tcPr>
          <w:p w14:paraId="4937300E">
            <w:pPr>
              <w:adjustRightInd w:val="0"/>
              <w:snapToGrid w:val="0"/>
              <w:spacing w:line="240" w:lineRule="auto"/>
              <w:ind w:firstLine="0" w:firstLineChars="0"/>
              <w:jc w:val="center"/>
              <w:rPr>
                <w:rFonts w:ascii="宋体" w:hAnsi="宋体" w:eastAsia="宋体" w:cs="宋体"/>
                <w:b w:val="0"/>
                <w:bCs/>
                <w:color w:val="auto"/>
                <w:sz w:val="21"/>
                <w:szCs w:val="21"/>
              </w:rPr>
            </w:pPr>
            <w:r>
              <w:rPr>
                <w:rFonts w:hint="eastAsia" w:ascii="宋体" w:hAnsi="宋体" w:eastAsia="宋体" w:cs="宋体"/>
                <w:b w:val="0"/>
                <w:bCs/>
                <w:color w:val="auto"/>
                <w:sz w:val="21"/>
                <w:szCs w:val="21"/>
              </w:rPr>
              <w:t>松散堆积</w:t>
            </w:r>
          </w:p>
          <w:p w14:paraId="7EA50548">
            <w:pPr>
              <w:adjustRightInd w:val="0"/>
              <w:snapToGrid w:val="0"/>
              <w:spacing w:line="240" w:lineRule="auto"/>
              <w:ind w:firstLine="0" w:firstLineChars="0"/>
              <w:jc w:val="center"/>
              <w:rPr>
                <w:rFonts w:ascii="宋体" w:hAnsi="宋体" w:eastAsia="宋体" w:cs="宋体"/>
                <w:b w:val="0"/>
                <w:bCs/>
                <w:color w:val="auto"/>
                <w:sz w:val="21"/>
                <w:szCs w:val="21"/>
              </w:rPr>
            </w:pPr>
            <w:r>
              <w:rPr>
                <w:rFonts w:hint="eastAsia" w:ascii="宋体" w:hAnsi="宋体" w:eastAsia="宋体" w:cs="宋体"/>
                <w:b w:val="0"/>
                <w:bCs/>
                <w:color w:val="auto"/>
                <w:sz w:val="21"/>
                <w:szCs w:val="21"/>
              </w:rPr>
              <w:t>单层土体</w:t>
            </w:r>
          </w:p>
        </w:tc>
        <w:tc>
          <w:tcPr>
            <w:tcW w:w="468" w:type="pct"/>
            <w:tcBorders>
              <w:tl2br w:val="nil"/>
              <w:tr2bl w:val="nil"/>
            </w:tcBorders>
            <w:noWrap w:val="0"/>
            <w:vAlign w:val="center"/>
          </w:tcPr>
          <w:p w14:paraId="5E09346E">
            <w:pPr>
              <w:adjustRightInd w:val="0"/>
              <w:snapToGrid w:val="0"/>
              <w:spacing w:line="240" w:lineRule="auto"/>
              <w:ind w:firstLine="0" w:firstLineChars="0"/>
              <w:jc w:val="center"/>
              <w:rPr>
                <w:rFonts w:ascii="宋体" w:hAnsi="宋体" w:eastAsia="宋体" w:cs="宋体"/>
                <w:b w:val="0"/>
                <w:bCs/>
                <w:color w:val="auto"/>
                <w:sz w:val="21"/>
                <w:szCs w:val="21"/>
              </w:rPr>
            </w:pPr>
            <w:r>
              <w:rPr>
                <w:rFonts w:hint="eastAsia" w:ascii="宋体" w:hAnsi="宋体" w:eastAsia="宋体" w:cs="宋体"/>
                <w:b w:val="0"/>
                <w:bCs/>
                <w:color w:val="auto"/>
                <w:sz w:val="21"/>
                <w:szCs w:val="21"/>
              </w:rPr>
              <w:t>Q</w:t>
            </w:r>
            <w:r>
              <w:rPr>
                <w:rFonts w:hint="eastAsia" w:ascii="宋体" w:hAnsi="宋体" w:eastAsia="宋体" w:cs="宋体"/>
                <w:b w:val="0"/>
                <w:bCs/>
                <w:color w:val="auto"/>
                <w:sz w:val="21"/>
                <w:szCs w:val="21"/>
                <w:vertAlign w:val="subscript"/>
              </w:rPr>
              <w:t>4</w:t>
            </w:r>
            <w:r>
              <w:rPr>
                <w:rFonts w:hint="eastAsia" w:ascii="宋体" w:hAnsi="宋体" w:eastAsia="宋体" w:cs="宋体"/>
                <w:b w:val="0"/>
                <w:bCs/>
                <w:color w:val="auto"/>
                <w:sz w:val="21"/>
                <w:szCs w:val="21"/>
                <w:vertAlign w:val="superscript"/>
              </w:rPr>
              <w:t>el+dl</w:t>
            </w:r>
          </w:p>
        </w:tc>
        <w:tc>
          <w:tcPr>
            <w:tcW w:w="811" w:type="pct"/>
            <w:tcBorders>
              <w:tl2br w:val="nil"/>
              <w:tr2bl w:val="nil"/>
            </w:tcBorders>
            <w:noWrap w:val="0"/>
            <w:vAlign w:val="center"/>
          </w:tcPr>
          <w:p w14:paraId="1307C1E0">
            <w:pPr>
              <w:adjustRightInd w:val="0"/>
              <w:snapToGrid w:val="0"/>
              <w:spacing w:line="240" w:lineRule="auto"/>
              <w:ind w:firstLine="0" w:firstLineChars="0"/>
              <w:jc w:val="center"/>
              <w:rPr>
                <w:rFonts w:ascii="宋体" w:hAnsi="宋体" w:eastAsia="宋体" w:cs="宋体"/>
                <w:b w:val="0"/>
                <w:bCs/>
                <w:color w:val="auto"/>
                <w:sz w:val="21"/>
                <w:szCs w:val="21"/>
              </w:rPr>
            </w:pPr>
            <w:r>
              <w:rPr>
                <w:rFonts w:hint="eastAsia" w:ascii="宋体" w:hAnsi="宋体" w:eastAsia="宋体" w:cs="宋体"/>
                <w:b w:val="0"/>
                <w:bCs/>
                <w:color w:val="auto"/>
                <w:sz w:val="21"/>
                <w:szCs w:val="21"/>
              </w:rPr>
              <w:t>砂质粘土、花岗岩风化砂</w:t>
            </w:r>
          </w:p>
        </w:tc>
        <w:tc>
          <w:tcPr>
            <w:tcW w:w="526" w:type="pct"/>
            <w:tcBorders>
              <w:tl2br w:val="nil"/>
              <w:tr2bl w:val="nil"/>
            </w:tcBorders>
            <w:noWrap w:val="0"/>
            <w:vAlign w:val="center"/>
          </w:tcPr>
          <w:p w14:paraId="62DC7E46">
            <w:pPr>
              <w:adjustRightInd w:val="0"/>
              <w:snapToGrid w:val="0"/>
              <w:spacing w:line="240" w:lineRule="auto"/>
              <w:ind w:firstLine="0" w:firstLineChars="0"/>
              <w:jc w:val="center"/>
              <w:rPr>
                <w:rFonts w:ascii="宋体" w:hAnsi="宋体" w:eastAsia="宋体" w:cs="宋体"/>
                <w:b w:val="0"/>
                <w:bCs/>
                <w:color w:val="auto"/>
                <w:sz w:val="21"/>
                <w:szCs w:val="21"/>
              </w:rPr>
            </w:pPr>
            <w:r>
              <w:rPr>
                <w:rFonts w:hint="eastAsia" w:ascii="宋体" w:hAnsi="宋体" w:eastAsia="宋体" w:cs="宋体"/>
                <w:b w:val="0"/>
                <w:bCs/>
                <w:color w:val="auto"/>
                <w:sz w:val="21"/>
                <w:szCs w:val="21"/>
              </w:rPr>
              <w:t>散体结构面</w:t>
            </w:r>
          </w:p>
        </w:tc>
        <w:tc>
          <w:tcPr>
            <w:tcW w:w="506" w:type="pct"/>
            <w:tcBorders>
              <w:tl2br w:val="nil"/>
              <w:tr2bl w:val="nil"/>
            </w:tcBorders>
            <w:noWrap w:val="0"/>
            <w:vAlign w:val="center"/>
          </w:tcPr>
          <w:p w14:paraId="19C60948">
            <w:pPr>
              <w:adjustRightInd w:val="0"/>
              <w:snapToGrid w:val="0"/>
              <w:spacing w:line="240" w:lineRule="auto"/>
              <w:ind w:firstLine="0" w:firstLineChars="0"/>
              <w:jc w:val="center"/>
              <w:rPr>
                <w:rFonts w:ascii="宋体" w:hAnsi="宋体" w:eastAsia="宋体" w:cs="宋体"/>
                <w:b w:val="0"/>
                <w:bCs/>
                <w:color w:val="auto"/>
                <w:sz w:val="21"/>
                <w:szCs w:val="21"/>
              </w:rPr>
            </w:pPr>
            <w:r>
              <w:rPr>
                <w:rFonts w:hint="eastAsia" w:ascii="宋体" w:hAnsi="宋体" w:eastAsia="宋体" w:cs="宋体"/>
                <w:b w:val="0"/>
                <w:bCs/>
                <w:color w:val="auto"/>
                <w:sz w:val="21"/>
                <w:szCs w:val="21"/>
              </w:rPr>
              <w:t>散体</w:t>
            </w:r>
          </w:p>
          <w:p w14:paraId="1EE11F2E">
            <w:pPr>
              <w:adjustRightInd w:val="0"/>
              <w:snapToGrid w:val="0"/>
              <w:spacing w:line="240" w:lineRule="auto"/>
              <w:ind w:firstLine="0" w:firstLineChars="0"/>
              <w:jc w:val="center"/>
              <w:rPr>
                <w:rFonts w:ascii="宋体" w:hAnsi="宋体" w:eastAsia="宋体" w:cs="宋体"/>
                <w:b w:val="0"/>
                <w:bCs/>
                <w:color w:val="auto"/>
                <w:sz w:val="21"/>
                <w:szCs w:val="21"/>
              </w:rPr>
            </w:pPr>
            <w:r>
              <w:rPr>
                <w:rFonts w:hint="eastAsia" w:ascii="宋体" w:hAnsi="宋体" w:eastAsia="宋体" w:cs="宋体"/>
                <w:b w:val="0"/>
                <w:bCs/>
                <w:color w:val="auto"/>
                <w:sz w:val="21"/>
                <w:szCs w:val="21"/>
              </w:rPr>
              <w:t>结构</w:t>
            </w:r>
          </w:p>
        </w:tc>
        <w:tc>
          <w:tcPr>
            <w:tcW w:w="1893" w:type="pct"/>
            <w:tcBorders>
              <w:tl2br w:val="nil"/>
              <w:tr2bl w:val="nil"/>
            </w:tcBorders>
            <w:noWrap w:val="0"/>
            <w:vAlign w:val="center"/>
          </w:tcPr>
          <w:p w14:paraId="2C174505">
            <w:pPr>
              <w:adjustRightInd w:val="0"/>
              <w:snapToGrid w:val="0"/>
              <w:spacing w:line="240" w:lineRule="auto"/>
              <w:ind w:firstLine="0" w:firstLineChars="0"/>
              <w:jc w:val="both"/>
              <w:rPr>
                <w:rFonts w:ascii="宋体" w:hAnsi="宋体" w:eastAsia="宋体" w:cs="宋体"/>
                <w:b w:val="0"/>
                <w:bCs/>
                <w:color w:val="auto"/>
                <w:sz w:val="21"/>
                <w:szCs w:val="21"/>
              </w:rPr>
            </w:pPr>
            <w:r>
              <w:rPr>
                <w:rFonts w:hint="eastAsia" w:ascii="宋体" w:hAnsi="宋体" w:eastAsia="宋体" w:cs="宋体"/>
                <w:b w:val="0"/>
                <w:bCs/>
                <w:color w:val="auto"/>
                <w:sz w:val="21"/>
                <w:szCs w:val="21"/>
              </w:rPr>
              <w:t>分布于低洼平缓部位，厚度0～2m，透水性强，雨季可能沿土石结构面产生渗水，诱发小规模岩块坍塌、滑坡等地质灾害。</w:t>
            </w:r>
          </w:p>
        </w:tc>
      </w:tr>
      <w:tr w14:paraId="5AFEC7C1">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94" w:type="pct"/>
            <w:tcBorders>
              <w:tl2br w:val="nil"/>
              <w:tr2bl w:val="nil"/>
            </w:tcBorders>
            <w:noWrap w:val="0"/>
            <w:vAlign w:val="center"/>
          </w:tcPr>
          <w:p w14:paraId="329B83D3">
            <w:pPr>
              <w:adjustRightInd w:val="0"/>
              <w:snapToGrid w:val="0"/>
              <w:spacing w:line="240" w:lineRule="auto"/>
              <w:ind w:firstLine="0" w:firstLineChars="0"/>
              <w:jc w:val="center"/>
              <w:rPr>
                <w:rFonts w:ascii="宋体" w:hAnsi="宋体" w:eastAsia="宋体" w:cs="宋体"/>
                <w:b w:val="0"/>
                <w:bCs/>
                <w:color w:val="auto"/>
                <w:sz w:val="21"/>
                <w:szCs w:val="21"/>
              </w:rPr>
            </w:pPr>
            <w:r>
              <w:rPr>
                <w:rFonts w:hint="eastAsia" w:ascii="宋体" w:hAnsi="宋体" w:eastAsia="宋体" w:cs="宋体"/>
                <w:b w:val="0"/>
                <w:bCs/>
                <w:color w:val="auto"/>
                <w:sz w:val="21"/>
                <w:szCs w:val="21"/>
              </w:rPr>
              <w:t>较软碎裂状花岗岩强风化岩组</w:t>
            </w:r>
          </w:p>
        </w:tc>
        <w:tc>
          <w:tcPr>
            <w:tcW w:w="468" w:type="pct"/>
            <w:tcBorders>
              <w:tl2br w:val="nil"/>
              <w:tr2bl w:val="nil"/>
            </w:tcBorders>
            <w:noWrap w:val="0"/>
            <w:vAlign w:val="center"/>
          </w:tcPr>
          <w:p w14:paraId="4AC3A031">
            <w:pPr>
              <w:adjustRightInd w:val="0"/>
              <w:snapToGrid w:val="0"/>
              <w:spacing w:line="240" w:lineRule="auto"/>
              <w:ind w:firstLine="0" w:firstLineChars="0"/>
              <w:jc w:val="center"/>
              <w:rPr>
                <w:rFonts w:ascii="宋体" w:hAnsi="宋体" w:eastAsia="宋体" w:cs="宋体"/>
                <w:b w:val="0"/>
                <w:bCs/>
                <w:color w:val="auto"/>
                <w:sz w:val="21"/>
                <w:szCs w:val="21"/>
              </w:rPr>
            </w:pPr>
            <w:r>
              <w:rPr>
                <w:rFonts w:hint="eastAsia" w:ascii="宋体" w:hAnsi="宋体" w:eastAsia="宋体" w:cs="宋体"/>
                <w:b w:val="0"/>
                <w:bCs/>
                <w:color w:val="auto"/>
                <w:sz w:val="21"/>
                <w:szCs w:val="21"/>
              </w:rPr>
              <w:t>γ</w:t>
            </w:r>
            <w:r>
              <w:rPr>
                <w:rFonts w:hint="eastAsia" w:ascii="宋体" w:hAnsi="宋体" w:eastAsia="宋体" w:cs="宋体"/>
                <w:b w:val="0"/>
                <w:bCs/>
                <w:color w:val="auto"/>
                <w:sz w:val="21"/>
                <w:szCs w:val="21"/>
                <w:vertAlign w:val="subscript"/>
              </w:rPr>
              <w:t>2</w:t>
            </w:r>
            <w:r>
              <w:rPr>
                <w:rFonts w:hint="eastAsia" w:ascii="宋体" w:hAnsi="宋体" w:eastAsia="宋体" w:cs="宋体"/>
                <w:b w:val="0"/>
                <w:bCs/>
                <w:color w:val="auto"/>
                <w:sz w:val="21"/>
                <w:szCs w:val="21"/>
                <w:vertAlign w:val="superscript"/>
              </w:rPr>
              <w:t>1</w:t>
            </w:r>
          </w:p>
        </w:tc>
        <w:tc>
          <w:tcPr>
            <w:tcW w:w="811" w:type="pct"/>
            <w:tcBorders>
              <w:tl2br w:val="nil"/>
              <w:tr2bl w:val="nil"/>
            </w:tcBorders>
            <w:noWrap w:val="0"/>
            <w:vAlign w:val="center"/>
          </w:tcPr>
          <w:p w14:paraId="0AB3A00A">
            <w:pPr>
              <w:adjustRightInd w:val="0"/>
              <w:snapToGrid w:val="0"/>
              <w:spacing w:line="240" w:lineRule="auto"/>
              <w:ind w:firstLine="0" w:firstLineChars="0"/>
              <w:jc w:val="center"/>
              <w:rPr>
                <w:rFonts w:ascii="宋体" w:hAnsi="宋体" w:eastAsia="宋体" w:cs="宋体"/>
                <w:b w:val="0"/>
                <w:bCs/>
                <w:color w:val="auto"/>
                <w:sz w:val="21"/>
                <w:szCs w:val="21"/>
              </w:rPr>
            </w:pPr>
            <w:r>
              <w:rPr>
                <w:rFonts w:hint="eastAsia" w:ascii="宋体" w:hAnsi="宋体" w:eastAsia="宋体" w:cs="宋体"/>
                <w:b w:val="0"/>
                <w:bCs/>
                <w:color w:val="auto"/>
                <w:sz w:val="21"/>
                <w:szCs w:val="21"/>
              </w:rPr>
              <w:t>褐黄色全～强风化花岗岩风化砂</w:t>
            </w:r>
          </w:p>
        </w:tc>
        <w:tc>
          <w:tcPr>
            <w:tcW w:w="526" w:type="pct"/>
            <w:tcBorders>
              <w:tl2br w:val="nil"/>
              <w:tr2bl w:val="nil"/>
            </w:tcBorders>
            <w:noWrap w:val="0"/>
            <w:vAlign w:val="center"/>
          </w:tcPr>
          <w:p w14:paraId="2577FE01">
            <w:pPr>
              <w:adjustRightInd w:val="0"/>
              <w:snapToGrid w:val="0"/>
              <w:spacing w:line="240" w:lineRule="auto"/>
              <w:ind w:firstLine="0" w:firstLineChars="0"/>
              <w:jc w:val="center"/>
              <w:rPr>
                <w:rFonts w:ascii="宋体" w:hAnsi="宋体" w:eastAsia="宋体" w:cs="宋体"/>
                <w:b w:val="0"/>
                <w:bCs/>
                <w:color w:val="auto"/>
                <w:sz w:val="21"/>
                <w:szCs w:val="21"/>
              </w:rPr>
            </w:pPr>
            <w:r>
              <w:rPr>
                <w:rFonts w:hint="eastAsia" w:ascii="宋体" w:hAnsi="宋体" w:eastAsia="宋体" w:cs="宋体"/>
                <w:b w:val="0"/>
                <w:bCs/>
                <w:color w:val="auto"/>
                <w:sz w:val="21"/>
                <w:szCs w:val="21"/>
              </w:rPr>
              <w:t>散体结构面</w:t>
            </w:r>
          </w:p>
        </w:tc>
        <w:tc>
          <w:tcPr>
            <w:tcW w:w="506" w:type="pct"/>
            <w:tcBorders>
              <w:tl2br w:val="nil"/>
              <w:tr2bl w:val="nil"/>
            </w:tcBorders>
            <w:noWrap w:val="0"/>
            <w:vAlign w:val="center"/>
          </w:tcPr>
          <w:p w14:paraId="567DAB90">
            <w:pPr>
              <w:adjustRightInd w:val="0"/>
              <w:snapToGrid w:val="0"/>
              <w:spacing w:line="240" w:lineRule="auto"/>
              <w:ind w:firstLine="0" w:firstLineChars="0"/>
              <w:jc w:val="center"/>
              <w:rPr>
                <w:rFonts w:ascii="宋体" w:hAnsi="宋体" w:eastAsia="宋体" w:cs="宋体"/>
                <w:b w:val="0"/>
                <w:bCs/>
                <w:color w:val="auto"/>
                <w:sz w:val="21"/>
                <w:szCs w:val="21"/>
              </w:rPr>
            </w:pPr>
            <w:r>
              <w:rPr>
                <w:rFonts w:hint="eastAsia" w:ascii="宋体" w:hAnsi="宋体" w:eastAsia="宋体" w:cs="宋体"/>
                <w:b w:val="0"/>
                <w:bCs/>
                <w:color w:val="auto"/>
                <w:sz w:val="21"/>
                <w:szCs w:val="21"/>
              </w:rPr>
              <w:t>散体</w:t>
            </w:r>
          </w:p>
          <w:p w14:paraId="034AA2B4">
            <w:pPr>
              <w:adjustRightInd w:val="0"/>
              <w:snapToGrid w:val="0"/>
              <w:spacing w:line="240" w:lineRule="auto"/>
              <w:ind w:firstLine="0" w:firstLineChars="0"/>
              <w:jc w:val="center"/>
              <w:rPr>
                <w:rFonts w:ascii="宋体" w:hAnsi="宋体" w:eastAsia="宋体" w:cs="宋体"/>
                <w:b w:val="0"/>
                <w:bCs/>
                <w:color w:val="auto"/>
                <w:sz w:val="21"/>
                <w:szCs w:val="21"/>
              </w:rPr>
            </w:pPr>
            <w:r>
              <w:rPr>
                <w:rFonts w:hint="eastAsia" w:ascii="宋体" w:hAnsi="宋体" w:eastAsia="宋体" w:cs="宋体"/>
                <w:b w:val="0"/>
                <w:bCs/>
                <w:color w:val="auto"/>
                <w:sz w:val="21"/>
                <w:szCs w:val="21"/>
              </w:rPr>
              <w:t>结构</w:t>
            </w:r>
          </w:p>
        </w:tc>
        <w:tc>
          <w:tcPr>
            <w:tcW w:w="1893" w:type="pct"/>
            <w:tcBorders>
              <w:tl2br w:val="nil"/>
              <w:tr2bl w:val="nil"/>
            </w:tcBorders>
            <w:noWrap w:val="0"/>
            <w:vAlign w:val="center"/>
          </w:tcPr>
          <w:p w14:paraId="393BAF12">
            <w:pPr>
              <w:adjustRightInd w:val="0"/>
              <w:snapToGrid w:val="0"/>
              <w:spacing w:line="240" w:lineRule="auto"/>
              <w:ind w:firstLine="0" w:firstLineChars="0"/>
              <w:jc w:val="both"/>
              <w:rPr>
                <w:rFonts w:ascii="宋体" w:hAnsi="宋体" w:eastAsia="宋体" w:cs="宋体"/>
                <w:b w:val="0"/>
                <w:bCs/>
                <w:color w:val="auto"/>
                <w:sz w:val="21"/>
                <w:szCs w:val="21"/>
              </w:rPr>
            </w:pPr>
            <w:r>
              <w:rPr>
                <w:rFonts w:hint="eastAsia" w:ascii="宋体" w:hAnsi="宋体" w:eastAsia="宋体" w:cs="宋体"/>
                <w:b w:val="0"/>
                <w:bCs/>
                <w:color w:val="auto"/>
                <w:sz w:val="21"/>
                <w:szCs w:val="21"/>
              </w:rPr>
              <w:t>为主要开采矿层，节理、裂隙发育，岩体破碎，采场边坡可能发生滑坡、坍塌、崩塌。</w:t>
            </w:r>
          </w:p>
        </w:tc>
      </w:tr>
      <w:tr w14:paraId="38F314A0">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794" w:type="pct"/>
            <w:tcBorders>
              <w:tl2br w:val="nil"/>
              <w:tr2bl w:val="nil"/>
            </w:tcBorders>
            <w:noWrap w:val="0"/>
            <w:vAlign w:val="center"/>
          </w:tcPr>
          <w:p w14:paraId="4B259640">
            <w:pPr>
              <w:adjustRightInd w:val="0"/>
              <w:snapToGrid w:val="0"/>
              <w:spacing w:line="240" w:lineRule="auto"/>
              <w:ind w:firstLine="0" w:firstLineChars="0"/>
              <w:jc w:val="center"/>
              <w:rPr>
                <w:rFonts w:ascii="宋体" w:hAnsi="宋体" w:eastAsia="宋体" w:cs="宋体"/>
                <w:b w:val="0"/>
                <w:bCs/>
                <w:color w:val="auto"/>
                <w:sz w:val="21"/>
                <w:szCs w:val="21"/>
              </w:rPr>
            </w:pPr>
            <w:r>
              <w:rPr>
                <w:rFonts w:hint="eastAsia" w:ascii="宋体" w:hAnsi="宋体" w:eastAsia="宋体" w:cs="宋体"/>
                <w:b w:val="0"/>
                <w:bCs/>
                <w:color w:val="auto"/>
                <w:sz w:val="21"/>
                <w:szCs w:val="21"/>
              </w:rPr>
              <w:t>坚硬块状花岗岩岩组</w:t>
            </w:r>
          </w:p>
        </w:tc>
        <w:tc>
          <w:tcPr>
            <w:tcW w:w="468" w:type="pct"/>
            <w:tcBorders>
              <w:tl2br w:val="nil"/>
              <w:tr2bl w:val="nil"/>
            </w:tcBorders>
            <w:noWrap w:val="0"/>
            <w:vAlign w:val="center"/>
          </w:tcPr>
          <w:p w14:paraId="139CFCA5">
            <w:pPr>
              <w:adjustRightInd w:val="0"/>
              <w:snapToGrid w:val="0"/>
              <w:spacing w:line="240" w:lineRule="auto"/>
              <w:ind w:firstLine="0" w:firstLineChars="0"/>
              <w:jc w:val="center"/>
              <w:rPr>
                <w:rFonts w:ascii="宋体" w:hAnsi="宋体" w:eastAsia="宋体" w:cs="宋体"/>
                <w:b w:val="0"/>
                <w:bCs/>
                <w:color w:val="auto"/>
                <w:sz w:val="21"/>
                <w:szCs w:val="21"/>
              </w:rPr>
            </w:pPr>
            <w:r>
              <w:rPr>
                <w:rFonts w:hint="eastAsia" w:ascii="宋体" w:hAnsi="宋体" w:eastAsia="宋体" w:cs="宋体"/>
                <w:b w:val="0"/>
                <w:bCs/>
                <w:color w:val="auto"/>
                <w:sz w:val="21"/>
                <w:szCs w:val="21"/>
              </w:rPr>
              <w:t>γ</w:t>
            </w:r>
            <w:r>
              <w:rPr>
                <w:rFonts w:hint="eastAsia" w:ascii="宋体" w:hAnsi="宋体" w:eastAsia="宋体" w:cs="宋体"/>
                <w:b w:val="0"/>
                <w:bCs/>
                <w:color w:val="auto"/>
                <w:sz w:val="21"/>
                <w:szCs w:val="21"/>
                <w:vertAlign w:val="subscript"/>
              </w:rPr>
              <w:t>2</w:t>
            </w:r>
            <w:r>
              <w:rPr>
                <w:rFonts w:hint="eastAsia" w:ascii="宋体" w:hAnsi="宋体" w:eastAsia="宋体" w:cs="宋体"/>
                <w:b w:val="0"/>
                <w:bCs/>
                <w:color w:val="auto"/>
                <w:sz w:val="21"/>
                <w:szCs w:val="21"/>
                <w:vertAlign w:val="superscript"/>
              </w:rPr>
              <w:t>1</w:t>
            </w:r>
          </w:p>
        </w:tc>
        <w:tc>
          <w:tcPr>
            <w:tcW w:w="811" w:type="pct"/>
            <w:tcBorders>
              <w:tl2br w:val="nil"/>
              <w:tr2bl w:val="nil"/>
            </w:tcBorders>
            <w:noWrap w:val="0"/>
            <w:vAlign w:val="center"/>
          </w:tcPr>
          <w:p w14:paraId="559E67ED">
            <w:pPr>
              <w:adjustRightInd w:val="0"/>
              <w:snapToGrid w:val="0"/>
              <w:spacing w:line="240" w:lineRule="auto"/>
              <w:ind w:firstLine="0" w:firstLineChars="0"/>
              <w:jc w:val="center"/>
              <w:rPr>
                <w:rFonts w:ascii="宋体" w:hAnsi="宋体" w:eastAsia="宋体" w:cs="宋体"/>
                <w:b w:val="0"/>
                <w:bCs/>
                <w:color w:val="auto"/>
                <w:sz w:val="21"/>
                <w:szCs w:val="21"/>
              </w:rPr>
            </w:pPr>
            <w:r>
              <w:rPr>
                <w:rFonts w:hint="eastAsia" w:ascii="宋体" w:hAnsi="宋体" w:eastAsia="宋体" w:cs="宋体"/>
                <w:b w:val="0"/>
                <w:bCs/>
                <w:color w:val="auto"/>
                <w:sz w:val="21"/>
                <w:szCs w:val="21"/>
              </w:rPr>
              <w:t>灰白色半风化～弱风化花岗岩</w:t>
            </w:r>
          </w:p>
        </w:tc>
        <w:tc>
          <w:tcPr>
            <w:tcW w:w="526" w:type="pct"/>
            <w:tcBorders>
              <w:tl2br w:val="nil"/>
              <w:tr2bl w:val="nil"/>
            </w:tcBorders>
            <w:noWrap w:val="0"/>
            <w:vAlign w:val="center"/>
          </w:tcPr>
          <w:p w14:paraId="713382A7">
            <w:pPr>
              <w:adjustRightInd w:val="0"/>
              <w:snapToGrid w:val="0"/>
              <w:spacing w:line="240" w:lineRule="auto"/>
              <w:ind w:firstLine="0" w:firstLineChars="0"/>
              <w:jc w:val="center"/>
              <w:rPr>
                <w:rFonts w:ascii="宋体" w:hAnsi="宋体" w:eastAsia="宋体" w:cs="宋体"/>
                <w:b w:val="0"/>
                <w:bCs/>
                <w:color w:val="auto"/>
                <w:sz w:val="21"/>
                <w:szCs w:val="21"/>
              </w:rPr>
            </w:pPr>
            <w:r>
              <w:rPr>
                <w:rFonts w:hint="eastAsia" w:ascii="宋体" w:hAnsi="宋体" w:eastAsia="宋体" w:cs="宋体"/>
                <w:b w:val="0"/>
                <w:bCs/>
                <w:color w:val="auto"/>
                <w:sz w:val="21"/>
                <w:szCs w:val="21"/>
              </w:rPr>
              <w:t>层面、节理裂隙面</w:t>
            </w:r>
          </w:p>
        </w:tc>
        <w:tc>
          <w:tcPr>
            <w:tcW w:w="506" w:type="pct"/>
            <w:tcBorders>
              <w:tl2br w:val="nil"/>
              <w:tr2bl w:val="nil"/>
            </w:tcBorders>
            <w:noWrap w:val="0"/>
            <w:vAlign w:val="center"/>
          </w:tcPr>
          <w:p w14:paraId="22B8FE33">
            <w:pPr>
              <w:adjustRightInd w:val="0"/>
              <w:snapToGrid w:val="0"/>
              <w:spacing w:line="240" w:lineRule="auto"/>
              <w:ind w:firstLine="0" w:firstLineChars="0"/>
              <w:jc w:val="center"/>
              <w:rPr>
                <w:rFonts w:ascii="宋体" w:hAnsi="宋体" w:eastAsia="宋体" w:cs="宋体"/>
                <w:b w:val="0"/>
                <w:bCs/>
                <w:color w:val="auto"/>
                <w:sz w:val="21"/>
                <w:szCs w:val="21"/>
              </w:rPr>
            </w:pPr>
            <w:r>
              <w:rPr>
                <w:rFonts w:hint="eastAsia" w:ascii="宋体" w:hAnsi="宋体" w:eastAsia="宋体" w:cs="宋体"/>
                <w:b w:val="0"/>
                <w:bCs/>
                <w:color w:val="auto"/>
                <w:sz w:val="21"/>
                <w:szCs w:val="21"/>
              </w:rPr>
              <w:t>块状</w:t>
            </w:r>
          </w:p>
          <w:p w14:paraId="1F832430">
            <w:pPr>
              <w:adjustRightInd w:val="0"/>
              <w:snapToGrid w:val="0"/>
              <w:spacing w:line="240" w:lineRule="auto"/>
              <w:ind w:firstLine="0" w:firstLineChars="0"/>
              <w:jc w:val="center"/>
              <w:rPr>
                <w:rFonts w:ascii="宋体" w:hAnsi="宋体" w:eastAsia="宋体" w:cs="宋体"/>
                <w:b w:val="0"/>
                <w:bCs/>
                <w:color w:val="auto"/>
                <w:sz w:val="21"/>
                <w:szCs w:val="21"/>
              </w:rPr>
            </w:pPr>
            <w:r>
              <w:rPr>
                <w:rFonts w:hint="eastAsia" w:ascii="宋体" w:hAnsi="宋体" w:eastAsia="宋体" w:cs="宋体"/>
                <w:b w:val="0"/>
                <w:bCs/>
                <w:color w:val="auto"/>
                <w:sz w:val="21"/>
                <w:szCs w:val="21"/>
              </w:rPr>
              <w:t>结构</w:t>
            </w:r>
          </w:p>
        </w:tc>
        <w:tc>
          <w:tcPr>
            <w:tcW w:w="1893" w:type="pct"/>
            <w:tcBorders>
              <w:tl2br w:val="nil"/>
              <w:tr2bl w:val="nil"/>
            </w:tcBorders>
            <w:noWrap w:val="0"/>
            <w:vAlign w:val="center"/>
          </w:tcPr>
          <w:p w14:paraId="714D6E90">
            <w:pPr>
              <w:adjustRightInd w:val="0"/>
              <w:snapToGrid w:val="0"/>
              <w:spacing w:line="240" w:lineRule="auto"/>
              <w:ind w:firstLine="0" w:firstLineChars="0"/>
              <w:jc w:val="both"/>
              <w:rPr>
                <w:rFonts w:ascii="宋体" w:hAnsi="宋体" w:eastAsia="宋体" w:cs="宋体"/>
                <w:b w:val="0"/>
                <w:bCs/>
                <w:color w:val="auto"/>
                <w:sz w:val="21"/>
                <w:szCs w:val="21"/>
              </w:rPr>
            </w:pPr>
            <w:r>
              <w:rPr>
                <w:rFonts w:hint="eastAsia" w:ascii="宋体" w:hAnsi="宋体" w:eastAsia="宋体" w:cs="宋体"/>
                <w:b w:val="0"/>
                <w:bCs/>
                <w:color w:val="auto"/>
                <w:sz w:val="21"/>
                <w:szCs w:val="21"/>
              </w:rPr>
              <w:t>为矿体围岩，往深部风化减弱，节理、裂隙不发育，岩体完整。</w:t>
            </w:r>
          </w:p>
        </w:tc>
      </w:tr>
    </w:tbl>
    <w:p w14:paraId="41FC7867">
      <w:pPr>
        <w:adjustRightInd w:val="0"/>
        <w:snapToGrid w:val="0"/>
        <w:spacing w:line="360" w:lineRule="auto"/>
        <w:ind w:firstLine="560" w:firstLineChars="200"/>
        <w:rPr>
          <w:rFonts w:ascii="宋体" w:hAnsi="宋体" w:eastAsia="宋体" w:cs="宋体"/>
          <w:color w:val="auto"/>
          <w:sz w:val="28"/>
          <w:szCs w:val="28"/>
        </w:rPr>
      </w:pPr>
      <w:r>
        <w:rPr>
          <w:rFonts w:ascii="宋体" w:hAnsi="宋体" w:eastAsia="宋体" w:cs="宋体"/>
          <w:color w:val="auto"/>
          <w:sz w:val="28"/>
          <w:szCs w:val="28"/>
        </w:rPr>
        <w:t>通过实地调查，现状下矿区及周边地区未发现滑坡、崩塌、泥石流、地裂缝、塌陷等地质灾害及其它不良工程地质现象，矿区工程地质条件中等</w:t>
      </w:r>
      <w:r>
        <w:rPr>
          <w:rFonts w:hint="eastAsia" w:ascii="宋体" w:hAnsi="宋体" w:eastAsia="宋体" w:cs="宋体"/>
          <w:color w:val="auto"/>
          <w:sz w:val="28"/>
          <w:szCs w:val="28"/>
        </w:rPr>
        <w:t>。</w:t>
      </w:r>
    </w:p>
    <w:p w14:paraId="7A77FFEE">
      <w:pPr>
        <w:pStyle w:val="5"/>
        <w:bidi w:val="0"/>
        <w:rPr>
          <w:rFonts w:hint="eastAsia"/>
          <w:lang w:eastAsia="zh-CN"/>
        </w:rPr>
      </w:pPr>
      <w:r>
        <w:rPr>
          <w:rFonts w:hint="eastAsia"/>
        </w:rPr>
        <w:t>工程地质条件预测评价</w:t>
      </w:r>
    </w:p>
    <w:p w14:paraId="5904AE03">
      <w:pPr>
        <w:bidi w:val="0"/>
      </w:pPr>
      <w:r>
        <w:rPr>
          <w:rFonts w:hint="eastAsia"/>
        </w:rPr>
        <w:t>根据矿山开采方式及岩体工程地质特征，延续开采后，随着开采规模的加大，采场范围扩大，必将产生新的工作边坡，形成新的采空区，岩体内应力平衡将被打破，使采场边坡坡面和后缘等部位产生应力集中，易在节理裂隙发育的部位产生崩落、滑坡等不良地质现象。若开采边坡过陡，采矿作业不规范、组织管理不严、防护措施不当时，在采矿活动及强降雨等作用的影响下，矿山开采工程活动会诱发小规模的斜坡变形、边坡坍塌、边坡后缘张裂、滑坡等地质灾害的可能性较大，对矿山安全生产存在一定影响，地质灾害危险性中等。矿山应按露天采矿的相关规定、规范进行开采，严格控制好开采边坡角，避免交叉作业，加强对采场边坡的监测和管理，及时排除各种安全隐患和地质灾害危险因素，尽可能地减少其对矿山生产构成的威胁，以利于矿山的正常运营。</w:t>
      </w:r>
    </w:p>
    <w:p w14:paraId="4EEA2E0F">
      <w:pPr>
        <w:bidi w:val="0"/>
        <w:rPr>
          <w:rFonts w:hint="eastAsia"/>
          <w:lang w:eastAsia="zh-CN"/>
        </w:rPr>
      </w:pPr>
      <w:r>
        <w:rPr>
          <w:rFonts w:hint="eastAsia"/>
        </w:rPr>
        <w:t>综上所述，矿区工程地质条件中等。</w:t>
      </w:r>
    </w:p>
    <w:p w14:paraId="6201CC0D">
      <w:pPr>
        <w:pStyle w:val="4"/>
        <w:bidi w:val="0"/>
        <w:rPr>
          <w:rFonts w:hint="eastAsia"/>
          <w:lang w:eastAsia="zh-CN"/>
        </w:rPr>
      </w:pPr>
      <w:bookmarkStart w:id="78" w:name="_Toc10985"/>
      <w:r>
        <w:t>矿床地质概况</w:t>
      </w:r>
      <w:bookmarkEnd w:id="78"/>
    </w:p>
    <w:p w14:paraId="0EA904AF">
      <w:pPr>
        <w:pStyle w:val="5"/>
        <w:bidi w:val="0"/>
        <w:rPr>
          <w:rFonts w:hint="default"/>
          <w:lang w:val="en-US" w:eastAsia="zh-CN"/>
        </w:rPr>
      </w:pPr>
      <w:bookmarkStart w:id="79" w:name="_Toc18136"/>
      <w:r>
        <w:rPr>
          <w:rFonts w:hint="eastAsia"/>
        </w:rPr>
        <w:t>矿体（层）特征</w:t>
      </w:r>
      <w:bookmarkEnd w:id="79"/>
    </w:p>
    <w:p w14:paraId="5AB9C5D7">
      <w:pPr>
        <w:bidi w:val="0"/>
        <w:rPr>
          <w:rFonts w:hint="eastAsia" w:ascii="宋体" w:hAnsi="宋体" w:eastAsia="宋体" w:cs="宋体"/>
          <w:lang w:eastAsia="zh-CN"/>
        </w:rPr>
      </w:pPr>
      <w:r>
        <w:rPr>
          <w:rFonts w:hint="eastAsia" w:ascii="宋体" w:hAnsi="宋体" w:eastAsia="宋体" w:cs="宋体"/>
        </w:rPr>
        <w:t>矿区矿体赋存于晋宁期花岗岩中，为酸性侵入岩体，呈粗-中粒结构，块状构造，节理裂隙发育。矿区开采段近南北长约202m，东西宽约218m，根据采场揭露情况，该矿体从地表往深部其风化程度在垂直方向上具分带性，在开采深度范围内从上至下分为全风化</w:t>
      </w:r>
      <w:r>
        <w:rPr>
          <w:rFonts w:hint="eastAsia" w:ascii="宋体" w:hAnsi="宋体" w:eastAsia="宋体" w:cs="宋体"/>
          <w:color w:val="auto"/>
          <w:sz w:val="28"/>
          <w:szCs w:val="28"/>
          <w:lang w:eastAsia="zh-CN"/>
        </w:rPr>
        <w:t>～</w:t>
      </w:r>
      <w:r>
        <w:rPr>
          <w:rFonts w:hint="eastAsia" w:ascii="宋体" w:hAnsi="宋体" w:eastAsia="宋体" w:cs="宋体"/>
        </w:rPr>
        <w:t>强风化—中</w:t>
      </w:r>
      <w:r>
        <w:rPr>
          <w:rFonts w:hint="eastAsia" w:ascii="宋体" w:hAnsi="宋体" w:eastAsia="宋体" w:cs="宋体"/>
          <w:color w:val="auto"/>
          <w:sz w:val="28"/>
          <w:szCs w:val="28"/>
          <w:lang w:eastAsia="zh-CN"/>
        </w:rPr>
        <w:t>～</w:t>
      </w:r>
      <w:r>
        <w:rPr>
          <w:rFonts w:hint="eastAsia" w:ascii="宋体" w:hAnsi="宋体" w:eastAsia="宋体" w:cs="宋体"/>
        </w:rPr>
        <w:t>未风化花岗岩，风化界线为渐变、过渡形态，全</w:t>
      </w:r>
      <w:r>
        <w:rPr>
          <w:rFonts w:hint="eastAsia" w:ascii="宋体" w:hAnsi="宋体" w:eastAsia="宋体" w:cs="宋体"/>
          <w:color w:val="auto"/>
          <w:sz w:val="28"/>
          <w:szCs w:val="28"/>
          <w:lang w:eastAsia="zh-CN"/>
        </w:rPr>
        <w:t>～</w:t>
      </w:r>
      <w:r>
        <w:rPr>
          <w:rFonts w:hint="eastAsia" w:ascii="宋体" w:hAnsi="宋体" w:eastAsia="宋体" w:cs="宋体"/>
        </w:rPr>
        <w:t>强风化花岗岩即为矿区矿体</w:t>
      </w:r>
      <w:r>
        <w:rPr>
          <w:rFonts w:hint="eastAsia" w:ascii="宋体" w:hAnsi="宋体" w:eastAsia="宋体" w:cs="宋体"/>
          <w:lang w:eastAsia="zh-CN"/>
        </w:rPr>
        <w:t>。</w:t>
      </w:r>
    </w:p>
    <w:p w14:paraId="4BFE4C79">
      <w:pPr>
        <w:bidi w:val="0"/>
        <w:rPr>
          <w:rFonts w:hint="eastAsia" w:ascii="宋体" w:hAnsi="宋体" w:eastAsia="宋体" w:cs="宋体"/>
        </w:rPr>
      </w:pPr>
      <w:r>
        <w:rPr>
          <w:rFonts w:hint="eastAsia" w:ascii="宋体" w:hAnsi="宋体" w:eastAsia="宋体" w:cs="宋体"/>
        </w:rPr>
        <w:t>据本次施工的6个钻孔揭露，近地表褐黄色全风化花岗岩，厚约4.60～16.0m，平均厚度8.80m，其中ZK102钻孔中揭露的全风化层厚度最大，达16.0m，全风化层花岗结构全部被破坏，呈松散砂状，岩石颗粒较细，该层在钻孔混合有第四系粘土，致密性差；其下部为浅褐黄、浅灰色强风化花岗岩，厚约6.72～53.1m不等，平均厚度23.5m，其花岗结构大部分被破坏，矿石矿物成分显著变化，母岩结构基本可见，成分主要为石英、长石、云母组成，成碎粒状，磨圆度不高，砂砾占比较大，岩石松散；下部为一层绿泥石夹层，据本次施工的钻孔ZK102、ZK201揭露，该夹层厚度为1.2～1.45m，在ZK102钻孔中该夹层揭露于强风化花岗岩底部，在ZK102钻孔中该夹层揭露于强风化花岗岩中部，浅绿～灰绿色，薄～中厚层状，裂隙发育，方解石细脉充填，岩石较坚硬。本次地表调查中见该夹层点3个，厚度约0.8～1.9m，倾向245-290°，倾角34～47°；底部为中~未风化花岗岩，据施工钻孔揭露，呈</w:t>
      </w:r>
      <w:r>
        <w:rPr>
          <w:rFonts w:hint="eastAsia" w:ascii="宋体" w:hAnsi="宋体" w:eastAsia="宋体" w:cs="宋体"/>
          <w:lang w:val="en-US"/>
        </w:rPr>
        <w:t>浅灰色，岩芯呈短～长柱状，母岩结构较清晰，由长石、石英、云母组成，岩石较坚硬，敲击声脆</w:t>
      </w:r>
      <w:r>
        <w:rPr>
          <w:rFonts w:hint="eastAsia" w:ascii="宋体" w:hAnsi="宋体" w:eastAsia="宋体" w:cs="宋体"/>
        </w:rPr>
        <w:t>。</w:t>
      </w:r>
    </w:p>
    <w:p w14:paraId="3F5DEBA3">
      <w:pPr>
        <w:pStyle w:val="5"/>
        <w:bidi w:val="0"/>
        <w:rPr>
          <w:rFonts w:hint="eastAsia"/>
          <w:lang w:eastAsia="zh-CN"/>
        </w:rPr>
      </w:pPr>
      <w:r>
        <w:rPr>
          <w:rFonts w:hint="eastAsia"/>
        </w:rPr>
        <w:t>矿石特征</w:t>
      </w:r>
    </w:p>
    <w:p w14:paraId="4D85E14E">
      <w:pPr>
        <w:numPr>
          <w:ilvl w:val="0"/>
          <w:numId w:val="15"/>
        </w:numPr>
        <w:bidi w:val="0"/>
        <w:rPr>
          <w:rFonts w:hint="eastAsia" w:ascii="宋体" w:hAnsi="宋体" w:eastAsia="宋体" w:cs="宋体"/>
        </w:rPr>
      </w:pPr>
      <w:bookmarkStart w:id="80" w:name="_Toc418601503"/>
      <w:r>
        <w:rPr>
          <w:rFonts w:hint="eastAsia" w:ascii="宋体" w:hAnsi="宋体" w:eastAsia="宋体" w:cs="宋体"/>
        </w:rPr>
        <w:t>矿石物质组成</w:t>
      </w:r>
      <w:bookmarkEnd w:id="80"/>
    </w:p>
    <w:p w14:paraId="18AEF1DF">
      <w:pPr>
        <w:bidi w:val="0"/>
        <w:rPr>
          <w:rFonts w:hint="eastAsia"/>
        </w:rPr>
      </w:pPr>
      <w:r>
        <w:rPr>
          <w:rFonts w:hint="eastAsia"/>
        </w:rPr>
        <w:t>近地表为褐黄色全</w:t>
      </w:r>
      <w:r>
        <w:rPr>
          <w:rFonts w:hint="eastAsia"/>
          <w:lang w:eastAsia="zh-CN"/>
        </w:rPr>
        <w:t>－</w:t>
      </w:r>
      <w:r>
        <w:rPr>
          <w:rFonts w:hint="eastAsia"/>
        </w:rPr>
        <w:t>强风化花岗岩，往深部为灰白、肉红色半</w:t>
      </w:r>
      <w:r>
        <w:rPr>
          <w:rFonts w:hint="eastAsia"/>
          <w:lang w:eastAsia="zh-CN"/>
        </w:rPr>
        <w:t>－</w:t>
      </w:r>
      <w:r>
        <w:rPr>
          <w:rFonts w:hint="eastAsia"/>
        </w:rPr>
        <w:t>弱风化花岗岩，主要矿物成分为石英、钾长石属微斜长石、微斜微纹长石及正长石，斜长石属钠更长石，聚片双晶发育，绢云母化显著，黑云母多被绿泥石所交代而析出铁质，属酸性侵入岩体。</w:t>
      </w:r>
    </w:p>
    <w:p w14:paraId="6F633466">
      <w:pPr>
        <w:numPr>
          <w:ilvl w:val="0"/>
          <w:numId w:val="15"/>
        </w:numPr>
        <w:bidi w:val="0"/>
        <w:rPr>
          <w:rFonts w:hint="eastAsia" w:ascii="宋体" w:hAnsi="宋体" w:eastAsia="宋体" w:cs="宋体"/>
        </w:rPr>
      </w:pPr>
      <w:bookmarkStart w:id="81" w:name="_Toc418601504"/>
      <w:r>
        <w:rPr>
          <w:rFonts w:hint="eastAsia" w:ascii="宋体" w:hAnsi="宋体" w:eastAsia="宋体" w:cs="宋体"/>
        </w:rPr>
        <w:t>矿石物理力学性质</w:t>
      </w:r>
      <w:bookmarkEnd w:id="81"/>
    </w:p>
    <w:p w14:paraId="25D9F446">
      <w:pPr>
        <w:bidi w:val="0"/>
        <w:rPr>
          <w:rFonts w:hint="eastAsia" w:ascii="宋体" w:hAnsi="宋体" w:eastAsia="宋体" w:cs="宋体"/>
        </w:rPr>
      </w:pPr>
      <w:r>
        <w:rPr>
          <w:rFonts w:hint="eastAsia" w:ascii="宋体" w:hAnsi="宋体" w:eastAsia="宋体" w:cs="宋体"/>
        </w:rPr>
        <w:t>矿区矿体赋存于晋宁期花岗岩中，为酸性侵入岩体，该矿体从地表往深部其风化程度在垂直方向上具分带性，从上至下分为全风化</w:t>
      </w:r>
      <w:r>
        <w:rPr>
          <w:rFonts w:hint="eastAsia"/>
        </w:rPr>
        <w:t>～</w:t>
      </w:r>
      <w:r>
        <w:rPr>
          <w:rFonts w:hint="eastAsia" w:ascii="宋体" w:hAnsi="宋体" w:eastAsia="宋体" w:cs="宋体"/>
        </w:rPr>
        <w:t>强风化—中</w:t>
      </w:r>
      <w:r>
        <w:rPr>
          <w:rFonts w:hint="eastAsia"/>
        </w:rPr>
        <w:t>～</w:t>
      </w:r>
      <w:r>
        <w:rPr>
          <w:rFonts w:hint="eastAsia" w:ascii="宋体" w:hAnsi="宋体" w:eastAsia="宋体" w:cs="宋体"/>
        </w:rPr>
        <w:t>未风化花岗岩，全</w:t>
      </w:r>
      <w:r>
        <w:rPr>
          <w:rFonts w:hint="eastAsia"/>
        </w:rPr>
        <w:t>～</w:t>
      </w:r>
      <w:r>
        <w:rPr>
          <w:rFonts w:hint="eastAsia" w:ascii="宋体" w:hAnsi="宋体" w:eastAsia="宋体" w:cs="宋体"/>
        </w:rPr>
        <w:t>强风化花岗岩即为矿区矿体。颜色为灰褐色-灰黄色，因矿体结构全部被破坏，呈松散砂状，多成碎粒状，矿石颗粒较细，不符合抗压抗剪测试的要求，因此本次采取了下部中</w:t>
      </w:r>
      <w:r>
        <w:rPr>
          <w:rFonts w:hint="eastAsia"/>
        </w:rPr>
        <w:t>～</w:t>
      </w:r>
      <w:r>
        <w:rPr>
          <w:rFonts w:hint="eastAsia" w:ascii="宋体" w:hAnsi="宋体" w:eastAsia="宋体" w:cs="宋体"/>
        </w:rPr>
        <w:t xml:space="preserve">未风化花岗岩进行抗压抗剪测试，据本次取样测试成果：饱和抗压强度58.6MPa ～70.4MPa、平均为62.8MPa，抗剪强度天然粘聚力5.98MPa，内摩擦角65°。矿石属较硬岩，性脆易碎，可破性、易磨性等加工性能好。 </w:t>
      </w:r>
    </w:p>
    <w:p w14:paraId="04D716E9">
      <w:pPr>
        <w:bidi w:val="0"/>
        <w:rPr>
          <w:rFonts w:hint="eastAsia"/>
        </w:rPr>
      </w:pPr>
      <w:r>
        <w:rPr>
          <w:rFonts w:hint="eastAsia"/>
        </w:rPr>
        <w:t>建筑用砂矿矿体表观密度2.54～2.57t/m</w:t>
      </w:r>
      <w:r>
        <w:rPr>
          <w:rFonts w:hint="eastAsia"/>
          <w:vertAlign w:val="superscript"/>
        </w:rPr>
        <w:t>3</w:t>
      </w:r>
      <w:r>
        <w:rPr>
          <w:rFonts w:hint="eastAsia"/>
        </w:rPr>
        <w:t>，</w:t>
      </w:r>
      <w:r>
        <w:t>坚固性</w:t>
      </w:r>
      <w:r>
        <w:rPr>
          <w:rFonts w:hint="eastAsia"/>
        </w:rPr>
        <w:t>4</w:t>
      </w:r>
      <w:r>
        <w:t>%、为Ⅰ类，压碎指标</w:t>
      </w:r>
      <w:r>
        <w:rPr>
          <w:rFonts w:hint="eastAsia"/>
        </w:rPr>
        <w:t>36</w:t>
      </w:r>
      <w:r>
        <w:t>%</w:t>
      </w:r>
      <w:r>
        <w:rPr>
          <w:rFonts w:hint="eastAsia"/>
        </w:rPr>
        <w:t>～37%</w:t>
      </w:r>
      <w:r>
        <w:t>、为</w:t>
      </w:r>
      <w:r>
        <w:rPr>
          <w:rFonts w:hint="eastAsia"/>
        </w:rPr>
        <w:t>III</w:t>
      </w:r>
      <w:r>
        <w:t>类</w:t>
      </w:r>
      <w:r>
        <w:rPr>
          <w:rFonts w:hint="eastAsia"/>
        </w:rPr>
        <w:t>，</w:t>
      </w:r>
      <w:r>
        <w:t>硫酸盐及硫化物含量（SO</w:t>
      </w:r>
      <w:r>
        <w:rPr>
          <w:vertAlign w:val="subscript"/>
        </w:rPr>
        <w:t>3</w:t>
      </w:r>
      <w:r>
        <w:t>）含量0.0%</w:t>
      </w:r>
      <w:r>
        <w:rPr>
          <w:rFonts w:hint="eastAsia"/>
        </w:rPr>
        <w:t>，符合要求，氯化物含量</w:t>
      </w:r>
      <w:r>
        <w:t>0.0%、为Ⅰ类，达到了建筑用石料工业指标的要求，故其矿石工业类型为工业矿。</w:t>
      </w:r>
    </w:p>
    <w:p w14:paraId="0C0903A4">
      <w:pPr>
        <w:numPr>
          <w:ilvl w:val="0"/>
          <w:numId w:val="15"/>
        </w:numPr>
        <w:bidi w:val="0"/>
        <w:rPr>
          <w:rFonts w:hint="eastAsia" w:ascii="宋体" w:hAnsi="宋体" w:eastAsia="宋体" w:cs="宋体"/>
        </w:rPr>
      </w:pPr>
      <w:bookmarkStart w:id="82" w:name="_Toc512960504"/>
      <w:r>
        <w:rPr>
          <w:rFonts w:hint="eastAsia" w:ascii="宋体" w:hAnsi="宋体" w:eastAsia="宋体" w:cs="宋体"/>
          <w:lang w:val="en-US" w:eastAsia="zh-CN"/>
        </w:rPr>
        <w:t>矿石化学性质</w:t>
      </w:r>
    </w:p>
    <w:p w14:paraId="7D76D220">
      <w:pPr>
        <w:bidi w:val="0"/>
        <w:rPr>
          <w:rFonts w:hint="eastAsia"/>
        </w:rPr>
      </w:pPr>
      <w:r>
        <w:rPr>
          <w:rFonts w:hint="eastAsia"/>
        </w:rPr>
        <w:t>建筑用砂矿</w:t>
      </w:r>
      <w:r>
        <w:t>化学成分以二氧化硅（SiO</w:t>
      </w:r>
      <w:r>
        <w:rPr>
          <w:vertAlign w:val="subscript"/>
        </w:rPr>
        <w:t>2</w:t>
      </w:r>
      <w:r>
        <w:t>）为主，三氧化二铝（Al</w:t>
      </w:r>
      <w:r>
        <w:rPr>
          <w:vertAlign w:val="subscript"/>
        </w:rPr>
        <w:t>2</w:t>
      </w:r>
      <w:r>
        <w:t>O</w:t>
      </w:r>
      <w:r>
        <w:rPr>
          <w:vertAlign w:val="subscript"/>
        </w:rPr>
        <w:t>3</w:t>
      </w:r>
      <w:r>
        <w:t>）</w:t>
      </w:r>
      <w:r>
        <w:rPr>
          <w:rFonts w:hint="eastAsia"/>
        </w:rPr>
        <w:t>次之，其余化学成分含量均较少</w:t>
      </w:r>
      <w:r>
        <w:t>，据本次核实工作</w:t>
      </w:r>
      <w:r>
        <w:rPr>
          <w:rFonts w:hint="eastAsia"/>
        </w:rPr>
        <w:t>采取的</w:t>
      </w:r>
      <w:r>
        <w:t>化学全分析样化验结果，二氧化硅（SiO</w:t>
      </w:r>
      <w:r>
        <w:rPr>
          <w:vertAlign w:val="subscript"/>
        </w:rPr>
        <w:t>2</w:t>
      </w:r>
      <w:r>
        <w:t>）</w:t>
      </w:r>
      <w:r>
        <w:rPr>
          <w:rFonts w:hint="eastAsia"/>
        </w:rPr>
        <w:t>含量63.71%，</w:t>
      </w:r>
      <w:r>
        <w:t>三氧化二铝（Al2O3）</w:t>
      </w:r>
      <w:r>
        <w:rPr>
          <w:rFonts w:hint="eastAsia"/>
        </w:rPr>
        <w:t>含量16.67%，</w:t>
      </w:r>
      <w:r>
        <w:t>全三氧化二铁（TFe</w:t>
      </w:r>
      <w:r>
        <w:rPr>
          <w:vertAlign w:val="subscript"/>
        </w:rPr>
        <w:t>2</w:t>
      </w:r>
      <w:r>
        <w:t>O</w:t>
      </w:r>
      <w:r>
        <w:rPr>
          <w:vertAlign w:val="subscript"/>
        </w:rPr>
        <w:t>3</w:t>
      </w:r>
      <w:r>
        <w:t>）含量</w:t>
      </w:r>
      <w:r>
        <w:rPr>
          <w:rFonts w:hint="eastAsia"/>
        </w:rPr>
        <w:t>4.53%，</w:t>
      </w:r>
      <w:r>
        <w:t>氧化钾（K</w:t>
      </w:r>
      <w:r>
        <w:rPr>
          <w:vertAlign w:val="subscript"/>
        </w:rPr>
        <w:t>2</w:t>
      </w:r>
      <w:r>
        <w:t>O）含量</w:t>
      </w:r>
      <w:r>
        <w:rPr>
          <w:rFonts w:hint="eastAsia"/>
        </w:rPr>
        <w:t>1.81%，</w:t>
      </w:r>
      <w:r>
        <w:t>氧化钠（Na</w:t>
      </w:r>
      <w:r>
        <w:rPr>
          <w:vertAlign w:val="subscript"/>
        </w:rPr>
        <w:t>2</w:t>
      </w:r>
      <w:r>
        <w:t>O）含量</w:t>
      </w:r>
      <w:r>
        <w:rPr>
          <w:rFonts w:hint="eastAsia"/>
        </w:rPr>
        <w:t>4.35%，</w:t>
      </w:r>
      <w:r>
        <w:t>氧化钙（CaO）含量</w:t>
      </w:r>
      <w:r>
        <w:rPr>
          <w:rFonts w:hint="eastAsia"/>
        </w:rPr>
        <w:t>3.54%，</w:t>
      </w:r>
      <w:r>
        <w:t>氧化镁（MgO）含量</w:t>
      </w:r>
      <w:r>
        <w:rPr>
          <w:rFonts w:hint="eastAsia"/>
        </w:rPr>
        <w:t>1.53%，</w:t>
      </w:r>
      <w:r>
        <w:t>二氧化钛（TiO</w:t>
      </w:r>
      <w:r>
        <w:rPr>
          <w:vertAlign w:val="subscript"/>
        </w:rPr>
        <w:t>2</w:t>
      </w:r>
      <w:r>
        <w:t>）含量</w:t>
      </w:r>
      <w:r>
        <w:rPr>
          <w:rFonts w:hint="eastAsia"/>
        </w:rPr>
        <w:t>0.58%，</w:t>
      </w:r>
      <w:r>
        <w:t>五氧化二磷（P2O5）含量</w:t>
      </w:r>
      <w:r>
        <w:rPr>
          <w:rFonts w:hint="eastAsia"/>
        </w:rPr>
        <w:t>0.21%，</w:t>
      </w:r>
      <w:r>
        <w:t>三氧化硫（SO</w:t>
      </w:r>
      <w:r>
        <w:rPr>
          <w:vertAlign w:val="subscript"/>
        </w:rPr>
        <w:t>3</w:t>
      </w:r>
      <w:r>
        <w:t>）含量</w:t>
      </w:r>
      <w:r>
        <w:rPr>
          <w:rFonts w:hint="eastAsia"/>
        </w:rPr>
        <w:t>0.033%，</w:t>
      </w:r>
      <w:r>
        <w:t>氯（Cl-）含量</w:t>
      </w:r>
      <w:r>
        <w:rPr>
          <w:rFonts w:hint="eastAsia"/>
        </w:rPr>
        <w:t>0.007%，</w:t>
      </w:r>
      <w:r>
        <w:t>烧失量</w:t>
      </w:r>
      <w:r>
        <w:rPr>
          <w:rFonts w:hint="eastAsia"/>
        </w:rPr>
        <w:t>2.61%，</w:t>
      </w:r>
      <w:r>
        <w:t>是理想的</w:t>
      </w:r>
      <w:r>
        <w:rPr>
          <w:rFonts w:hint="eastAsia"/>
        </w:rPr>
        <w:t>建筑用砂矿石</w:t>
      </w:r>
      <w:r>
        <w:t>。</w:t>
      </w:r>
    </w:p>
    <w:p w14:paraId="4353B4C1">
      <w:pPr>
        <w:numPr>
          <w:ilvl w:val="0"/>
          <w:numId w:val="15"/>
        </w:numPr>
        <w:bidi w:val="0"/>
        <w:rPr>
          <w:rFonts w:hint="eastAsia" w:ascii="宋体" w:hAnsi="宋体" w:eastAsia="宋体" w:cs="宋体"/>
        </w:rPr>
      </w:pPr>
      <w:r>
        <w:rPr>
          <w:rFonts w:hint="eastAsia" w:ascii="宋体" w:hAnsi="宋体" w:eastAsia="宋体" w:cs="宋体"/>
        </w:rPr>
        <w:t>矿石结构及构造</w:t>
      </w:r>
      <w:bookmarkEnd w:id="82"/>
    </w:p>
    <w:p w14:paraId="329BBAF5">
      <w:pPr>
        <w:bidi w:val="0"/>
        <w:rPr>
          <w:rFonts w:hint="eastAsia"/>
        </w:rPr>
      </w:pPr>
      <w:r>
        <w:rPr>
          <w:rFonts w:hint="eastAsia"/>
        </w:rPr>
        <w:t>矿体结构</w:t>
      </w:r>
      <w:r>
        <w:t>粗-中粒结构，块状</w:t>
      </w:r>
      <w:r>
        <w:rPr>
          <w:rFonts w:hint="eastAsia"/>
        </w:rPr>
        <w:t>、碎粒状</w:t>
      </w:r>
      <w:r>
        <w:t>构造，粒度一般均在 2.5～4mm。部分具格子状双晶及显微条纹结构</w:t>
      </w:r>
      <w:r>
        <w:rPr>
          <w:rFonts w:hint="eastAsia"/>
        </w:rPr>
        <w:t>。</w:t>
      </w:r>
    </w:p>
    <w:p w14:paraId="6FD0F6CD">
      <w:pPr>
        <w:numPr>
          <w:ilvl w:val="0"/>
          <w:numId w:val="15"/>
        </w:numPr>
        <w:bidi w:val="0"/>
        <w:rPr>
          <w:rFonts w:hint="eastAsia" w:ascii="宋体" w:hAnsi="宋体" w:eastAsia="宋体" w:cs="宋体"/>
        </w:rPr>
      </w:pPr>
      <w:bookmarkStart w:id="83" w:name="_Toc418601505"/>
      <w:bookmarkStart w:id="84" w:name="_Toc530475154"/>
      <w:bookmarkStart w:id="85" w:name="_Toc352917381"/>
      <w:bookmarkStart w:id="86" w:name="_Toc349759361"/>
      <w:r>
        <w:rPr>
          <w:rFonts w:hint="eastAsia" w:ascii="宋体" w:hAnsi="宋体" w:eastAsia="宋体" w:cs="宋体"/>
        </w:rPr>
        <w:t>矿石类型和品级</w:t>
      </w:r>
      <w:bookmarkEnd w:id="83"/>
      <w:bookmarkEnd w:id="84"/>
      <w:bookmarkEnd w:id="85"/>
      <w:bookmarkEnd w:id="86"/>
    </w:p>
    <w:p w14:paraId="245C7FDE">
      <w:pPr>
        <w:bidi w:val="0"/>
      </w:pPr>
      <w:r>
        <w:t xml:space="preserve">根据矿石的化学特征，参考《矿产地质勘查规范  </w:t>
      </w:r>
      <w:r>
        <w:rPr>
          <w:rFonts w:hint="eastAsia"/>
        </w:rPr>
        <w:t>建筑用石料</w:t>
      </w:r>
      <w:r>
        <w:t>类》（DZ/T</w:t>
      </w:r>
      <w:r>
        <w:rPr>
          <w:rFonts w:hint="eastAsia"/>
        </w:rPr>
        <w:t>0341</w:t>
      </w:r>
      <w:r>
        <w:t>-2020）的相关要求，并结合矿山矿石用途类型，</w:t>
      </w:r>
      <w:r>
        <w:rPr>
          <w:rFonts w:hint="eastAsia"/>
        </w:rPr>
        <w:t>矿区</w:t>
      </w:r>
      <w:r>
        <w:t>内矿石工业类型及品级进行如下划分：</w:t>
      </w:r>
    </w:p>
    <w:p w14:paraId="380581AD">
      <w:pPr>
        <w:bidi w:val="0"/>
        <w:rPr>
          <w:rFonts w:hint="eastAsia" w:ascii="宋体" w:hAnsi="宋体" w:eastAsia="宋体" w:cs="宋体"/>
        </w:rPr>
      </w:pPr>
      <w:r>
        <w:rPr>
          <w:rFonts w:hint="eastAsia" w:ascii="宋体" w:hAnsi="宋体" w:eastAsia="宋体" w:cs="宋体"/>
        </w:rPr>
        <w:t>建筑用砂矿：为晋宁期花岗岩（</w:t>
      </w:r>
      <w:r>
        <w:rPr>
          <w:rFonts w:hint="eastAsia" w:ascii="宋体" w:hAnsi="宋体" w:eastAsia="宋体" w:cs="宋体"/>
          <w:sz w:val="28"/>
          <w:szCs w:val="28"/>
        </w:rPr>
        <w:t>γ</w:t>
      </w:r>
      <w:r>
        <w:rPr>
          <w:rFonts w:hint="eastAsia" w:ascii="宋体" w:hAnsi="宋体" w:eastAsia="宋体" w:cs="宋体"/>
          <w:sz w:val="28"/>
          <w:szCs w:val="28"/>
          <w:vertAlign w:val="subscript"/>
        </w:rPr>
        <w:t>2</w:t>
      </w:r>
      <w:r>
        <w:rPr>
          <w:rFonts w:hint="eastAsia" w:ascii="宋体" w:hAnsi="宋体" w:eastAsia="宋体" w:cs="宋体"/>
          <w:sz w:val="28"/>
          <w:szCs w:val="28"/>
          <w:vertAlign w:val="superscript"/>
        </w:rPr>
        <w:t>1</w:t>
      </w:r>
      <w:r>
        <w:rPr>
          <w:rFonts w:hint="eastAsia" w:ascii="宋体" w:hAnsi="宋体" w:eastAsia="宋体" w:cs="宋体"/>
        </w:rPr>
        <w:t>），其饱和抗压强度58.6MPa～70.4MPa、平均为62.8MPa，抗剪强度天然粘聚力5.98MPa，内摩擦角65°，吸水率2.3%，表观密度2.54～2.57t/m</w:t>
      </w:r>
      <w:r>
        <w:rPr>
          <w:rFonts w:hint="eastAsia" w:ascii="宋体" w:hAnsi="宋体" w:eastAsia="宋体" w:cs="宋体"/>
          <w:vertAlign w:val="superscript"/>
        </w:rPr>
        <w:t>3</w:t>
      </w:r>
      <w:r>
        <w:rPr>
          <w:rFonts w:hint="eastAsia" w:ascii="宋体" w:hAnsi="宋体" w:eastAsia="宋体" w:cs="宋体"/>
        </w:rPr>
        <w:t>，坚固性4%、为Ⅰ类，压碎指标36%～37%、为III类，硫酸盐及硫化物含量（SO</w:t>
      </w:r>
      <w:r>
        <w:rPr>
          <w:rFonts w:hint="eastAsia" w:ascii="宋体" w:hAnsi="宋体" w:eastAsia="宋体" w:cs="宋体"/>
          <w:vertAlign w:val="subscript"/>
        </w:rPr>
        <w:t>3</w:t>
      </w:r>
      <w:r>
        <w:rPr>
          <w:rFonts w:hint="eastAsia" w:ascii="宋体" w:hAnsi="宋体" w:eastAsia="宋体" w:cs="宋体"/>
        </w:rPr>
        <w:t>）含量0.0%，符合要求，氯化物含量0.0%、为Ⅰ类，达到了建筑用石料工业指标的要求，故其矿石工业类型为工业矿。</w:t>
      </w:r>
    </w:p>
    <w:p w14:paraId="0E2D67B1">
      <w:pPr>
        <w:pStyle w:val="5"/>
        <w:bidi w:val="0"/>
        <w:rPr>
          <w:rFonts w:hint="eastAsia"/>
          <w:lang w:eastAsia="zh-CN"/>
        </w:rPr>
      </w:pPr>
      <w:bookmarkStart w:id="87" w:name="_Toc352917382"/>
      <w:bookmarkStart w:id="88" w:name="_Toc349759362"/>
      <w:bookmarkStart w:id="89" w:name="_Toc530475155"/>
      <w:bookmarkStart w:id="90" w:name="_Toc418601506"/>
      <w:r>
        <w:rPr>
          <w:rFonts w:hint="eastAsia"/>
        </w:rPr>
        <w:t>矿体围岩</w:t>
      </w:r>
      <w:bookmarkEnd w:id="87"/>
      <w:bookmarkEnd w:id="88"/>
      <w:r>
        <w:rPr>
          <w:rFonts w:hint="eastAsia"/>
          <w:lang w:eastAsia="zh-CN"/>
        </w:rPr>
        <w:t>及夹石</w:t>
      </w:r>
      <w:bookmarkEnd w:id="89"/>
      <w:bookmarkEnd w:id="90"/>
    </w:p>
    <w:p w14:paraId="41BC7345">
      <w:pPr>
        <w:bidi w:val="0"/>
      </w:pPr>
      <w:bookmarkStart w:id="91" w:name="_Toc13057"/>
      <w:r>
        <w:rPr>
          <w:rFonts w:hint="eastAsia" w:ascii="宋体" w:hAnsi="宋体" w:eastAsia="宋体" w:cs="宋体"/>
        </w:rPr>
        <w:t>矿体为全-强风化花岗岩，其上部为第四系覆土层，其下部与矿体岩性一致，往深部花岗岩风化程度逐渐减弱。开采矿体主要为全-强风化花岗岩，其上部第四系覆土层，含大量花岗岩风化砂，</w:t>
      </w:r>
      <w:r>
        <w:rPr>
          <w:rFonts w:hint="eastAsia" w:ascii="宋体" w:hAnsi="宋体" w:eastAsia="宋体" w:cs="宋体"/>
          <w:lang w:val="en-US"/>
        </w:rPr>
        <w:t>呈松散状，以残积层、坡积层为主。</w:t>
      </w:r>
      <w:r>
        <w:rPr>
          <w:rFonts w:hint="eastAsia" w:ascii="宋体" w:hAnsi="宋体" w:eastAsia="宋体" w:cs="宋体"/>
        </w:rPr>
        <w:t>下部为中～未风化花岗岩，据施工钻孔揭露，下部岩性呈</w:t>
      </w:r>
      <w:r>
        <w:rPr>
          <w:rFonts w:hint="eastAsia" w:ascii="宋体" w:hAnsi="宋体" w:eastAsia="宋体" w:cs="宋体"/>
          <w:lang w:val="en-US"/>
        </w:rPr>
        <w:t>浅灰色，岩芯呈短～长柱状，母岩结构较清晰，由长石、石英、云母组成，</w:t>
      </w:r>
      <w:r>
        <w:rPr>
          <w:lang w:val="en-US"/>
        </w:rPr>
        <w:t>岩石较坚硬，敲击声脆</w:t>
      </w:r>
      <w:r>
        <w:t>。</w:t>
      </w:r>
    </w:p>
    <w:p w14:paraId="4AAE338C">
      <w:pPr>
        <w:bidi w:val="0"/>
        <w:rPr>
          <w:lang w:val="en-US"/>
        </w:rPr>
      </w:pPr>
      <w:r>
        <w:rPr>
          <w:rFonts w:hint="eastAsia"/>
        </w:rPr>
        <w:t>矿体夹石</w:t>
      </w:r>
      <w:r>
        <w:t>为一层绿泥石夹层，据本次施工的钻孔ZK102、ZK201揭露，该夹层厚度为1.2～1.45m，在ZK102钻孔中该夹层揭露于强风化花岗岩底部，在ZK102钻孔中该夹层揭露于强风化花岗岩中部，浅绿～灰绿色，薄～中厚层状，裂隙发育，方解石细脉充填，岩石较坚硬。本次地表调查中见该夹层点3个，厚度约0.8～1.9m，倾向245-290°，倾角34～47°</w:t>
      </w:r>
      <w:r>
        <w:rPr>
          <w:lang w:val="en-US"/>
        </w:rPr>
        <w:t>。</w:t>
      </w:r>
    </w:p>
    <w:p w14:paraId="2513E8F7">
      <w:pPr>
        <w:pStyle w:val="3"/>
        <w:bidi w:val="0"/>
      </w:pPr>
      <w:r>
        <w:t>工程建设方案概况</w:t>
      </w:r>
      <w:bookmarkEnd w:id="91"/>
    </w:p>
    <w:p w14:paraId="6A39C87B">
      <w:pPr>
        <w:bidi w:val="0"/>
        <w:rPr>
          <w:rFonts w:hint="eastAsia" w:ascii="宋体" w:hAnsi="宋体" w:eastAsia="宋体" w:cs="宋体"/>
          <w:lang w:val="en-US" w:eastAsia="zh-CN"/>
        </w:rPr>
      </w:pPr>
      <w:r>
        <w:rPr>
          <w:rFonts w:hint="eastAsia" w:ascii="宋体" w:hAnsi="宋体" w:eastAsia="宋体" w:cs="宋体"/>
          <w:lang w:val="en-US" w:eastAsia="zh-CN"/>
        </w:rPr>
        <w:t>根据《元谋中鼎砂石有限公司大物茂砂厂（10万t/a）露天采矿工程初步设计》（云南增股工程勘察设计有限公司，2025年3月）为依据进行描述。</w:t>
      </w:r>
    </w:p>
    <w:p w14:paraId="3889C41E">
      <w:pPr>
        <w:pStyle w:val="4"/>
        <w:bidi w:val="0"/>
        <w:rPr>
          <w:rFonts w:hint="eastAsia"/>
        </w:rPr>
      </w:pPr>
      <w:bookmarkStart w:id="92" w:name="_Toc9777"/>
      <w:r>
        <w:t>矿山开采现状</w:t>
      </w:r>
      <w:bookmarkEnd w:id="92"/>
    </w:p>
    <w:p w14:paraId="4E727C34">
      <w:pPr>
        <w:pStyle w:val="5"/>
        <w:bidi w:val="0"/>
        <w:rPr>
          <w:rFonts w:hint="default"/>
          <w:lang w:val="en-US" w:eastAsia="zh-CN"/>
        </w:rPr>
      </w:pPr>
      <w:r>
        <w:rPr>
          <w:rFonts w:hint="eastAsia"/>
          <w:lang w:val="en-US" w:eastAsia="zh-CN"/>
        </w:rPr>
        <w:t>矿山现状</w:t>
      </w:r>
    </w:p>
    <w:p w14:paraId="0E1D5D34">
      <w:pPr>
        <w:numPr>
          <w:ilvl w:val="0"/>
          <w:numId w:val="16"/>
        </w:numPr>
        <w:bidi w:val="0"/>
        <w:rPr>
          <w:rFonts w:hint="eastAsia" w:ascii="宋体" w:hAnsi="宋体" w:eastAsia="宋体" w:cs="宋体"/>
        </w:rPr>
      </w:pPr>
      <w:r>
        <w:rPr>
          <w:rFonts w:hint="eastAsia" w:ascii="宋体" w:hAnsi="宋体" w:eastAsia="宋体" w:cs="宋体"/>
        </w:rPr>
        <w:t>矿山采用露天开采，开采后的矿石经挖掘机顺坡倾倒至台阶底部，采用装载机倒运至破碎站进行破碎，有道路道通达到1061m开采平台。道路宽4.5m</w:t>
      </w:r>
      <w:r>
        <w:rPr>
          <w:rFonts w:hint="eastAsia" w:ascii="宋体" w:hAnsi="宋体" w:eastAsia="宋体" w:cs="宋体"/>
          <w:lang w:eastAsia="zh-CN"/>
        </w:rPr>
        <w:t>，</w:t>
      </w:r>
      <w:r>
        <w:rPr>
          <w:rFonts w:hint="eastAsia" w:ascii="宋体" w:hAnsi="宋体" w:eastAsia="宋体" w:cs="宋体"/>
        </w:rPr>
        <w:t>长度约150m平均纵坡13%，局部较陡；</w:t>
      </w:r>
    </w:p>
    <w:p w14:paraId="79CF1103">
      <w:pPr>
        <w:numPr>
          <w:ilvl w:val="0"/>
          <w:numId w:val="16"/>
        </w:numPr>
        <w:bidi w:val="0"/>
        <w:rPr>
          <w:rFonts w:hint="eastAsia" w:ascii="宋体" w:hAnsi="宋体" w:eastAsia="宋体" w:cs="宋体"/>
        </w:rPr>
      </w:pPr>
      <w:r>
        <w:rPr>
          <w:rFonts w:hint="eastAsia" w:ascii="宋体" w:hAnsi="宋体" w:eastAsia="宋体" w:cs="宋体"/>
        </w:rPr>
        <w:t>矿山经过前期多年开采现已形成</w:t>
      </w:r>
      <w:r>
        <w:rPr>
          <w:rFonts w:hint="eastAsia" w:ascii="宋体" w:hAnsi="宋体" w:eastAsia="宋体" w:cs="宋体"/>
          <w:lang w:val="en-US" w:eastAsia="zh-CN"/>
        </w:rPr>
        <w:t>6</w:t>
      </w:r>
      <w:r>
        <w:rPr>
          <w:rFonts w:hint="eastAsia" w:ascii="宋体" w:hAnsi="宋体" w:eastAsia="宋体" w:cs="宋体"/>
        </w:rPr>
        <w:t>个开采平台。109</w:t>
      </w:r>
      <w:r>
        <w:rPr>
          <w:rFonts w:hint="eastAsia" w:ascii="宋体" w:hAnsi="宋体" w:eastAsia="宋体" w:cs="宋体"/>
          <w:lang w:val="en-US" w:eastAsia="zh-CN"/>
        </w:rPr>
        <w:t>5</w:t>
      </w:r>
      <w:r>
        <w:rPr>
          <w:rFonts w:hint="eastAsia" w:ascii="宋体" w:hAnsi="宋体" w:eastAsia="宋体" w:cs="宋体"/>
        </w:rPr>
        <w:t>m开采平台宽度</w:t>
      </w:r>
      <w:r>
        <w:rPr>
          <w:rFonts w:hint="eastAsia" w:ascii="宋体" w:hAnsi="宋体" w:eastAsia="宋体" w:cs="宋体"/>
          <w:lang w:val="en-US" w:eastAsia="zh-CN"/>
        </w:rPr>
        <w:t>4</w:t>
      </w:r>
      <w:r>
        <w:rPr>
          <w:rFonts w:hint="eastAsia" w:ascii="宋体" w:hAnsi="宋体" w:eastAsia="宋体" w:cs="宋体"/>
        </w:rPr>
        <w:t>～</w:t>
      </w:r>
      <w:r>
        <w:rPr>
          <w:rFonts w:hint="eastAsia" w:ascii="宋体" w:hAnsi="宋体" w:eastAsia="宋体" w:cs="宋体"/>
          <w:lang w:val="en-US" w:eastAsia="zh-CN"/>
        </w:rPr>
        <w:t>6</w:t>
      </w:r>
      <w:r>
        <w:rPr>
          <w:rFonts w:hint="eastAsia" w:ascii="宋体" w:hAnsi="宋体" w:eastAsia="宋体" w:cs="宋体"/>
        </w:rPr>
        <w:t>m，高</w:t>
      </w:r>
      <w:r>
        <w:rPr>
          <w:rFonts w:hint="eastAsia" w:ascii="宋体" w:hAnsi="宋体" w:eastAsia="宋体" w:cs="宋体"/>
          <w:lang w:val="en-US" w:eastAsia="zh-CN"/>
        </w:rPr>
        <w:t>4</w:t>
      </w:r>
      <w:r>
        <w:rPr>
          <w:rFonts w:hint="eastAsia" w:ascii="宋体" w:hAnsi="宋体" w:eastAsia="宋体" w:cs="宋体"/>
        </w:rPr>
        <w:t>～6m，长度约</w:t>
      </w:r>
      <w:r>
        <w:rPr>
          <w:rFonts w:hint="eastAsia" w:ascii="宋体" w:hAnsi="宋体" w:eastAsia="宋体" w:cs="宋体"/>
          <w:lang w:val="en-US" w:eastAsia="zh-CN"/>
        </w:rPr>
        <w:t>105</w:t>
      </w:r>
      <w:r>
        <w:rPr>
          <w:rFonts w:hint="eastAsia" w:ascii="宋体" w:hAnsi="宋体" w:eastAsia="宋体" w:cs="宋体"/>
        </w:rPr>
        <w:t>m，台阶边坡角约</w:t>
      </w:r>
      <w:r>
        <w:rPr>
          <w:rFonts w:hint="eastAsia" w:ascii="宋体" w:hAnsi="宋体" w:eastAsia="宋体" w:cs="宋体"/>
          <w:lang w:val="en-US" w:eastAsia="zh-CN"/>
        </w:rPr>
        <w:t>5</w:t>
      </w:r>
      <w:r>
        <w:rPr>
          <w:rFonts w:hint="eastAsia" w:ascii="宋体" w:hAnsi="宋体" w:eastAsia="宋体" w:cs="宋体"/>
        </w:rPr>
        <w:t>3°；10</w:t>
      </w:r>
      <w:r>
        <w:rPr>
          <w:rFonts w:hint="eastAsia" w:ascii="宋体" w:hAnsi="宋体" w:eastAsia="宋体" w:cs="宋体"/>
          <w:lang w:val="en-US" w:eastAsia="zh-CN"/>
        </w:rPr>
        <w:t>87</w:t>
      </w:r>
      <w:r>
        <w:rPr>
          <w:rFonts w:hint="eastAsia" w:ascii="宋体" w:hAnsi="宋体" w:eastAsia="宋体" w:cs="宋体"/>
        </w:rPr>
        <w:t>m开采平台宽度5～1</w:t>
      </w:r>
      <w:r>
        <w:rPr>
          <w:rFonts w:hint="eastAsia" w:ascii="宋体" w:hAnsi="宋体" w:eastAsia="宋体" w:cs="宋体"/>
          <w:lang w:val="en-US" w:eastAsia="zh-CN"/>
        </w:rPr>
        <w:t>0</w:t>
      </w:r>
      <w:r>
        <w:rPr>
          <w:rFonts w:hint="eastAsia" w:ascii="宋体" w:hAnsi="宋体" w:eastAsia="宋体" w:cs="宋体"/>
        </w:rPr>
        <w:t>m，高7～1</w:t>
      </w:r>
      <w:r>
        <w:rPr>
          <w:rFonts w:hint="eastAsia" w:ascii="宋体" w:hAnsi="宋体" w:eastAsia="宋体" w:cs="宋体"/>
          <w:lang w:val="en-US" w:eastAsia="zh-CN"/>
        </w:rPr>
        <w:t>0</w:t>
      </w:r>
      <w:r>
        <w:rPr>
          <w:rFonts w:hint="eastAsia" w:ascii="宋体" w:hAnsi="宋体" w:eastAsia="宋体" w:cs="宋体"/>
        </w:rPr>
        <w:t>m，长度约1</w:t>
      </w:r>
      <w:r>
        <w:rPr>
          <w:rFonts w:hint="eastAsia" w:ascii="宋体" w:hAnsi="宋体" w:eastAsia="宋体" w:cs="宋体"/>
          <w:lang w:val="en-US" w:eastAsia="zh-CN"/>
        </w:rPr>
        <w:t>20</w:t>
      </w:r>
      <w:r>
        <w:rPr>
          <w:rFonts w:hint="eastAsia" w:ascii="宋体" w:hAnsi="宋体" w:eastAsia="宋体" w:cs="宋体"/>
        </w:rPr>
        <w:t>m，台阶边坡角约</w:t>
      </w:r>
      <w:r>
        <w:rPr>
          <w:rFonts w:hint="eastAsia" w:ascii="宋体" w:hAnsi="宋体" w:eastAsia="宋体" w:cs="宋体"/>
          <w:lang w:val="en-US" w:eastAsia="zh-CN"/>
        </w:rPr>
        <w:t>4</w:t>
      </w:r>
      <w:r>
        <w:rPr>
          <w:rFonts w:hint="eastAsia" w:ascii="宋体" w:hAnsi="宋体" w:eastAsia="宋体" w:cs="宋体"/>
        </w:rPr>
        <w:t>0°；108</w:t>
      </w:r>
      <w:r>
        <w:rPr>
          <w:rFonts w:hint="eastAsia" w:ascii="宋体" w:hAnsi="宋体" w:eastAsia="宋体" w:cs="宋体"/>
          <w:lang w:val="en-US" w:eastAsia="zh-CN"/>
        </w:rPr>
        <w:t>0</w:t>
      </w:r>
      <w:r>
        <w:rPr>
          <w:rFonts w:hint="eastAsia" w:ascii="宋体" w:hAnsi="宋体" w:eastAsia="宋体" w:cs="宋体"/>
        </w:rPr>
        <w:t>m开采平台宽度</w:t>
      </w:r>
      <w:r>
        <w:rPr>
          <w:rFonts w:hint="eastAsia" w:ascii="宋体" w:hAnsi="宋体" w:eastAsia="宋体" w:cs="宋体"/>
          <w:lang w:val="en-US" w:eastAsia="zh-CN"/>
        </w:rPr>
        <w:t>5</w:t>
      </w:r>
      <w:r>
        <w:rPr>
          <w:rFonts w:hint="eastAsia" w:ascii="宋体" w:hAnsi="宋体" w:eastAsia="宋体" w:cs="宋体"/>
        </w:rPr>
        <w:t>～</w:t>
      </w:r>
      <w:r>
        <w:rPr>
          <w:rFonts w:hint="eastAsia" w:ascii="宋体" w:hAnsi="宋体" w:eastAsia="宋体" w:cs="宋体"/>
          <w:lang w:val="en-US" w:eastAsia="zh-CN"/>
        </w:rPr>
        <w:t>48</w:t>
      </w:r>
      <w:r>
        <w:rPr>
          <w:rFonts w:hint="eastAsia" w:ascii="宋体" w:hAnsi="宋体" w:eastAsia="宋体" w:cs="宋体"/>
        </w:rPr>
        <w:t>m，高2～</w:t>
      </w:r>
      <w:r>
        <w:rPr>
          <w:rFonts w:hint="eastAsia" w:ascii="宋体" w:hAnsi="宋体" w:eastAsia="宋体" w:cs="宋体"/>
          <w:lang w:val="en-US" w:eastAsia="zh-CN"/>
        </w:rPr>
        <w:t>7</w:t>
      </w:r>
      <w:r>
        <w:rPr>
          <w:rFonts w:hint="eastAsia" w:ascii="宋体" w:hAnsi="宋体" w:eastAsia="宋体" w:cs="宋体"/>
        </w:rPr>
        <w:t>m，长度约</w:t>
      </w:r>
      <w:r>
        <w:rPr>
          <w:rFonts w:hint="eastAsia" w:ascii="宋体" w:hAnsi="宋体" w:eastAsia="宋体" w:cs="宋体"/>
          <w:lang w:val="en-US" w:eastAsia="zh-CN"/>
        </w:rPr>
        <w:t>120</w:t>
      </w:r>
      <w:r>
        <w:rPr>
          <w:rFonts w:hint="eastAsia" w:ascii="宋体" w:hAnsi="宋体" w:eastAsia="宋体" w:cs="宋体"/>
        </w:rPr>
        <w:t>m，台阶边坡角约</w:t>
      </w:r>
      <w:r>
        <w:rPr>
          <w:rFonts w:hint="eastAsia" w:ascii="宋体" w:hAnsi="宋体" w:eastAsia="宋体" w:cs="宋体"/>
          <w:lang w:val="en-US" w:eastAsia="zh-CN"/>
        </w:rPr>
        <w:t>4</w:t>
      </w:r>
      <w:r>
        <w:rPr>
          <w:rFonts w:hint="eastAsia" w:ascii="宋体" w:hAnsi="宋体" w:eastAsia="宋体" w:cs="宋体"/>
        </w:rPr>
        <w:t>0°；10</w:t>
      </w:r>
      <w:r>
        <w:rPr>
          <w:rFonts w:hint="eastAsia" w:ascii="宋体" w:hAnsi="宋体" w:eastAsia="宋体" w:cs="宋体"/>
          <w:lang w:val="en-US" w:eastAsia="zh-CN"/>
        </w:rPr>
        <w:t>51</w:t>
      </w:r>
      <w:r>
        <w:rPr>
          <w:rFonts w:hint="eastAsia" w:ascii="宋体" w:hAnsi="宋体" w:eastAsia="宋体" w:cs="宋体"/>
        </w:rPr>
        <w:t>m开采平台宽度</w:t>
      </w:r>
      <w:r>
        <w:rPr>
          <w:rFonts w:hint="eastAsia" w:ascii="宋体" w:hAnsi="宋体" w:eastAsia="宋体" w:cs="宋体"/>
          <w:lang w:val="en-US" w:eastAsia="zh-CN"/>
        </w:rPr>
        <w:t>8</w:t>
      </w:r>
      <w:r>
        <w:rPr>
          <w:rFonts w:hint="eastAsia" w:ascii="宋体" w:hAnsi="宋体" w:eastAsia="宋体" w:cs="宋体"/>
        </w:rPr>
        <w:t>～</w:t>
      </w:r>
      <w:r>
        <w:rPr>
          <w:rFonts w:hint="eastAsia" w:ascii="宋体" w:hAnsi="宋体" w:eastAsia="宋体" w:cs="宋体"/>
          <w:lang w:val="en-US" w:eastAsia="zh-CN"/>
        </w:rPr>
        <w:t>15</w:t>
      </w:r>
      <w:r>
        <w:rPr>
          <w:rFonts w:hint="eastAsia" w:ascii="宋体" w:hAnsi="宋体" w:eastAsia="宋体" w:cs="宋体"/>
        </w:rPr>
        <w:t>m，高</w:t>
      </w:r>
      <w:r>
        <w:rPr>
          <w:rFonts w:hint="eastAsia" w:ascii="宋体" w:hAnsi="宋体" w:eastAsia="宋体" w:cs="宋体"/>
          <w:lang w:val="en-US" w:eastAsia="zh-CN"/>
        </w:rPr>
        <w:t>6</w:t>
      </w:r>
      <w:r>
        <w:rPr>
          <w:rFonts w:hint="eastAsia" w:ascii="宋体" w:hAnsi="宋体" w:eastAsia="宋体" w:cs="宋体"/>
        </w:rPr>
        <w:t>～</w:t>
      </w:r>
      <w:r>
        <w:rPr>
          <w:rFonts w:hint="eastAsia" w:ascii="宋体" w:hAnsi="宋体" w:eastAsia="宋体" w:cs="宋体"/>
          <w:lang w:val="en-US" w:eastAsia="zh-CN"/>
        </w:rPr>
        <w:t>20</w:t>
      </w:r>
      <w:r>
        <w:rPr>
          <w:rFonts w:hint="eastAsia" w:ascii="宋体" w:hAnsi="宋体" w:eastAsia="宋体" w:cs="宋体"/>
        </w:rPr>
        <w:t>m，长度约1</w:t>
      </w:r>
      <w:r>
        <w:rPr>
          <w:rFonts w:hint="eastAsia" w:ascii="宋体" w:hAnsi="宋体" w:eastAsia="宋体" w:cs="宋体"/>
          <w:lang w:val="en-US" w:eastAsia="zh-CN"/>
        </w:rPr>
        <w:t>3</w:t>
      </w:r>
      <w:r>
        <w:rPr>
          <w:rFonts w:hint="eastAsia" w:ascii="宋体" w:hAnsi="宋体" w:eastAsia="宋体" w:cs="宋体"/>
        </w:rPr>
        <w:t>5m，台阶边坡角约</w:t>
      </w:r>
      <w:r>
        <w:rPr>
          <w:rFonts w:hint="eastAsia" w:ascii="宋体" w:hAnsi="宋体" w:eastAsia="宋体" w:cs="宋体"/>
          <w:lang w:val="en-US" w:eastAsia="zh-CN"/>
        </w:rPr>
        <w:t>40</w:t>
      </w:r>
      <w:r>
        <w:rPr>
          <w:rFonts w:hint="eastAsia" w:ascii="宋体" w:hAnsi="宋体" w:eastAsia="宋体" w:cs="宋体"/>
        </w:rPr>
        <w:t>°；1034m开采平台宽度22～34m，高14～22m，长度约118m，台阶边坡角约43°。整个采空区面积约31110.1805</w:t>
      </w:r>
      <w:r>
        <w:rPr>
          <w:rFonts w:hint="eastAsia" w:ascii="宋体" w:hAnsi="宋体" w:eastAsia="宋体" w:cs="宋体"/>
          <w:lang w:val="en-US" w:eastAsia="zh-CN"/>
        </w:rPr>
        <w:t>㎡</w:t>
      </w:r>
      <w:r>
        <w:rPr>
          <w:rFonts w:hint="eastAsia" w:ascii="宋体" w:hAnsi="宋体" w:eastAsia="宋体" w:cs="宋体"/>
        </w:rPr>
        <w:t>，东西长177.65m，南北宽205.75m。</w:t>
      </w:r>
    </w:p>
    <w:p w14:paraId="08A28892">
      <w:pPr>
        <w:numPr>
          <w:ilvl w:val="0"/>
          <w:numId w:val="16"/>
        </w:numPr>
        <w:bidi w:val="0"/>
        <w:rPr>
          <w:rFonts w:hint="eastAsia" w:ascii="宋体" w:hAnsi="宋体" w:eastAsia="宋体" w:cs="宋体"/>
        </w:rPr>
      </w:pPr>
      <w:r>
        <w:rPr>
          <w:rFonts w:hint="eastAsia" w:ascii="宋体" w:hAnsi="宋体" w:eastAsia="宋体" w:cs="宋体"/>
          <w:lang w:eastAsia="zh-CN"/>
        </w:rPr>
        <w:t>矿山破碎站北面及西面均存在一面高陡边坡，北面边坡最高</w:t>
      </w:r>
      <w:r>
        <w:rPr>
          <w:rFonts w:hint="eastAsia" w:ascii="宋体" w:hAnsi="宋体" w:eastAsia="宋体" w:cs="宋体"/>
          <w:lang w:val="en-US" w:eastAsia="zh-CN"/>
        </w:rPr>
        <w:t>25m,边坡角约35°，底部有一条约6m宽的运矿道路，距离破碎站13m；西面边坡最高17m,边坡角约45°。</w:t>
      </w:r>
    </w:p>
    <w:p w14:paraId="3D784460">
      <w:pPr>
        <w:numPr>
          <w:ilvl w:val="0"/>
          <w:numId w:val="16"/>
        </w:numPr>
        <w:bidi w:val="0"/>
        <w:rPr>
          <w:rFonts w:hint="eastAsia" w:ascii="宋体" w:hAnsi="宋体" w:eastAsia="宋体" w:cs="宋体"/>
        </w:rPr>
      </w:pPr>
      <w:r>
        <w:rPr>
          <w:rFonts w:hint="eastAsia" w:ascii="宋体" w:hAnsi="宋体" w:eastAsia="宋体" w:cs="宋体"/>
          <w:lang w:val="en-US" w:eastAsia="zh-CN"/>
        </w:rPr>
        <w:t>与业主确定，矿山现在正在办理林地手续，根据《元谋中鼎砂石有限公司大物茂砂厂年产10万吨建筑用砂生产线技改扩建项目使用林地可行性报告》确定，在开采范围内，矿山东侧存在5343㎡未征占林地，本次设计让出不做设计，业主放弃开采。</w:t>
      </w:r>
    </w:p>
    <w:p w14:paraId="7C583379">
      <w:pPr>
        <w:numPr>
          <w:ilvl w:val="0"/>
          <w:numId w:val="16"/>
        </w:numPr>
        <w:bidi w:val="0"/>
        <w:rPr>
          <w:rFonts w:hint="eastAsia" w:ascii="宋体" w:hAnsi="宋体" w:eastAsia="宋体" w:cs="宋体"/>
        </w:rPr>
      </w:pPr>
      <w:r>
        <w:rPr>
          <w:rFonts w:hint="eastAsia" w:ascii="宋体" w:hAnsi="宋体" w:eastAsia="宋体" w:cs="宋体"/>
        </w:rPr>
        <w:t>矿区南侧有一个矿山自己使用的蓄水池，水池面积338.31</w:t>
      </w:r>
      <w:r>
        <w:rPr>
          <w:rFonts w:hint="eastAsia" w:ascii="宋体" w:hAnsi="宋体" w:eastAsia="宋体" w:cs="宋体"/>
          <w:lang w:val="en-US" w:eastAsia="zh-CN"/>
        </w:rPr>
        <w:t>㎡</w:t>
      </w:r>
      <w:r>
        <w:rPr>
          <w:rFonts w:hint="eastAsia" w:ascii="宋体" w:hAnsi="宋体" w:eastAsia="宋体" w:cs="宋体"/>
        </w:rPr>
        <w:t>，长约28m，宽约13m，深2m，蓄水量676.62m³。目前坝体边坡现状较稳定，未发现有开裂等迹象。</w:t>
      </w: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8"/>
      </w:tblGrid>
      <w:tr w14:paraId="6C357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8" w:type="dxa"/>
          </w:tcPr>
          <w:p w14:paraId="5C6262AF">
            <w:pPr>
              <w:bidi w:val="0"/>
              <w:ind w:left="0" w:leftChars="0" w:firstLine="0" w:firstLineChars="0"/>
              <w:jc w:val="center"/>
              <w:rPr>
                <w:rFonts w:hint="eastAsia"/>
                <w:lang w:eastAsia="zh-CN"/>
              </w:rPr>
            </w:pPr>
            <w:r>
              <w:drawing>
                <wp:anchor distT="0" distB="0" distL="114300" distR="114300" simplePos="0" relativeHeight="251667456" behindDoc="0" locked="0" layoutInCell="1" allowOverlap="1">
                  <wp:simplePos x="0" y="0"/>
                  <wp:positionH relativeFrom="column">
                    <wp:posOffset>0</wp:posOffset>
                  </wp:positionH>
                  <wp:positionV relativeFrom="paragraph">
                    <wp:posOffset>-4759960</wp:posOffset>
                  </wp:positionV>
                  <wp:extent cx="5680075" cy="5010150"/>
                  <wp:effectExtent l="0" t="0" r="4445" b="3810"/>
                  <wp:wrapSquare wrapText="bothSides"/>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7"/>
                          <a:stretch>
                            <a:fillRect/>
                          </a:stretch>
                        </pic:blipFill>
                        <pic:spPr>
                          <a:xfrm>
                            <a:off x="0" y="0"/>
                            <a:ext cx="5680075" cy="5010150"/>
                          </a:xfrm>
                          <a:prstGeom prst="rect">
                            <a:avLst/>
                          </a:prstGeom>
                          <a:noFill/>
                          <a:ln>
                            <a:noFill/>
                          </a:ln>
                        </pic:spPr>
                      </pic:pic>
                    </a:graphicData>
                  </a:graphic>
                </wp:anchor>
              </w:drawing>
            </w:r>
            <w:r>
              <w:t xml:space="preserve">图 </w:t>
            </w:r>
            <w:r>
              <w:fldChar w:fldCharType="begin"/>
            </w:r>
            <w:r>
              <w:instrText xml:space="preserve"> STYLEREF 1 \s </w:instrText>
            </w:r>
            <w:r>
              <w:fldChar w:fldCharType="separate"/>
            </w:r>
            <w:r>
              <w:t>2</w:t>
            </w:r>
            <w:r>
              <w:fldChar w:fldCharType="end"/>
            </w:r>
            <w:r>
              <w:rPr>
                <w:rFonts w:hint="eastAsia"/>
                <w:lang w:eastAsia="zh-CN"/>
              </w:rPr>
              <w:t>-</w:t>
            </w:r>
            <w:r>
              <w:fldChar w:fldCharType="begin"/>
            </w:r>
            <w:r>
              <w:instrText xml:space="preserve"> SEQ 图 \* ARABIC \s 1 </w:instrText>
            </w:r>
            <w:r>
              <w:fldChar w:fldCharType="separate"/>
            </w:r>
            <w:r>
              <w:t>3</w:t>
            </w:r>
            <w:r>
              <w:fldChar w:fldCharType="end"/>
            </w:r>
            <w:r>
              <w:rPr>
                <w:rFonts w:hint="eastAsia"/>
                <w:lang w:eastAsia="zh-CN"/>
              </w:rPr>
              <w:t xml:space="preserve"> 矿山生活区、工业场地现状</w:t>
            </w:r>
          </w:p>
        </w:tc>
      </w:tr>
    </w:tbl>
    <w:p w14:paraId="78A56C6F">
      <w:pPr>
        <w:pStyle w:val="5"/>
        <w:bidi w:val="0"/>
        <w:rPr>
          <w:rFonts w:hint="eastAsia"/>
        </w:rPr>
      </w:pPr>
      <w:r>
        <w:rPr>
          <w:rFonts w:hint="eastAsia"/>
          <w:lang w:val="en-US" w:eastAsia="zh-CN"/>
        </w:rPr>
        <w:t>存在问题及处理措施</w:t>
      </w:r>
    </w:p>
    <w:p w14:paraId="5A22DA67">
      <w:pPr>
        <w:numPr>
          <w:ilvl w:val="0"/>
          <w:numId w:val="17"/>
        </w:numPr>
        <w:bidi w:val="0"/>
        <w:rPr>
          <w:rFonts w:hint="eastAsia" w:ascii="宋体" w:hAnsi="宋体" w:eastAsia="宋体" w:cs="宋体"/>
          <w:lang w:val="zh-CN"/>
        </w:rPr>
      </w:pPr>
      <w:r>
        <w:rPr>
          <w:rFonts w:hint="eastAsia" w:ascii="宋体" w:hAnsi="宋体" w:cs="宋体"/>
          <w:color w:val="auto"/>
          <w:sz w:val="28"/>
        </w:rPr>
        <w:t>矿山破碎站距离台阶坡底线不足50m，不满足</w:t>
      </w:r>
      <w:r>
        <w:rPr>
          <w:rFonts w:hint="eastAsia" w:ascii="宋体" w:hAnsi="宋体" w:cs="宋体"/>
          <w:color w:val="auto"/>
          <w:sz w:val="28"/>
          <w:lang w:val="zh-CN"/>
        </w:rPr>
        <w:t>《小型露天采石场安全管理与监督检查规定》第</w:t>
      </w:r>
      <w:r>
        <w:rPr>
          <w:rFonts w:hint="eastAsia" w:ascii="宋体" w:hAnsi="宋体" w:cs="宋体"/>
          <w:color w:val="auto"/>
          <w:sz w:val="28"/>
        </w:rPr>
        <w:t>21条</w:t>
      </w:r>
      <w:r>
        <w:rPr>
          <w:rFonts w:hint="eastAsia" w:ascii="宋体" w:hAnsi="宋体" w:cs="宋体"/>
          <w:color w:val="auto"/>
          <w:sz w:val="28"/>
          <w:lang w:val="zh-CN"/>
        </w:rPr>
        <w:t>的要求，</w:t>
      </w:r>
      <w:r>
        <w:rPr>
          <w:rFonts w:hint="eastAsia" w:ascii="宋体" w:hAnsi="宋体" w:cs="宋体"/>
          <w:color w:val="auto"/>
          <w:sz w:val="28"/>
        </w:rPr>
        <w:t>设计设置50m范围的禁采区；</w:t>
      </w:r>
      <w:r>
        <w:rPr>
          <w:rFonts w:hint="eastAsia" w:ascii="宋体" w:hAnsi="宋体" w:cs="宋体"/>
          <w:color w:val="auto"/>
          <w:sz w:val="28"/>
          <w:szCs w:val="28"/>
        </w:rPr>
        <w:t>矿界6#点距离G108国道27m，不满足《公路安全保护条例》（中华人民共和国国务院令第593号）第十七条的要求，</w:t>
      </w:r>
      <w:r>
        <w:rPr>
          <w:rFonts w:hint="eastAsia" w:ascii="宋体" w:hAnsi="宋体" w:cs="宋体"/>
          <w:color w:val="auto"/>
          <w:sz w:val="28"/>
        </w:rPr>
        <w:t>设计设置100m范围的禁采区，禁采区面积：0.0141km</w:t>
      </w:r>
      <w:r>
        <w:rPr>
          <w:rFonts w:hint="eastAsia" w:ascii="宋体" w:hAnsi="宋体" w:cs="宋体"/>
          <w:color w:val="auto"/>
          <w:sz w:val="28"/>
          <w:vertAlign w:val="superscript"/>
        </w:rPr>
        <w:t>2</w:t>
      </w:r>
      <w:r>
        <w:rPr>
          <w:rFonts w:hint="eastAsia" w:ascii="宋体" w:hAnsi="宋体" w:eastAsia="宋体" w:cs="宋体"/>
          <w:lang w:val="zh-CN"/>
        </w:rPr>
        <w:t>。</w:t>
      </w:r>
      <w:r>
        <w:rPr>
          <w:rFonts w:hint="eastAsia" w:ascii="宋体" w:hAnsi="宋体" w:eastAsia="宋体" w:cs="宋体"/>
          <w:lang w:val="zh-CN" w:eastAsia="zh-CN"/>
        </w:rPr>
        <w:t>（详见总平面布置图）</w:t>
      </w:r>
    </w:p>
    <w:p w14:paraId="5A2C8DAC">
      <w:pPr>
        <w:numPr>
          <w:ilvl w:val="0"/>
          <w:numId w:val="17"/>
        </w:numPr>
        <w:bidi w:val="0"/>
        <w:rPr>
          <w:rFonts w:hint="eastAsia"/>
          <w:lang w:val="en-US" w:eastAsia="zh-CN"/>
        </w:rPr>
      </w:pPr>
      <w:r>
        <w:rPr>
          <w:rFonts w:hint="eastAsia"/>
          <w:lang w:eastAsia="zh-CN"/>
        </w:rPr>
        <w:t>矿山破碎站北面及西面均存在一面高陡边坡，西面边坡下有一条运矿道路。</w:t>
      </w:r>
      <w:r>
        <w:rPr>
          <w:rFonts w:hint="eastAsia"/>
          <w:lang w:val="en-US" w:eastAsia="zh-CN"/>
        </w:rPr>
        <w:t>目前未发现坍塌及滑坡等问题，但坡面已存在不同程度的雨水冲刷沟状径流痕迹，不排除出现</w:t>
      </w:r>
      <w:r>
        <w:rPr>
          <w:rFonts w:hint="eastAsia"/>
        </w:rPr>
        <w:t>边坡失稳发生小规模坍塌、滑坡的可能</w:t>
      </w:r>
      <w:r>
        <w:rPr>
          <w:rFonts w:hint="eastAsia"/>
          <w:lang w:eastAsia="zh-CN"/>
        </w:rPr>
        <w:t>。</w:t>
      </w:r>
      <w:r>
        <w:rPr>
          <w:rFonts w:hint="eastAsia"/>
          <w:lang w:val="en-US" w:eastAsia="zh-CN"/>
        </w:rPr>
        <w:t>考虑两处边坡距离破碎站周边工业场地及西面运输道路较近如发生事故会影响正常开采及生产，同时造成人员伤亡及财产损失，需做相应的安全措施。（详见高陡边坡治理布置图）</w:t>
      </w:r>
    </w:p>
    <w:p w14:paraId="5DCFB098">
      <w:pPr>
        <w:keepNext w:val="0"/>
        <w:keepLines w:val="0"/>
        <w:pageBreakBefore w:val="0"/>
        <w:widowControl w:val="0"/>
        <w:numPr>
          <w:ilvl w:val="0"/>
          <w:numId w:val="18"/>
        </w:numPr>
        <w:kinsoku/>
        <w:wordWrap/>
        <w:overflowPunct/>
        <w:topLinePunct w:val="0"/>
        <w:autoSpaceDE/>
        <w:autoSpaceDN/>
        <w:bidi w:val="0"/>
        <w:adjustRightInd/>
        <w:snapToGrid/>
        <w:ind w:left="0" w:leftChars="0" w:firstLine="560" w:firstLineChars="200"/>
        <w:textAlignment w:val="auto"/>
        <w:rPr>
          <w:rFonts w:hint="eastAsia" w:ascii="Times New Roman" w:hAnsi="Times New Roman" w:eastAsia="宋体" w:cs="Times New Roman"/>
          <w:lang w:eastAsia="zh-CN"/>
        </w:rPr>
      </w:pPr>
      <w:r>
        <w:rPr>
          <w:rFonts w:hint="eastAsia" w:ascii="宋体" w:hAnsi="宋体" w:cs="宋体"/>
          <w:color w:val="auto"/>
          <w:sz w:val="28"/>
          <w:lang w:eastAsia="zh-CN"/>
        </w:rPr>
        <w:t>本着先治理后开采的原则，在基建期对距离破碎站北面高陡边坡进行削坡、降高处理。首先将顶部原入料口公路旁约</w:t>
      </w:r>
      <w:r>
        <w:rPr>
          <w:rFonts w:hint="eastAsia" w:ascii="宋体" w:hAnsi="宋体" w:cs="宋体"/>
          <w:color w:val="auto"/>
          <w:sz w:val="28"/>
          <w:lang w:val="en-US" w:eastAsia="zh-CN"/>
        </w:rPr>
        <w:t>8m的两面坡</w:t>
      </w:r>
      <w:r>
        <w:rPr>
          <w:rFonts w:hint="eastAsia" w:ascii="宋体" w:hAnsi="宋体" w:cs="宋体"/>
          <w:color w:val="auto"/>
          <w:sz w:val="28"/>
          <w:lang w:eastAsia="zh-CN"/>
        </w:rPr>
        <w:t>削坡至</w:t>
      </w:r>
      <w:r>
        <w:rPr>
          <w:rFonts w:hint="eastAsia" w:ascii="宋体" w:hAnsi="宋体" w:cs="宋体"/>
          <w:color w:val="auto"/>
          <w:sz w:val="28"/>
          <w:lang w:val="en-US" w:eastAsia="zh-CN"/>
        </w:rPr>
        <w:t>1052m形成平台，再由1052m向下布置一个治理平台，该平台高度8m，坡面角40°，最终治理平台高度为1044m。其次</w:t>
      </w:r>
      <w:r>
        <w:rPr>
          <w:rFonts w:hint="eastAsia" w:ascii="宋体" w:hAnsi="宋体" w:cs="宋体"/>
          <w:color w:val="auto"/>
          <w:sz w:val="28"/>
          <w:lang w:eastAsia="zh-CN"/>
        </w:rPr>
        <w:t>清除边坡周边浮石，顶部平台外侧设置土石围挡，周边设置相应的安全警示标志</w:t>
      </w:r>
      <w:r>
        <w:rPr>
          <w:rFonts w:hint="eastAsia" w:ascii="Times New Roman" w:hAnsi="Times New Roman" w:eastAsia="宋体" w:cs="Times New Roman"/>
          <w:lang w:eastAsia="zh-CN"/>
        </w:rPr>
        <w:t>。</w:t>
      </w:r>
    </w:p>
    <w:p w14:paraId="4DB85ED8">
      <w:pPr>
        <w:keepNext w:val="0"/>
        <w:keepLines w:val="0"/>
        <w:pageBreakBefore w:val="0"/>
        <w:widowControl w:val="0"/>
        <w:numPr>
          <w:ilvl w:val="0"/>
          <w:numId w:val="18"/>
        </w:numPr>
        <w:kinsoku/>
        <w:wordWrap/>
        <w:overflowPunct/>
        <w:topLinePunct w:val="0"/>
        <w:autoSpaceDE/>
        <w:autoSpaceDN/>
        <w:bidi w:val="0"/>
        <w:adjustRightInd/>
        <w:snapToGrid/>
        <w:ind w:left="0" w:leftChars="0" w:firstLine="560" w:firstLineChars="200"/>
        <w:textAlignment w:val="auto"/>
        <w:rPr>
          <w:rFonts w:hint="eastAsia" w:ascii="Times New Roman" w:hAnsi="Times New Roman" w:eastAsia="宋体" w:cs="Times New Roman"/>
          <w:lang w:eastAsia="zh-CN"/>
        </w:rPr>
      </w:pPr>
      <w:r>
        <w:rPr>
          <w:rFonts w:hint="eastAsia" w:ascii="宋体" w:hAnsi="宋体" w:cs="宋体"/>
          <w:color w:val="auto"/>
          <w:sz w:val="28"/>
          <w:lang w:eastAsia="zh-CN"/>
        </w:rPr>
        <w:t>西面边坡为历史开挖面，已靠矿界，有部分地处矿界外，无法进行治理。考虑边坡下部运矿道路运输车辆及行人安全，该条道路只作为应急道路使用，边坡下道路做简易封堵；原路面宽约</w:t>
      </w:r>
      <w:r>
        <w:rPr>
          <w:rFonts w:hint="eastAsia" w:ascii="宋体" w:hAnsi="宋体" w:cs="宋体"/>
          <w:color w:val="auto"/>
          <w:sz w:val="28"/>
          <w:lang w:val="en-US" w:eastAsia="zh-CN"/>
        </w:rPr>
        <w:t>6m，作为缓冲平台，沿边坡脚一面</w:t>
      </w:r>
      <w:r>
        <w:rPr>
          <w:rFonts w:hint="eastAsia" w:ascii="宋体" w:hAnsi="宋体" w:cs="宋体"/>
          <w:color w:val="auto"/>
          <w:sz w:val="28"/>
          <w:lang w:eastAsia="zh-CN"/>
        </w:rPr>
        <w:t>设置排水沟，周边布设相应的安全警示标识</w:t>
      </w:r>
      <w:r>
        <w:rPr>
          <w:rFonts w:hint="eastAsia" w:ascii="Times New Roman" w:hAnsi="Times New Roman" w:eastAsia="宋体" w:cs="Times New Roman"/>
          <w:lang w:eastAsia="zh-CN"/>
        </w:rPr>
        <w:t>。</w:t>
      </w:r>
    </w:p>
    <w:p w14:paraId="5CD16D0B">
      <w:pPr>
        <w:numPr>
          <w:ilvl w:val="0"/>
          <w:numId w:val="17"/>
        </w:numPr>
        <w:bidi w:val="0"/>
        <w:rPr>
          <w:rFonts w:hint="eastAsia" w:ascii="宋体" w:hAnsi="宋体" w:eastAsia="宋体" w:cs="宋体"/>
          <w:lang w:eastAsia="zh-CN"/>
        </w:rPr>
      </w:pPr>
      <w:r>
        <w:rPr>
          <w:rFonts w:hint="eastAsia" w:ascii="宋体" w:hAnsi="宋体" w:cs="宋体"/>
          <w:color w:val="auto"/>
          <w:sz w:val="28"/>
        </w:rPr>
        <w:t>目前矿山采区</w:t>
      </w:r>
      <w:r>
        <w:rPr>
          <w:rFonts w:hint="eastAsia" w:ascii="宋体" w:hAnsi="宋体" w:cs="宋体"/>
          <w:color w:val="auto"/>
          <w:sz w:val="28"/>
          <w:lang w:eastAsia="zh-CN"/>
        </w:rPr>
        <w:t>已形成的</w:t>
      </w:r>
      <w:r>
        <w:rPr>
          <w:rFonts w:hint="eastAsia" w:ascii="宋体" w:hAnsi="宋体" w:cs="宋体"/>
          <w:color w:val="auto"/>
          <w:sz w:val="28"/>
        </w:rPr>
        <w:t>开采台阶局部地段形成垂直陡坎，目前边坡稳定，没有坍塌、滑坡迹象，不影响矿山后期正常开采及生产，但不排除雨季因雨水冲刷边坡，边坡失稳发生小规模坍塌、滑坡的可能；矿山在今后开采过程中应先对原采矿形成的陡边坡进行消坡、降高，清除边坡周边的浮石，设置安全警示标志</w:t>
      </w:r>
      <w:r>
        <w:rPr>
          <w:rFonts w:hint="eastAsia" w:ascii="宋体" w:hAnsi="宋体" w:eastAsia="宋体" w:cs="宋体"/>
          <w:lang w:eastAsia="zh-CN"/>
        </w:rPr>
        <w:t>。</w:t>
      </w:r>
    </w:p>
    <w:p w14:paraId="7E50243B">
      <w:pPr>
        <w:numPr>
          <w:ilvl w:val="0"/>
          <w:numId w:val="17"/>
        </w:numPr>
        <w:bidi w:val="0"/>
        <w:rPr>
          <w:rFonts w:hint="default"/>
          <w:lang w:val="en-US" w:eastAsia="zh-CN"/>
        </w:rPr>
      </w:pPr>
      <w:r>
        <w:rPr>
          <w:rFonts w:hint="eastAsia"/>
        </w:rPr>
        <w:t>矿山安全警示标志，矿区范围警戒线不足；矿山应按安全设施设计的要求在矿区范围内及采场内设施设置相应的警戒线及安全警示标志，如采场底部设置“当心落石”，在采场顶部设置“当心坠落”；在运输道路急弯、陡坡和道路交叉处设置“减速慢行”</w:t>
      </w:r>
      <w:r>
        <w:rPr>
          <w:rFonts w:hint="eastAsia"/>
          <w:lang w:eastAsia="zh-CN"/>
        </w:rPr>
        <w:t>。</w:t>
      </w:r>
    </w:p>
    <w:p w14:paraId="2E5BCE67">
      <w:pPr>
        <w:pStyle w:val="5"/>
        <w:bidi w:val="0"/>
        <w:rPr>
          <w:rFonts w:hint="eastAsia"/>
          <w:lang w:val="en-US" w:eastAsia="zh-CN"/>
        </w:rPr>
      </w:pPr>
      <w:r>
        <w:rPr>
          <w:rFonts w:hint="eastAsia"/>
          <w:lang w:val="en-US" w:eastAsia="zh-CN"/>
        </w:rPr>
        <w:t>矿山利旧工程情况</w:t>
      </w:r>
    </w:p>
    <w:p w14:paraId="2A9B7D33">
      <w:pPr>
        <w:bidi w:val="0"/>
        <w:rPr>
          <w:rFonts w:hint="eastAsia"/>
          <w:lang w:eastAsia="zh-CN"/>
        </w:rPr>
      </w:pPr>
      <w:r>
        <w:rPr>
          <w:rFonts w:hint="eastAsia" w:ascii="宋体" w:hAnsi="宋体" w:eastAsia="宋体" w:cs="宋体"/>
          <w:color w:val="auto"/>
          <w:sz w:val="28"/>
          <w:szCs w:val="24"/>
        </w:rPr>
        <w:t>该矿山为改扩建矿山，生产普通建筑材料用砂矿，矿山一直处在正常生产状态，矿山的办公生活区、破碎洗沙系统、工业场地等已修筑完成并正常使用。具体介绍如下</w:t>
      </w:r>
      <w:r>
        <w:rPr>
          <w:rFonts w:hint="eastAsia"/>
        </w:rPr>
        <w:t>：</w:t>
      </w:r>
    </w:p>
    <w:p w14:paraId="60607C51">
      <w:pPr>
        <w:numPr>
          <w:ilvl w:val="0"/>
          <w:numId w:val="19"/>
        </w:numPr>
        <w:bidi w:val="0"/>
        <w:rPr>
          <w:rFonts w:hint="eastAsia"/>
        </w:rPr>
      </w:pPr>
      <w:r>
        <w:rPr>
          <w:rFonts w:hint="eastAsia"/>
        </w:rPr>
        <w:t>矿山已接通生产及生活用电，有公路通达矿区。附近有中国移动和联通的基站，手机信号良好。</w:t>
      </w:r>
    </w:p>
    <w:p w14:paraId="4E8A48FE">
      <w:pPr>
        <w:numPr>
          <w:ilvl w:val="0"/>
          <w:numId w:val="19"/>
        </w:numPr>
        <w:bidi w:val="0"/>
      </w:pPr>
      <w:r>
        <w:rPr>
          <w:rFonts w:hint="eastAsia"/>
        </w:rPr>
        <w:t>本次设计开采境界外不设</w:t>
      </w:r>
      <w:r>
        <w:rPr>
          <w:rFonts w:hint="eastAsia"/>
          <w:lang w:eastAsia="zh-CN"/>
        </w:rPr>
        <w:t>截洪</w:t>
      </w:r>
      <w:r>
        <w:rPr>
          <w:rFonts w:hint="eastAsia"/>
        </w:rPr>
        <w:t>沟</w:t>
      </w:r>
      <w:r>
        <w:rPr>
          <w:rFonts w:hint="eastAsia"/>
          <w:lang w:eastAsia="zh-CN"/>
        </w:rPr>
        <w:t>，利旧使用</w:t>
      </w:r>
      <w:r>
        <w:rPr>
          <w:rFonts w:hint="eastAsia"/>
        </w:rPr>
        <w:t>界外</w:t>
      </w:r>
      <w:r>
        <w:rPr>
          <w:rFonts w:hint="eastAsia"/>
          <w:lang w:eastAsia="zh-CN"/>
        </w:rPr>
        <w:t>东北侧</w:t>
      </w:r>
      <w:r>
        <w:rPr>
          <w:rFonts w:hint="eastAsia"/>
        </w:rPr>
        <w:t>约60m处森林防火道路</w:t>
      </w:r>
      <w:r>
        <w:rPr>
          <w:rFonts w:hint="eastAsia"/>
          <w:lang w:eastAsia="zh-CN"/>
        </w:rPr>
        <w:t>旁排水设施，该排水沟渠为</w:t>
      </w:r>
      <w:r>
        <w:rPr>
          <w:rFonts w:hint="eastAsia"/>
        </w:rPr>
        <w:t>浆砌石结构</w:t>
      </w:r>
      <w:r>
        <w:rPr>
          <w:rFonts w:hint="eastAsia"/>
          <w:lang w:eastAsia="zh-CN"/>
        </w:rPr>
        <w:t>，</w:t>
      </w:r>
      <w:r>
        <w:rPr>
          <w:rFonts w:hint="eastAsia"/>
        </w:rPr>
        <w:t>顶宽1.3m，底宽0.6m，深1m，结合境界外汇水面及森林防火道路设置排水沟现状可满足境界外截排水要求</w:t>
      </w:r>
      <w:r>
        <w:rPr>
          <w:rFonts w:hint="eastAsia"/>
          <w:lang w:eastAsia="zh-CN"/>
        </w:rPr>
        <w:t>。</w:t>
      </w:r>
    </w:p>
    <w:p w14:paraId="14DD3F5A">
      <w:pPr>
        <w:numPr>
          <w:ilvl w:val="0"/>
          <w:numId w:val="19"/>
        </w:numPr>
        <w:bidi w:val="0"/>
        <w:rPr>
          <w:rFonts w:hint="eastAsia"/>
          <w:lang w:eastAsia="zh-CN"/>
        </w:rPr>
      </w:pPr>
      <w:r>
        <w:rPr>
          <w:rFonts w:hint="eastAsia"/>
        </w:rPr>
        <w:t>矿山生活区位于矿区范围外，破碎站、工业场地均位于矿区范围内；生产用电5</w:t>
      </w:r>
      <w:r>
        <w:rPr>
          <w:rFonts w:hint="eastAsia"/>
          <w:lang w:val="en-US" w:eastAsia="zh-CN"/>
        </w:rPr>
        <w:t>0</w:t>
      </w:r>
      <w:r>
        <w:rPr>
          <w:rFonts w:hint="eastAsia"/>
        </w:rPr>
        <w:t>0KVA变压器位于破碎洗沙系统旁；生活用电</w:t>
      </w:r>
      <w:r>
        <w:rPr>
          <w:rFonts w:hint="eastAsia"/>
          <w:lang w:val="en-US" w:eastAsia="zh-CN"/>
        </w:rPr>
        <w:t>2</w:t>
      </w:r>
      <w:r>
        <w:rPr>
          <w:rFonts w:hint="eastAsia"/>
        </w:rPr>
        <w:t>50KVA变压器位于生活区前方平台；供电由附近村庄引入；矿山生产用水量不大，生产用水水源来自矿山蓄水池，生活用水水源来自附近村庄自来水</w:t>
      </w:r>
      <w:r>
        <w:rPr>
          <w:rFonts w:hint="eastAsia"/>
          <w:lang w:eastAsia="zh-CN"/>
        </w:rPr>
        <w:t>。</w:t>
      </w:r>
    </w:p>
    <w:p w14:paraId="6DADD43E">
      <w:pPr>
        <w:numPr>
          <w:ilvl w:val="0"/>
          <w:numId w:val="19"/>
        </w:numPr>
        <w:bidi w:val="0"/>
        <w:rPr>
          <w:rFonts w:hint="eastAsia"/>
          <w:lang w:eastAsia="zh-CN"/>
        </w:rPr>
      </w:pPr>
      <w:r>
        <w:rPr>
          <w:rFonts w:hint="eastAsia"/>
          <w:lang w:eastAsia="zh-CN"/>
        </w:rPr>
        <w:t>矿山已有设备：（详见表2-</w:t>
      </w:r>
      <w:r>
        <w:rPr>
          <w:rFonts w:hint="eastAsia"/>
          <w:lang w:val="en-US" w:eastAsia="zh-CN"/>
        </w:rPr>
        <w:t>4</w:t>
      </w:r>
      <w:r>
        <w:rPr>
          <w:rFonts w:hint="eastAsia"/>
          <w:lang w:eastAsia="zh-CN"/>
        </w:rPr>
        <w:t xml:space="preserve"> </w:t>
      </w:r>
      <w:r>
        <w:rPr>
          <w:rFonts w:hint="eastAsia"/>
          <w:lang w:val="en-US" w:eastAsia="zh-CN"/>
        </w:rPr>
        <w:t>利旧设施设备表</w:t>
      </w:r>
      <w:r>
        <w:rPr>
          <w:rFonts w:hint="eastAsia"/>
          <w:lang w:eastAsia="zh-CN"/>
        </w:rPr>
        <w:t>）</w:t>
      </w:r>
    </w:p>
    <w:p w14:paraId="77FDBFA5">
      <w:pPr>
        <w:pStyle w:val="11"/>
        <w:ind w:left="0" w:leftChars="0" w:firstLine="0" w:firstLineChars="0"/>
        <w:jc w:val="center"/>
        <w:rPr>
          <w:rFonts w:hint="eastAsia" w:eastAsia="宋体"/>
          <w:lang w:eastAsia="zh-CN"/>
        </w:rPr>
      </w:pPr>
      <w:r>
        <w:t xml:space="preserve">表 </w:t>
      </w:r>
      <w:r>
        <w:fldChar w:fldCharType="begin"/>
      </w:r>
      <w:r>
        <w:instrText xml:space="preserve"> STYLEREF 1 \s </w:instrText>
      </w:r>
      <w:r>
        <w:fldChar w:fldCharType="separate"/>
      </w:r>
      <w:r>
        <w:t>2</w:t>
      </w:r>
      <w:r>
        <w:fldChar w:fldCharType="end"/>
      </w:r>
      <w:r>
        <w:rPr>
          <w:rFonts w:hint="eastAsia"/>
          <w:lang w:eastAsia="zh-CN"/>
        </w:rPr>
        <w:t>-</w:t>
      </w:r>
      <w:r>
        <w:fldChar w:fldCharType="begin"/>
      </w:r>
      <w:r>
        <w:instrText xml:space="preserve"> SEQ 表 \* ARABIC \s 1 </w:instrText>
      </w:r>
      <w:r>
        <w:fldChar w:fldCharType="separate"/>
      </w:r>
      <w:r>
        <w:t>4</w:t>
      </w:r>
      <w:r>
        <w:fldChar w:fldCharType="end"/>
      </w:r>
      <w:r>
        <w:rPr>
          <w:rFonts w:hint="eastAsia"/>
          <w:lang w:eastAsia="zh-CN"/>
        </w:rPr>
        <w:t xml:space="preserve"> 利旧设施设备表</w:t>
      </w:r>
    </w:p>
    <w:tbl>
      <w:tblPr>
        <w:tblStyle w:val="2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0"/>
        <w:gridCol w:w="2247"/>
        <w:gridCol w:w="3235"/>
        <w:gridCol w:w="1353"/>
        <w:gridCol w:w="1288"/>
      </w:tblGrid>
      <w:tr w14:paraId="791ED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43" w:type="pct"/>
            <w:noWrap w:val="0"/>
            <w:vAlign w:val="center"/>
          </w:tcPr>
          <w:p w14:paraId="4DF88812">
            <w:pPr>
              <w:adjustRightInd/>
              <w:snapToGrid/>
              <w:spacing w:line="240" w:lineRule="auto"/>
              <w:ind w:firstLine="0" w:firstLineChars="0"/>
              <w:jc w:val="center"/>
              <w:rPr>
                <w:rFonts w:ascii="宋体" w:hAnsi="宋体" w:eastAsia="宋体" w:cs="宋体"/>
                <w:b/>
                <w:bCs/>
                <w:color w:val="auto"/>
                <w:sz w:val="24"/>
                <w:szCs w:val="24"/>
              </w:rPr>
            </w:pPr>
            <w:r>
              <w:rPr>
                <w:rFonts w:hint="eastAsia" w:ascii="宋体" w:hAnsi="宋体" w:eastAsia="宋体" w:cs="宋体"/>
                <w:b/>
                <w:bCs/>
                <w:color w:val="auto"/>
                <w:sz w:val="24"/>
                <w:szCs w:val="24"/>
              </w:rPr>
              <w:t>序 号</w:t>
            </w:r>
          </w:p>
        </w:tc>
        <w:tc>
          <w:tcPr>
            <w:tcW w:w="1232" w:type="pct"/>
            <w:noWrap w:val="0"/>
            <w:vAlign w:val="center"/>
          </w:tcPr>
          <w:p w14:paraId="763B3B28">
            <w:pPr>
              <w:adjustRightInd/>
              <w:snapToGrid/>
              <w:spacing w:line="240" w:lineRule="auto"/>
              <w:ind w:firstLine="0" w:firstLineChars="0"/>
              <w:jc w:val="center"/>
              <w:rPr>
                <w:rFonts w:ascii="宋体" w:hAnsi="宋体" w:eastAsia="宋体" w:cs="宋体"/>
                <w:b/>
                <w:bCs/>
                <w:color w:val="auto"/>
                <w:sz w:val="24"/>
                <w:szCs w:val="24"/>
              </w:rPr>
            </w:pPr>
            <w:r>
              <w:rPr>
                <w:rFonts w:hint="eastAsia" w:ascii="宋体" w:hAnsi="宋体" w:eastAsia="宋体" w:cs="宋体"/>
                <w:b/>
                <w:bCs/>
                <w:color w:val="auto"/>
                <w:sz w:val="24"/>
                <w:szCs w:val="24"/>
              </w:rPr>
              <w:t>设备名称</w:t>
            </w:r>
          </w:p>
        </w:tc>
        <w:tc>
          <w:tcPr>
            <w:tcW w:w="1774" w:type="pct"/>
            <w:noWrap w:val="0"/>
            <w:vAlign w:val="center"/>
          </w:tcPr>
          <w:p w14:paraId="0EEC4C28">
            <w:pPr>
              <w:adjustRightInd/>
              <w:snapToGrid/>
              <w:spacing w:line="240" w:lineRule="auto"/>
              <w:ind w:firstLine="0" w:firstLineChars="0"/>
              <w:jc w:val="center"/>
              <w:rPr>
                <w:rFonts w:ascii="宋体" w:hAnsi="宋体" w:eastAsia="宋体" w:cs="宋体"/>
                <w:b/>
                <w:bCs/>
                <w:color w:val="auto"/>
                <w:sz w:val="24"/>
                <w:szCs w:val="24"/>
              </w:rPr>
            </w:pPr>
            <w:r>
              <w:rPr>
                <w:rFonts w:hint="eastAsia" w:ascii="宋体" w:hAnsi="宋体" w:eastAsia="宋体" w:cs="宋体"/>
                <w:b/>
                <w:bCs/>
                <w:color w:val="auto"/>
                <w:sz w:val="24"/>
                <w:szCs w:val="24"/>
              </w:rPr>
              <w:t>规  格</w:t>
            </w:r>
          </w:p>
        </w:tc>
        <w:tc>
          <w:tcPr>
            <w:tcW w:w="742" w:type="pct"/>
            <w:noWrap w:val="0"/>
            <w:vAlign w:val="center"/>
          </w:tcPr>
          <w:p w14:paraId="754EF7CD">
            <w:pPr>
              <w:adjustRightInd/>
              <w:snapToGrid/>
              <w:spacing w:line="240" w:lineRule="auto"/>
              <w:ind w:firstLine="0" w:firstLineChars="0"/>
              <w:jc w:val="center"/>
              <w:rPr>
                <w:rFonts w:ascii="宋体" w:hAnsi="宋体" w:eastAsia="宋体" w:cs="宋体"/>
                <w:b/>
                <w:bCs/>
                <w:color w:val="auto"/>
                <w:sz w:val="24"/>
                <w:szCs w:val="24"/>
              </w:rPr>
            </w:pPr>
            <w:r>
              <w:rPr>
                <w:rFonts w:hint="eastAsia" w:ascii="宋体" w:hAnsi="宋体" w:eastAsia="宋体" w:cs="宋体"/>
                <w:b/>
                <w:bCs/>
                <w:color w:val="auto"/>
                <w:sz w:val="24"/>
                <w:szCs w:val="24"/>
              </w:rPr>
              <w:t>数  量</w:t>
            </w:r>
          </w:p>
        </w:tc>
        <w:tc>
          <w:tcPr>
            <w:tcW w:w="706" w:type="pct"/>
            <w:noWrap w:val="0"/>
            <w:vAlign w:val="center"/>
          </w:tcPr>
          <w:p w14:paraId="1698983F">
            <w:pPr>
              <w:adjustRightInd/>
              <w:snapToGrid/>
              <w:spacing w:line="240" w:lineRule="auto"/>
              <w:ind w:firstLine="0" w:firstLineChars="0"/>
              <w:jc w:val="center"/>
              <w:rPr>
                <w:rFonts w:ascii="宋体" w:hAnsi="宋体" w:eastAsia="宋体" w:cs="宋体"/>
                <w:b/>
                <w:bCs/>
                <w:color w:val="auto"/>
                <w:sz w:val="24"/>
                <w:szCs w:val="24"/>
              </w:rPr>
            </w:pPr>
            <w:r>
              <w:rPr>
                <w:rFonts w:hint="eastAsia" w:ascii="宋体" w:hAnsi="宋体" w:eastAsia="宋体" w:cs="宋体"/>
                <w:b/>
                <w:bCs/>
                <w:color w:val="auto"/>
                <w:sz w:val="24"/>
                <w:szCs w:val="24"/>
              </w:rPr>
              <w:t>备  注</w:t>
            </w:r>
          </w:p>
        </w:tc>
      </w:tr>
      <w:tr w14:paraId="26EFB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43" w:type="pct"/>
            <w:noWrap w:val="0"/>
            <w:vAlign w:val="center"/>
          </w:tcPr>
          <w:p w14:paraId="3983646A">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1</w:t>
            </w:r>
          </w:p>
        </w:tc>
        <w:tc>
          <w:tcPr>
            <w:tcW w:w="1232" w:type="pct"/>
            <w:noWrap w:val="0"/>
            <w:vAlign w:val="center"/>
          </w:tcPr>
          <w:p w14:paraId="3FF984FC">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推土机</w:t>
            </w:r>
          </w:p>
        </w:tc>
        <w:tc>
          <w:tcPr>
            <w:tcW w:w="1774" w:type="pct"/>
            <w:noWrap w:val="0"/>
            <w:vAlign w:val="center"/>
          </w:tcPr>
          <w:p w14:paraId="7892CA45">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山推320</w:t>
            </w:r>
          </w:p>
        </w:tc>
        <w:tc>
          <w:tcPr>
            <w:tcW w:w="742" w:type="pct"/>
            <w:noWrap w:val="0"/>
            <w:vAlign w:val="center"/>
          </w:tcPr>
          <w:p w14:paraId="780EA23D">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1台</w:t>
            </w:r>
          </w:p>
        </w:tc>
        <w:tc>
          <w:tcPr>
            <w:tcW w:w="706" w:type="pct"/>
            <w:noWrap w:val="0"/>
            <w:vAlign w:val="center"/>
          </w:tcPr>
          <w:p w14:paraId="5CDFA196">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利旧</w:t>
            </w:r>
          </w:p>
        </w:tc>
      </w:tr>
      <w:tr w14:paraId="13B4E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43" w:type="pct"/>
            <w:noWrap w:val="0"/>
            <w:vAlign w:val="center"/>
          </w:tcPr>
          <w:p w14:paraId="4A4DBED6">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2</w:t>
            </w:r>
          </w:p>
        </w:tc>
        <w:tc>
          <w:tcPr>
            <w:tcW w:w="1232" w:type="pct"/>
            <w:noWrap w:val="0"/>
            <w:vAlign w:val="center"/>
          </w:tcPr>
          <w:p w14:paraId="25A3C7C6">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装载机</w:t>
            </w:r>
          </w:p>
        </w:tc>
        <w:tc>
          <w:tcPr>
            <w:tcW w:w="1774" w:type="pct"/>
            <w:noWrap w:val="0"/>
            <w:vAlign w:val="center"/>
          </w:tcPr>
          <w:p w14:paraId="45C6A409">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 xml:space="preserve">龙工ZL50NC </w:t>
            </w:r>
          </w:p>
        </w:tc>
        <w:tc>
          <w:tcPr>
            <w:tcW w:w="742" w:type="pct"/>
            <w:noWrap w:val="0"/>
            <w:vAlign w:val="center"/>
          </w:tcPr>
          <w:p w14:paraId="21512D60">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2台</w:t>
            </w:r>
          </w:p>
        </w:tc>
        <w:tc>
          <w:tcPr>
            <w:tcW w:w="706" w:type="pct"/>
            <w:noWrap w:val="0"/>
            <w:vAlign w:val="center"/>
          </w:tcPr>
          <w:p w14:paraId="45FAD8F1">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利旧</w:t>
            </w:r>
          </w:p>
        </w:tc>
      </w:tr>
      <w:tr w14:paraId="3BA7B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43" w:type="pct"/>
            <w:noWrap w:val="0"/>
            <w:vAlign w:val="center"/>
          </w:tcPr>
          <w:p w14:paraId="5EC0D177">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3</w:t>
            </w:r>
          </w:p>
        </w:tc>
        <w:tc>
          <w:tcPr>
            <w:tcW w:w="1232" w:type="pct"/>
            <w:noWrap w:val="0"/>
            <w:vAlign w:val="center"/>
          </w:tcPr>
          <w:p w14:paraId="3DBAE4A2">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装载机</w:t>
            </w:r>
          </w:p>
        </w:tc>
        <w:tc>
          <w:tcPr>
            <w:tcW w:w="1774" w:type="pct"/>
            <w:noWrap w:val="0"/>
            <w:vAlign w:val="center"/>
          </w:tcPr>
          <w:p w14:paraId="485E216E">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龙工ZL30F</w:t>
            </w:r>
          </w:p>
        </w:tc>
        <w:tc>
          <w:tcPr>
            <w:tcW w:w="742" w:type="pct"/>
            <w:noWrap w:val="0"/>
            <w:vAlign w:val="center"/>
          </w:tcPr>
          <w:p w14:paraId="5AE31602">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1台</w:t>
            </w:r>
          </w:p>
        </w:tc>
        <w:tc>
          <w:tcPr>
            <w:tcW w:w="706" w:type="pct"/>
            <w:noWrap w:val="0"/>
            <w:vAlign w:val="center"/>
          </w:tcPr>
          <w:p w14:paraId="6D840A16">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利旧</w:t>
            </w:r>
          </w:p>
        </w:tc>
      </w:tr>
      <w:tr w14:paraId="6E135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43" w:type="pct"/>
            <w:noWrap w:val="0"/>
            <w:vAlign w:val="center"/>
          </w:tcPr>
          <w:p w14:paraId="6A41E683">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4</w:t>
            </w:r>
          </w:p>
        </w:tc>
        <w:tc>
          <w:tcPr>
            <w:tcW w:w="1232" w:type="pct"/>
            <w:noWrap w:val="0"/>
            <w:vAlign w:val="center"/>
          </w:tcPr>
          <w:p w14:paraId="6E807CC3">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挖掘机</w:t>
            </w:r>
          </w:p>
        </w:tc>
        <w:tc>
          <w:tcPr>
            <w:tcW w:w="1774" w:type="pct"/>
            <w:noWrap w:val="0"/>
            <w:vAlign w:val="center"/>
          </w:tcPr>
          <w:p w14:paraId="48C5556A">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龙工 LG6240E</w:t>
            </w:r>
          </w:p>
        </w:tc>
        <w:tc>
          <w:tcPr>
            <w:tcW w:w="742" w:type="pct"/>
            <w:noWrap w:val="0"/>
            <w:vAlign w:val="center"/>
          </w:tcPr>
          <w:p w14:paraId="6CF5BB3A">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1台</w:t>
            </w:r>
          </w:p>
        </w:tc>
        <w:tc>
          <w:tcPr>
            <w:tcW w:w="706" w:type="pct"/>
            <w:noWrap w:val="0"/>
            <w:vAlign w:val="center"/>
          </w:tcPr>
          <w:p w14:paraId="28736F63">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利旧</w:t>
            </w:r>
          </w:p>
        </w:tc>
      </w:tr>
      <w:tr w14:paraId="304F0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43" w:type="pct"/>
            <w:noWrap w:val="0"/>
            <w:vAlign w:val="center"/>
          </w:tcPr>
          <w:p w14:paraId="45BED900">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5</w:t>
            </w:r>
          </w:p>
        </w:tc>
        <w:tc>
          <w:tcPr>
            <w:tcW w:w="1232" w:type="pct"/>
            <w:noWrap w:val="0"/>
            <w:vAlign w:val="center"/>
          </w:tcPr>
          <w:p w14:paraId="26E07B1B">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自卸汽车</w:t>
            </w:r>
          </w:p>
        </w:tc>
        <w:tc>
          <w:tcPr>
            <w:tcW w:w="1774" w:type="pct"/>
            <w:noWrap w:val="0"/>
            <w:vAlign w:val="center"/>
          </w:tcPr>
          <w:p w14:paraId="71584821">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红岩25t</w:t>
            </w:r>
          </w:p>
        </w:tc>
        <w:tc>
          <w:tcPr>
            <w:tcW w:w="742" w:type="pct"/>
            <w:noWrap w:val="0"/>
            <w:vAlign w:val="center"/>
          </w:tcPr>
          <w:p w14:paraId="2AFBF3F4">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2台</w:t>
            </w:r>
          </w:p>
        </w:tc>
        <w:tc>
          <w:tcPr>
            <w:tcW w:w="706" w:type="pct"/>
            <w:noWrap w:val="0"/>
            <w:vAlign w:val="center"/>
          </w:tcPr>
          <w:p w14:paraId="6A645F7D">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利旧</w:t>
            </w:r>
          </w:p>
        </w:tc>
      </w:tr>
      <w:tr w14:paraId="619BC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43" w:type="pct"/>
            <w:noWrap w:val="0"/>
            <w:vAlign w:val="center"/>
          </w:tcPr>
          <w:p w14:paraId="7B8BCA0F">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6</w:t>
            </w:r>
          </w:p>
        </w:tc>
        <w:tc>
          <w:tcPr>
            <w:tcW w:w="1232" w:type="pct"/>
            <w:noWrap w:val="0"/>
            <w:vAlign w:val="center"/>
          </w:tcPr>
          <w:p w14:paraId="076A0396">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震动给料机</w:t>
            </w:r>
          </w:p>
        </w:tc>
        <w:tc>
          <w:tcPr>
            <w:tcW w:w="1774" w:type="pct"/>
            <w:noWrap w:val="0"/>
            <w:vAlign w:val="center"/>
          </w:tcPr>
          <w:p w14:paraId="5A949A71">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GZG50-4</w:t>
            </w:r>
          </w:p>
        </w:tc>
        <w:tc>
          <w:tcPr>
            <w:tcW w:w="742" w:type="pct"/>
            <w:noWrap w:val="0"/>
            <w:vAlign w:val="center"/>
          </w:tcPr>
          <w:p w14:paraId="494A7238">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1台</w:t>
            </w:r>
          </w:p>
        </w:tc>
        <w:tc>
          <w:tcPr>
            <w:tcW w:w="706" w:type="pct"/>
            <w:noWrap w:val="0"/>
            <w:vAlign w:val="center"/>
          </w:tcPr>
          <w:p w14:paraId="382D71B4">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利旧</w:t>
            </w:r>
          </w:p>
        </w:tc>
      </w:tr>
      <w:tr w14:paraId="16135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43" w:type="pct"/>
            <w:noWrap w:val="0"/>
            <w:vAlign w:val="center"/>
          </w:tcPr>
          <w:p w14:paraId="05C6852D">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7</w:t>
            </w:r>
          </w:p>
        </w:tc>
        <w:tc>
          <w:tcPr>
            <w:tcW w:w="1232" w:type="pct"/>
            <w:noWrap w:val="0"/>
            <w:vAlign w:val="center"/>
          </w:tcPr>
          <w:p w14:paraId="44D6D6D1">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颚式破碎机</w:t>
            </w:r>
          </w:p>
        </w:tc>
        <w:tc>
          <w:tcPr>
            <w:tcW w:w="1774" w:type="pct"/>
            <w:noWrap w:val="0"/>
            <w:vAlign w:val="center"/>
          </w:tcPr>
          <w:p w14:paraId="201EBC00">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PE-600×900</w:t>
            </w:r>
          </w:p>
        </w:tc>
        <w:tc>
          <w:tcPr>
            <w:tcW w:w="742" w:type="pct"/>
            <w:noWrap w:val="0"/>
            <w:vAlign w:val="center"/>
          </w:tcPr>
          <w:p w14:paraId="03B8139F">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1台</w:t>
            </w:r>
          </w:p>
        </w:tc>
        <w:tc>
          <w:tcPr>
            <w:tcW w:w="706" w:type="pct"/>
            <w:noWrap w:val="0"/>
            <w:vAlign w:val="center"/>
          </w:tcPr>
          <w:p w14:paraId="00BF08E0">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利旧</w:t>
            </w:r>
          </w:p>
        </w:tc>
      </w:tr>
      <w:tr w14:paraId="4A681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43" w:type="pct"/>
            <w:noWrap w:val="0"/>
            <w:vAlign w:val="center"/>
          </w:tcPr>
          <w:p w14:paraId="228E143C">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8</w:t>
            </w:r>
          </w:p>
        </w:tc>
        <w:tc>
          <w:tcPr>
            <w:tcW w:w="1232" w:type="pct"/>
            <w:noWrap w:val="0"/>
            <w:vAlign w:val="center"/>
          </w:tcPr>
          <w:p w14:paraId="721620D7">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圆锥破碎机</w:t>
            </w:r>
          </w:p>
        </w:tc>
        <w:tc>
          <w:tcPr>
            <w:tcW w:w="1774" w:type="pct"/>
            <w:noWrap w:val="0"/>
            <w:vAlign w:val="center"/>
          </w:tcPr>
          <w:p w14:paraId="7CA20D44">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PYFB-0917</w:t>
            </w:r>
          </w:p>
        </w:tc>
        <w:tc>
          <w:tcPr>
            <w:tcW w:w="742" w:type="pct"/>
            <w:noWrap w:val="0"/>
            <w:vAlign w:val="center"/>
          </w:tcPr>
          <w:p w14:paraId="2AFA5470">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1台</w:t>
            </w:r>
          </w:p>
        </w:tc>
        <w:tc>
          <w:tcPr>
            <w:tcW w:w="706" w:type="pct"/>
            <w:noWrap w:val="0"/>
            <w:vAlign w:val="center"/>
          </w:tcPr>
          <w:p w14:paraId="4EBB5FF2">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利旧</w:t>
            </w:r>
          </w:p>
        </w:tc>
      </w:tr>
      <w:tr w14:paraId="0535B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43" w:type="pct"/>
            <w:noWrap w:val="0"/>
            <w:vAlign w:val="center"/>
          </w:tcPr>
          <w:p w14:paraId="0F3ED3F3">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9</w:t>
            </w:r>
          </w:p>
        </w:tc>
        <w:tc>
          <w:tcPr>
            <w:tcW w:w="1232" w:type="pct"/>
            <w:noWrap w:val="0"/>
            <w:vAlign w:val="center"/>
          </w:tcPr>
          <w:p w14:paraId="1F99B37C">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对辊破碎机</w:t>
            </w:r>
          </w:p>
        </w:tc>
        <w:tc>
          <w:tcPr>
            <w:tcW w:w="1774" w:type="pct"/>
            <w:noWrap w:val="0"/>
            <w:vAlign w:val="center"/>
          </w:tcPr>
          <w:p w14:paraId="12E42DA8">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永恒800×120型</w:t>
            </w:r>
          </w:p>
        </w:tc>
        <w:tc>
          <w:tcPr>
            <w:tcW w:w="742" w:type="pct"/>
            <w:noWrap w:val="0"/>
            <w:vAlign w:val="center"/>
          </w:tcPr>
          <w:p w14:paraId="5BDC45FB">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1台</w:t>
            </w:r>
          </w:p>
        </w:tc>
        <w:tc>
          <w:tcPr>
            <w:tcW w:w="706" w:type="pct"/>
            <w:noWrap w:val="0"/>
            <w:vAlign w:val="center"/>
          </w:tcPr>
          <w:p w14:paraId="1B49E490">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利旧</w:t>
            </w:r>
          </w:p>
        </w:tc>
      </w:tr>
      <w:tr w14:paraId="74B96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exact"/>
          <w:jc w:val="center"/>
        </w:trPr>
        <w:tc>
          <w:tcPr>
            <w:tcW w:w="543" w:type="pct"/>
            <w:noWrap w:val="0"/>
            <w:vAlign w:val="center"/>
          </w:tcPr>
          <w:p w14:paraId="41AB21E5">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10</w:t>
            </w:r>
          </w:p>
        </w:tc>
        <w:tc>
          <w:tcPr>
            <w:tcW w:w="1232" w:type="pct"/>
            <w:noWrap w:val="0"/>
            <w:vAlign w:val="center"/>
          </w:tcPr>
          <w:p w14:paraId="35673290">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输送带</w:t>
            </w:r>
          </w:p>
        </w:tc>
        <w:tc>
          <w:tcPr>
            <w:tcW w:w="1774" w:type="pct"/>
            <w:noWrap w:val="0"/>
            <w:vAlign w:val="center"/>
          </w:tcPr>
          <w:p w14:paraId="1F18D464">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30～60m</w:t>
            </w:r>
          </w:p>
        </w:tc>
        <w:tc>
          <w:tcPr>
            <w:tcW w:w="742" w:type="pct"/>
            <w:noWrap w:val="0"/>
            <w:vAlign w:val="center"/>
          </w:tcPr>
          <w:p w14:paraId="152DBF76">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10条</w:t>
            </w:r>
          </w:p>
        </w:tc>
        <w:tc>
          <w:tcPr>
            <w:tcW w:w="706" w:type="pct"/>
            <w:noWrap w:val="0"/>
            <w:vAlign w:val="center"/>
          </w:tcPr>
          <w:p w14:paraId="21D8AF5C">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利旧</w:t>
            </w:r>
          </w:p>
        </w:tc>
      </w:tr>
      <w:tr w14:paraId="34E20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43" w:type="pct"/>
            <w:noWrap w:val="0"/>
            <w:vAlign w:val="center"/>
          </w:tcPr>
          <w:p w14:paraId="38CFE012">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11</w:t>
            </w:r>
          </w:p>
        </w:tc>
        <w:tc>
          <w:tcPr>
            <w:tcW w:w="1232" w:type="pct"/>
            <w:noWrap w:val="0"/>
            <w:vAlign w:val="center"/>
          </w:tcPr>
          <w:p w14:paraId="4248B834">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圆辊筛</w:t>
            </w:r>
          </w:p>
        </w:tc>
        <w:tc>
          <w:tcPr>
            <w:tcW w:w="1774" w:type="pct"/>
            <w:noWrap w:val="0"/>
            <w:vAlign w:val="center"/>
          </w:tcPr>
          <w:p w14:paraId="28FE40CD">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1000×6000型</w:t>
            </w:r>
          </w:p>
        </w:tc>
        <w:tc>
          <w:tcPr>
            <w:tcW w:w="742" w:type="pct"/>
            <w:noWrap w:val="0"/>
            <w:vAlign w:val="center"/>
          </w:tcPr>
          <w:p w14:paraId="084A98EB">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2台</w:t>
            </w:r>
          </w:p>
        </w:tc>
        <w:tc>
          <w:tcPr>
            <w:tcW w:w="706" w:type="pct"/>
            <w:noWrap w:val="0"/>
            <w:vAlign w:val="center"/>
          </w:tcPr>
          <w:p w14:paraId="7F50957C">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利旧</w:t>
            </w:r>
          </w:p>
        </w:tc>
      </w:tr>
      <w:tr w14:paraId="710B4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43" w:type="pct"/>
            <w:noWrap w:val="0"/>
            <w:vAlign w:val="center"/>
          </w:tcPr>
          <w:p w14:paraId="55C6C936">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12</w:t>
            </w:r>
          </w:p>
        </w:tc>
        <w:tc>
          <w:tcPr>
            <w:tcW w:w="1232" w:type="pct"/>
            <w:noWrap w:val="0"/>
            <w:vAlign w:val="center"/>
          </w:tcPr>
          <w:p w14:paraId="79FAB33B">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螺旋洗砂机</w:t>
            </w:r>
          </w:p>
        </w:tc>
        <w:tc>
          <w:tcPr>
            <w:tcW w:w="1774" w:type="pct"/>
            <w:noWrap w:val="0"/>
            <w:vAlign w:val="center"/>
          </w:tcPr>
          <w:p w14:paraId="07CE246B">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800×4000型</w:t>
            </w:r>
          </w:p>
        </w:tc>
        <w:tc>
          <w:tcPr>
            <w:tcW w:w="742" w:type="pct"/>
            <w:noWrap w:val="0"/>
            <w:vAlign w:val="center"/>
          </w:tcPr>
          <w:p w14:paraId="54B714C3">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1台</w:t>
            </w:r>
          </w:p>
        </w:tc>
        <w:tc>
          <w:tcPr>
            <w:tcW w:w="706" w:type="pct"/>
            <w:noWrap w:val="0"/>
            <w:vAlign w:val="center"/>
          </w:tcPr>
          <w:p w14:paraId="1AEC3518">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利旧</w:t>
            </w:r>
          </w:p>
        </w:tc>
      </w:tr>
      <w:tr w14:paraId="0E075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43" w:type="pct"/>
            <w:noWrap w:val="0"/>
            <w:vAlign w:val="center"/>
          </w:tcPr>
          <w:p w14:paraId="022B7287">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13</w:t>
            </w:r>
          </w:p>
        </w:tc>
        <w:tc>
          <w:tcPr>
            <w:tcW w:w="1232" w:type="pct"/>
            <w:noWrap w:val="0"/>
            <w:vAlign w:val="center"/>
          </w:tcPr>
          <w:p w14:paraId="38795D75">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螺旋洗砂机</w:t>
            </w:r>
          </w:p>
        </w:tc>
        <w:tc>
          <w:tcPr>
            <w:tcW w:w="1774" w:type="pct"/>
            <w:noWrap w:val="0"/>
            <w:vAlign w:val="center"/>
          </w:tcPr>
          <w:p w14:paraId="3EDB264E">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1000×6000型</w:t>
            </w:r>
          </w:p>
        </w:tc>
        <w:tc>
          <w:tcPr>
            <w:tcW w:w="742" w:type="pct"/>
            <w:noWrap w:val="0"/>
            <w:vAlign w:val="center"/>
          </w:tcPr>
          <w:p w14:paraId="0A109FDD">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1台</w:t>
            </w:r>
          </w:p>
        </w:tc>
        <w:tc>
          <w:tcPr>
            <w:tcW w:w="706" w:type="pct"/>
            <w:noWrap w:val="0"/>
            <w:vAlign w:val="center"/>
          </w:tcPr>
          <w:p w14:paraId="4D2D49EA">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利旧</w:t>
            </w:r>
          </w:p>
        </w:tc>
      </w:tr>
      <w:tr w14:paraId="45493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43" w:type="pct"/>
            <w:noWrap w:val="0"/>
            <w:vAlign w:val="center"/>
          </w:tcPr>
          <w:p w14:paraId="7982AF55">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14</w:t>
            </w:r>
          </w:p>
        </w:tc>
        <w:tc>
          <w:tcPr>
            <w:tcW w:w="1232" w:type="pct"/>
            <w:noWrap w:val="0"/>
            <w:vAlign w:val="center"/>
          </w:tcPr>
          <w:p w14:paraId="1C0D0F8E">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振动脱水筛</w:t>
            </w:r>
          </w:p>
        </w:tc>
        <w:tc>
          <w:tcPr>
            <w:tcW w:w="1774" w:type="pct"/>
            <w:noWrap w:val="0"/>
            <w:vAlign w:val="center"/>
          </w:tcPr>
          <w:p w14:paraId="3AA2EA0C">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1500×4000型</w:t>
            </w:r>
          </w:p>
        </w:tc>
        <w:tc>
          <w:tcPr>
            <w:tcW w:w="742" w:type="pct"/>
            <w:noWrap w:val="0"/>
            <w:vAlign w:val="center"/>
          </w:tcPr>
          <w:p w14:paraId="4BBEB4A0">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3台</w:t>
            </w:r>
          </w:p>
        </w:tc>
        <w:tc>
          <w:tcPr>
            <w:tcW w:w="706" w:type="pct"/>
            <w:noWrap w:val="0"/>
            <w:vAlign w:val="center"/>
          </w:tcPr>
          <w:p w14:paraId="6DEF7D4D">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利旧</w:t>
            </w:r>
          </w:p>
        </w:tc>
      </w:tr>
      <w:tr w14:paraId="1BC87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43" w:type="pct"/>
            <w:noWrap w:val="0"/>
            <w:vAlign w:val="center"/>
          </w:tcPr>
          <w:p w14:paraId="56256B18">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15</w:t>
            </w:r>
          </w:p>
        </w:tc>
        <w:tc>
          <w:tcPr>
            <w:tcW w:w="1232" w:type="pct"/>
            <w:noWrap w:val="0"/>
            <w:vAlign w:val="center"/>
          </w:tcPr>
          <w:p w14:paraId="6F5F8B53">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压滤机</w:t>
            </w:r>
          </w:p>
        </w:tc>
        <w:tc>
          <w:tcPr>
            <w:tcW w:w="1774" w:type="pct"/>
            <w:noWrap w:val="0"/>
            <w:vAlign w:val="center"/>
          </w:tcPr>
          <w:p w14:paraId="20779153">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权宏250型</w:t>
            </w:r>
          </w:p>
        </w:tc>
        <w:tc>
          <w:tcPr>
            <w:tcW w:w="742" w:type="pct"/>
            <w:noWrap w:val="0"/>
            <w:vAlign w:val="center"/>
          </w:tcPr>
          <w:p w14:paraId="34E68C47">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2台</w:t>
            </w:r>
          </w:p>
        </w:tc>
        <w:tc>
          <w:tcPr>
            <w:tcW w:w="706" w:type="pct"/>
            <w:noWrap w:val="0"/>
            <w:vAlign w:val="center"/>
          </w:tcPr>
          <w:p w14:paraId="0CB8D593">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利旧</w:t>
            </w:r>
          </w:p>
        </w:tc>
      </w:tr>
      <w:tr w14:paraId="2F268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43" w:type="pct"/>
            <w:noWrap w:val="0"/>
            <w:vAlign w:val="center"/>
          </w:tcPr>
          <w:p w14:paraId="7DCB34D9">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16</w:t>
            </w:r>
          </w:p>
        </w:tc>
        <w:tc>
          <w:tcPr>
            <w:tcW w:w="1232" w:type="pct"/>
            <w:noWrap w:val="0"/>
            <w:vAlign w:val="center"/>
          </w:tcPr>
          <w:p w14:paraId="593FCF65">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水泵</w:t>
            </w:r>
          </w:p>
        </w:tc>
        <w:tc>
          <w:tcPr>
            <w:tcW w:w="1774" w:type="pct"/>
            <w:noWrap w:val="0"/>
            <w:vAlign w:val="center"/>
          </w:tcPr>
          <w:p w14:paraId="50E19E31">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D12-50×8</w:t>
            </w:r>
          </w:p>
        </w:tc>
        <w:tc>
          <w:tcPr>
            <w:tcW w:w="742" w:type="pct"/>
            <w:noWrap w:val="0"/>
            <w:vAlign w:val="center"/>
          </w:tcPr>
          <w:p w14:paraId="56EB8DAC">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3台</w:t>
            </w:r>
          </w:p>
        </w:tc>
        <w:tc>
          <w:tcPr>
            <w:tcW w:w="706" w:type="pct"/>
            <w:noWrap w:val="0"/>
            <w:vAlign w:val="center"/>
          </w:tcPr>
          <w:p w14:paraId="7A0A870F">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利旧</w:t>
            </w:r>
          </w:p>
        </w:tc>
      </w:tr>
      <w:tr w14:paraId="0CCCE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43" w:type="pct"/>
            <w:noWrap w:val="0"/>
            <w:vAlign w:val="center"/>
          </w:tcPr>
          <w:p w14:paraId="73A64C02">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17</w:t>
            </w:r>
          </w:p>
        </w:tc>
        <w:tc>
          <w:tcPr>
            <w:tcW w:w="1232" w:type="pct"/>
            <w:noWrap w:val="0"/>
            <w:vAlign w:val="center"/>
          </w:tcPr>
          <w:p w14:paraId="7825053C">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变压器（生产用）</w:t>
            </w:r>
          </w:p>
        </w:tc>
        <w:tc>
          <w:tcPr>
            <w:tcW w:w="1774" w:type="pct"/>
            <w:noWrap w:val="0"/>
            <w:vAlign w:val="center"/>
          </w:tcPr>
          <w:p w14:paraId="344C5D6F">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500KVA</w:t>
            </w:r>
          </w:p>
        </w:tc>
        <w:tc>
          <w:tcPr>
            <w:tcW w:w="742" w:type="pct"/>
            <w:noWrap w:val="0"/>
            <w:vAlign w:val="center"/>
          </w:tcPr>
          <w:p w14:paraId="5A19BA95">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1台</w:t>
            </w:r>
          </w:p>
        </w:tc>
        <w:tc>
          <w:tcPr>
            <w:tcW w:w="706" w:type="pct"/>
            <w:noWrap w:val="0"/>
            <w:vAlign w:val="center"/>
          </w:tcPr>
          <w:p w14:paraId="1B2D8ADF">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利旧</w:t>
            </w:r>
          </w:p>
        </w:tc>
      </w:tr>
      <w:tr w14:paraId="47074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43" w:type="pct"/>
            <w:noWrap w:val="0"/>
            <w:vAlign w:val="center"/>
          </w:tcPr>
          <w:p w14:paraId="4CD96DC8">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18</w:t>
            </w:r>
          </w:p>
        </w:tc>
        <w:tc>
          <w:tcPr>
            <w:tcW w:w="1232" w:type="pct"/>
            <w:noWrap w:val="0"/>
            <w:vAlign w:val="center"/>
          </w:tcPr>
          <w:p w14:paraId="6E85C63A">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变压器（生活用）</w:t>
            </w:r>
          </w:p>
        </w:tc>
        <w:tc>
          <w:tcPr>
            <w:tcW w:w="1774" w:type="pct"/>
            <w:noWrap w:val="0"/>
            <w:vAlign w:val="center"/>
          </w:tcPr>
          <w:p w14:paraId="19767AD4">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250KVA</w:t>
            </w:r>
          </w:p>
        </w:tc>
        <w:tc>
          <w:tcPr>
            <w:tcW w:w="742" w:type="pct"/>
            <w:noWrap w:val="0"/>
            <w:vAlign w:val="center"/>
          </w:tcPr>
          <w:p w14:paraId="48B506CC">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1台</w:t>
            </w:r>
          </w:p>
        </w:tc>
        <w:tc>
          <w:tcPr>
            <w:tcW w:w="706" w:type="pct"/>
            <w:noWrap w:val="0"/>
            <w:vAlign w:val="center"/>
          </w:tcPr>
          <w:p w14:paraId="16D2CB95">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利旧</w:t>
            </w:r>
          </w:p>
        </w:tc>
      </w:tr>
      <w:tr w14:paraId="4CEC7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43" w:type="pct"/>
            <w:noWrap w:val="0"/>
            <w:vAlign w:val="center"/>
          </w:tcPr>
          <w:p w14:paraId="71BA715B">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19</w:t>
            </w:r>
          </w:p>
        </w:tc>
        <w:tc>
          <w:tcPr>
            <w:tcW w:w="1232" w:type="pct"/>
            <w:noWrap w:val="0"/>
            <w:vAlign w:val="center"/>
          </w:tcPr>
          <w:p w14:paraId="57DC566A">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泥浆泵</w:t>
            </w:r>
          </w:p>
        </w:tc>
        <w:tc>
          <w:tcPr>
            <w:tcW w:w="1774" w:type="pct"/>
            <w:noWrap w:val="0"/>
            <w:vAlign w:val="center"/>
          </w:tcPr>
          <w:p w14:paraId="1E76F819">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22KW</w:t>
            </w:r>
          </w:p>
        </w:tc>
        <w:tc>
          <w:tcPr>
            <w:tcW w:w="742" w:type="pct"/>
            <w:noWrap w:val="0"/>
            <w:vAlign w:val="center"/>
          </w:tcPr>
          <w:p w14:paraId="45071FEE">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1台</w:t>
            </w:r>
          </w:p>
        </w:tc>
        <w:tc>
          <w:tcPr>
            <w:tcW w:w="706" w:type="pct"/>
            <w:noWrap w:val="0"/>
            <w:vAlign w:val="center"/>
          </w:tcPr>
          <w:p w14:paraId="3B01F311">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利旧</w:t>
            </w:r>
          </w:p>
        </w:tc>
      </w:tr>
      <w:tr w14:paraId="77A42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43" w:type="pct"/>
            <w:noWrap w:val="0"/>
            <w:vAlign w:val="center"/>
          </w:tcPr>
          <w:p w14:paraId="104CCF08">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20</w:t>
            </w:r>
          </w:p>
        </w:tc>
        <w:tc>
          <w:tcPr>
            <w:tcW w:w="1232" w:type="pct"/>
            <w:noWrap w:val="0"/>
            <w:vAlign w:val="center"/>
          </w:tcPr>
          <w:p w14:paraId="29D049E1">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泥浆泵</w:t>
            </w:r>
          </w:p>
        </w:tc>
        <w:tc>
          <w:tcPr>
            <w:tcW w:w="1774" w:type="pct"/>
            <w:noWrap w:val="0"/>
            <w:vAlign w:val="center"/>
          </w:tcPr>
          <w:p w14:paraId="4CDC9309">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7.5KW</w:t>
            </w:r>
          </w:p>
        </w:tc>
        <w:tc>
          <w:tcPr>
            <w:tcW w:w="742" w:type="pct"/>
            <w:noWrap w:val="0"/>
            <w:vAlign w:val="center"/>
          </w:tcPr>
          <w:p w14:paraId="74B13B75">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1台</w:t>
            </w:r>
          </w:p>
        </w:tc>
        <w:tc>
          <w:tcPr>
            <w:tcW w:w="706" w:type="pct"/>
            <w:noWrap w:val="0"/>
            <w:vAlign w:val="center"/>
          </w:tcPr>
          <w:p w14:paraId="6E873F30">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利旧</w:t>
            </w:r>
          </w:p>
        </w:tc>
      </w:tr>
      <w:tr w14:paraId="3E462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43" w:type="pct"/>
            <w:noWrap w:val="0"/>
            <w:vAlign w:val="center"/>
          </w:tcPr>
          <w:p w14:paraId="51B22430">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21</w:t>
            </w:r>
          </w:p>
        </w:tc>
        <w:tc>
          <w:tcPr>
            <w:tcW w:w="1232" w:type="pct"/>
            <w:noWrap w:val="0"/>
            <w:vAlign w:val="center"/>
          </w:tcPr>
          <w:p w14:paraId="7FED9223">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污水储存罐</w:t>
            </w:r>
          </w:p>
        </w:tc>
        <w:tc>
          <w:tcPr>
            <w:tcW w:w="1774" w:type="pct"/>
            <w:noWrap w:val="0"/>
            <w:vAlign w:val="center"/>
          </w:tcPr>
          <w:p w14:paraId="347CBF6C">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100m³</w:t>
            </w:r>
          </w:p>
        </w:tc>
        <w:tc>
          <w:tcPr>
            <w:tcW w:w="742" w:type="pct"/>
            <w:noWrap w:val="0"/>
            <w:vAlign w:val="center"/>
          </w:tcPr>
          <w:p w14:paraId="225449D8">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3个</w:t>
            </w:r>
          </w:p>
        </w:tc>
        <w:tc>
          <w:tcPr>
            <w:tcW w:w="706" w:type="pct"/>
            <w:noWrap w:val="0"/>
            <w:vAlign w:val="center"/>
          </w:tcPr>
          <w:p w14:paraId="03700EE8">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利旧</w:t>
            </w:r>
          </w:p>
        </w:tc>
      </w:tr>
      <w:tr w14:paraId="23A13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43" w:type="pct"/>
            <w:noWrap w:val="0"/>
            <w:vAlign w:val="center"/>
          </w:tcPr>
          <w:p w14:paraId="1DC5D5D6">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22</w:t>
            </w:r>
          </w:p>
        </w:tc>
        <w:tc>
          <w:tcPr>
            <w:tcW w:w="1232" w:type="pct"/>
            <w:noWrap w:val="0"/>
            <w:vAlign w:val="center"/>
          </w:tcPr>
          <w:p w14:paraId="03E7344F">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搅药罐</w:t>
            </w:r>
          </w:p>
        </w:tc>
        <w:tc>
          <w:tcPr>
            <w:tcW w:w="1774" w:type="pct"/>
            <w:noWrap w:val="0"/>
            <w:vAlign w:val="center"/>
          </w:tcPr>
          <w:p w14:paraId="17660032">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4KW</w:t>
            </w:r>
          </w:p>
        </w:tc>
        <w:tc>
          <w:tcPr>
            <w:tcW w:w="742" w:type="pct"/>
            <w:noWrap w:val="0"/>
            <w:vAlign w:val="center"/>
          </w:tcPr>
          <w:p w14:paraId="6D405E21">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2套</w:t>
            </w:r>
          </w:p>
        </w:tc>
        <w:tc>
          <w:tcPr>
            <w:tcW w:w="706" w:type="pct"/>
            <w:noWrap w:val="0"/>
            <w:vAlign w:val="center"/>
          </w:tcPr>
          <w:p w14:paraId="14AF27DA">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利旧</w:t>
            </w:r>
          </w:p>
        </w:tc>
      </w:tr>
      <w:tr w14:paraId="344D1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43" w:type="pct"/>
            <w:noWrap w:val="0"/>
            <w:vAlign w:val="center"/>
          </w:tcPr>
          <w:p w14:paraId="3A0AFC88">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23</w:t>
            </w:r>
          </w:p>
        </w:tc>
        <w:tc>
          <w:tcPr>
            <w:tcW w:w="1232" w:type="pct"/>
            <w:noWrap w:val="0"/>
            <w:vAlign w:val="center"/>
          </w:tcPr>
          <w:p w14:paraId="0C9DA79E">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抽药罐</w:t>
            </w:r>
          </w:p>
        </w:tc>
        <w:tc>
          <w:tcPr>
            <w:tcW w:w="1774" w:type="pct"/>
            <w:noWrap w:val="0"/>
            <w:vAlign w:val="center"/>
          </w:tcPr>
          <w:p w14:paraId="32EDA5F3">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1.5W</w:t>
            </w:r>
          </w:p>
        </w:tc>
        <w:tc>
          <w:tcPr>
            <w:tcW w:w="742" w:type="pct"/>
            <w:noWrap w:val="0"/>
            <w:vAlign w:val="center"/>
          </w:tcPr>
          <w:p w14:paraId="13418681">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1台</w:t>
            </w:r>
          </w:p>
        </w:tc>
        <w:tc>
          <w:tcPr>
            <w:tcW w:w="706" w:type="pct"/>
            <w:noWrap w:val="0"/>
            <w:vAlign w:val="center"/>
          </w:tcPr>
          <w:p w14:paraId="6E5F249E">
            <w:pPr>
              <w:adjustRightInd/>
              <w:snapToGrid/>
              <w:spacing w:line="240" w:lineRule="auto"/>
              <w:ind w:firstLine="0" w:firstLineChars="0"/>
              <w:jc w:val="center"/>
              <w:rPr>
                <w:rFonts w:ascii="宋体" w:hAnsi="宋体" w:eastAsia="宋体" w:cs="宋体"/>
                <w:color w:val="auto"/>
                <w:sz w:val="24"/>
                <w:szCs w:val="24"/>
              </w:rPr>
            </w:pPr>
            <w:r>
              <w:rPr>
                <w:rFonts w:hint="eastAsia" w:ascii="宋体" w:hAnsi="宋体" w:eastAsia="宋体" w:cs="宋体"/>
                <w:color w:val="auto"/>
                <w:sz w:val="24"/>
                <w:szCs w:val="24"/>
              </w:rPr>
              <w:t>利旧</w:t>
            </w:r>
          </w:p>
        </w:tc>
      </w:tr>
    </w:tbl>
    <w:p w14:paraId="0B8CD2B6">
      <w:pPr>
        <w:numPr>
          <w:ilvl w:val="0"/>
          <w:numId w:val="19"/>
        </w:numPr>
        <w:bidi w:val="0"/>
        <w:rPr>
          <w:rFonts w:hint="eastAsia"/>
          <w:lang w:eastAsia="zh-CN"/>
        </w:rPr>
      </w:pPr>
      <w:r>
        <w:rPr>
          <w:rFonts w:hint="eastAsia"/>
          <w:lang w:eastAsia="zh-CN"/>
        </w:rPr>
        <w:t>矿山利旧设施照片</w:t>
      </w:r>
    </w:p>
    <w:tbl>
      <w:tblPr>
        <w:tblStyle w:val="29"/>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08"/>
        <w:gridCol w:w="4508"/>
      </w:tblGrid>
      <w:tr w14:paraId="59188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9" w:hRule="atLeast"/>
          <w:jc w:val="center"/>
        </w:trPr>
        <w:tc>
          <w:tcPr>
            <w:tcW w:w="2452" w:type="pct"/>
            <w:noWrap/>
            <w:vAlign w:val="center"/>
          </w:tcPr>
          <w:p w14:paraId="6304FF6C">
            <w:pPr>
              <w:pStyle w:val="52"/>
              <w:adjustRightInd w:val="0"/>
              <w:snapToGrid w:val="0"/>
              <w:spacing w:line="240" w:lineRule="auto"/>
              <w:ind w:left="0" w:leftChars="0" w:right="0" w:rightChars="0" w:firstLine="0" w:firstLineChars="0"/>
              <w:jc w:val="center"/>
              <w:rPr>
                <w:rFonts w:hint="eastAsia" w:ascii="宋体" w:hAnsi="宋体" w:eastAsia="宋体" w:cs="宋体"/>
                <w:bCs/>
                <w:color w:val="auto"/>
                <w:sz w:val="24"/>
                <w:lang w:eastAsia="zh-CN"/>
              </w:rPr>
            </w:pPr>
            <w:r>
              <w:rPr>
                <w:rFonts w:ascii="宋体" w:hAnsi="宋体" w:eastAsia="宋体" w:cs="宋体"/>
                <w:color w:val="auto"/>
                <w:kern w:val="2"/>
                <w:sz w:val="28"/>
                <w:szCs w:val="28"/>
                <w:lang w:val="en-US" w:eastAsia="zh-CN" w:bidi="ar-SA"/>
              </w:rPr>
              <w:drawing>
                <wp:inline distT="0" distB="0" distL="114300" distR="114300">
                  <wp:extent cx="2781935" cy="1699895"/>
                  <wp:effectExtent l="0" t="0" r="6985" b="6985"/>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18"/>
                          <a:stretch>
                            <a:fillRect/>
                          </a:stretch>
                        </pic:blipFill>
                        <pic:spPr>
                          <a:xfrm flipH="1">
                            <a:off x="0" y="0"/>
                            <a:ext cx="2781935" cy="1699895"/>
                          </a:xfrm>
                          <a:prstGeom prst="rect">
                            <a:avLst/>
                          </a:prstGeom>
                          <a:noFill/>
                          <a:ln>
                            <a:noFill/>
                          </a:ln>
                        </pic:spPr>
                      </pic:pic>
                    </a:graphicData>
                  </a:graphic>
                </wp:inline>
              </w:drawing>
            </w:r>
          </w:p>
        </w:tc>
        <w:tc>
          <w:tcPr>
            <w:tcW w:w="2547" w:type="pct"/>
            <w:noWrap/>
            <w:vAlign w:val="center"/>
          </w:tcPr>
          <w:p w14:paraId="066B04F7">
            <w:pPr>
              <w:pStyle w:val="52"/>
              <w:adjustRightInd w:val="0"/>
              <w:snapToGrid w:val="0"/>
              <w:spacing w:line="240" w:lineRule="auto"/>
              <w:ind w:left="0" w:leftChars="0" w:right="0" w:rightChars="0" w:firstLine="0" w:firstLineChars="0"/>
              <w:jc w:val="center"/>
              <w:rPr>
                <w:rFonts w:hint="eastAsia" w:ascii="宋体" w:hAnsi="宋体" w:eastAsia="宋体" w:cs="宋体"/>
                <w:bCs/>
                <w:color w:val="auto"/>
                <w:sz w:val="24"/>
                <w:lang w:eastAsia="zh-CN"/>
              </w:rPr>
            </w:pPr>
            <w:r>
              <w:rPr>
                <w:rFonts w:ascii="宋体" w:hAnsi="宋体" w:eastAsia="宋体" w:cs="宋体"/>
                <w:color w:val="auto"/>
                <w:kern w:val="2"/>
                <w:sz w:val="28"/>
                <w:szCs w:val="28"/>
                <w:lang w:val="en-US" w:eastAsia="zh-CN" w:bidi="ar-SA"/>
              </w:rPr>
              <w:drawing>
                <wp:inline distT="0" distB="0" distL="114300" distR="114300">
                  <wp:extent cx="2673985" cy="1617345"/>
                  <wp:effectExtent l="0" t="0" r="8255" b="1333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9"/>
                          <a:stretch>
                            <a:fillRect/>
                          </a:stretch>
                        </pic:blipFill>
                        <pic:spPr>
                          <a:xfrm>
                            <a:off x="0" y="0"/>
                            <a:ext cx="2673985" cy="1617345"/>
                          </a:xfrm>
                          <a:prstGeom prst="rect">
                            <a:avLst/>
                          </a:prstGeom>
                          <a:noFill/>
                          <a:ln>
                            <a:noFill/>
                          </a:ln>
                        </pic:spPr>
                      </pic:pic>
                    </a:graphicData>
                  </a:graphic>
                </wp:inline>
              </w:drawing>
            </w:r>
          </w:p>
        </w:tc>
      </w:tr>
      <w:tr w14:paraId="1B3C3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2452" w:type="pct"/>
            <w:noWrap/>
            <w:vAlign w:val="center"/>
          </w:tcPr>
          <w:p w14:paraId="4C07A3D4">
            <w:pPr>
              <w:pStyle w:val="52"/>
              <w:adjustRightInd w:val="0"/>
              <w:snapToGrid w:val="0"/>
              <w:spacing w:line="240" w:lineRule="auto"/>
              <w:ind w:left="0" w:leftChars="0" w:right="0" w:rightChars="0" w:firstLine="0" w:firstLineChars="0"/>
              <w:jc w:val="center"/>
              <w:rPr>
                <w:rFonts w:ascii="宋体" w:hAnsi="宋体" w:cs="宋体"/>
                <w:bCs/>
                <w:color w:val="auto"/>
                <w:sz w:val="24"/>
              </w:rPr>
            </w:pPr>
            <w:r>
              <w:rPr>
                <w:rFonts w:hint="eastAsia" w:ascii="宋体" w:hAnsi="宋体" w:eastAsia="宋体" w:cs="宋体"/>
                <w:bCs/>
                <w:color w:val="auto"/>
                <w:sz w:val="24"/>
                <w:lang w:eastAsia="zh-CN"/>
              </w:rPr>
              <w:t>破碎</w:t>
            </w:r>
            <w:r>
              <w:rPr>
                <w:rFonts w:hint="eastAsia" w:ascii="宋体" w:hAnsi="宋体" w:eastAsia="宋体" w:cs="宋体"/>
                <w:bCs/>
                <w:color w:val="auto"/>
                <w:sz w:val="24"/>
                <w:lang w:val="en-US" w:eastAsia="zh-CN"/>
              </w:rPr>
              <w:t>站</w:t>
            </w:r>
          </w:p>
        </w:tc>
        <w:tc>
          <w:tcPr>
            <w:tcW w:w="2547" w:type="pct"/>
            <w:noWrap/>
            <w:vAlign w:val="center"/>
          </w:tcPr>
          <w:p w14:paraId="6E2F8F12">
            <w:pPr>
              <w:pStyle w:val="52"/>
              <w:adjustRightInd w:val="0"/>
              <w:snapToGrid w:val="0"/>
              <w:spacing w:line="240" w:lineRule="auto"/>
              <w:ind w:left="0" w:leftChars="0" w:right="0" w:rightChars="0" w:firstLine="0" w:firstLineChars="0"/>
              <w:jc w:val="center"/>
              <w:rPr>
                <w:rFonts w:hint="default" w:ascii="宋体" w:hAnsi="宋体" w:eastAsia="宋体" w:cs="宋体"/>
                <w:bCs/>
                <w:color w:val="auto"/>
                <w:sz w:val="24"/>
                <w:lang w:val="en-US" w:eastAsia="zh-CN"/>
              </w:rPr>
            </w:pPr>
            <w:r>
              <w:rPr>
                <w:rFonts w:hint="eastAsia" w:ascii="宋体" w:hAnsi="宋体" w:eastAsia="宋体" w:cs="宋体"/>
                <w:bCs/>
                <w:color w:val="auto"/>
                <w:sz w:val="24"/>
                <w:lang w:eastAsia="zh-CN"/>
              </w:rPr>
              <w:t>工业场地</w:t>
            </w:r>
          </w:p>
        </w:tc>
      </w:tr>
      <w:tr w14:paraId="02EE5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2" w:hRule="atLeast"/>
          <w:jc w:val="center"/>
        </w:trPr>
        <w:tc>
          <w:tcPr>
            <w:tcW w:w="2452" w:type="pct"/>
            <w:noWrap/>
            <w:vAlign w:val="top"/>
          </w:tcPr>
          <w:p w14:paraId="3A5B654B">
            <w:pPr>
              <w:pStyle w:val="52"/>
              <w:adjustRightInd w:val="0"/>
              <w:snapToGrid w:val="0"/>
              <w:spacing w:line="240" w:lineRule="auto"/>
              <w:ind w:left="0" w:leftChars="0" w:right="0" w:rightChars="0" w:firstLine="0" w:firstLineChars="0"/>
              <w:jc w:val="both"/>
              <w:rPr>
                <w:rFonts w:hint="eastAsia" w:ascii="宋体" w:hAnsi="宋体" w:eastAsia="宋体" w:cs="宋体"/>
                <w:bCs/>
                <w:color w:val="auto"/>
                <w:sz w:val="24"/>
                <w:lang w:eastAsia="zh-CN"/>
              </w:rPr>
            </w:pPr>
            <w:r>
              <w:drawing>
                <wp:anchor distT="0" distB="0" distL="114300" distR="114300" simplePos="0" relativeHeight="251664384" behindDoc="1" locked="0" layoutInCell="1" allowOverlap="1">
                  <wp:simplePos x="0" y="0"/>
                  <wp:positionH relativeFrom="column">
                    <wp:posOffset>0</wp:posOffset>
                  </wp:positionH>
                  <wp:positionV relativeFrom="paragraph">
                    <wp:posOffset>0</wp:posOffset>
                  </wp:positionV>
                  <wp:extent cx="2657475" cy="1661160"/>
                  <wp:effectExtent l="0" t="0" r="9525" b="2540"/>
                  <wp:wrapNone/>
                  <wp:docPr id="2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4"/>
                          <pic:cNvPicPr>
                            <a:picLocks noChangeAspect="1"/>
                          </pic:cNvPicPr>
                        </pic:nvPicPr>
                        <pic:blipFill>
                          <a:blip r:embed="rId20"/>
                          <a:stretch>
                            <a:fillRect/>
                          </a:stretch>
                        </pic:blipFill>
                        <pic:spPr>
                          <a:xfrm>
                            <a:off x="0" y="0"/>
                            <a:ext cx="2657475" cy="1661160"/>
                          </a:xfrm>
                          <a:prstGeom prst="rect">
                            <a:avLst/>
                          </a:prstGeom>
                          <a:noFill/>
                          <a:ln>
                            <a:noFill/>
                          </a:ln>
                        </pic:spPr>
                      </pic:pic>
                    </a:graphicData>
                  </a:graphic>
                </wp:anchor>
              </w:drawing>
            </w:r>
          </w:p>
        </w:tc>
        <w:tc>
          <w:tcPr>
            <w:tcW w:w="2547" w:type="pct"/>
            <w:noWrap/>
            <w:vAlign w:val="center"/>
          </w:tcPr>
          <w:p w14:paraId="1E1EF833">
            <w:pPr>
              <w:pStyle w:val="52"/>
              <w:adjustRightInd w:val="0"/>
              <w:snapToGrid w:val="0"/>
              <w:spacing w:line="240" w:lineRule="auto"/>
              <w:ind w:left="0" w:leftChars="0" w:right="0" w:rightChars="0" w:firstLine="0" w:firstLineChars="0"/>
              <w:jc w:val="center"/>
              <w:rPr>
                <w:rFonts w:hint="eastAsia" w:ascii="宋体" w:hAnsi="宋体" w:eastAsia="宋体" w:cs="宋体"/>
                <w:bCs/>
                <w:color w:val="auto"/>
                <w:sz w:val="24"/>
                <w:lang w:eastAsia="zh-CN"/>
              </w:rPr>
            </w:pPr>
            <w:r>
              <w:rPr>
                <w:rFonts w:ascii="宋体" w:hAnsi="宋体" w:eastAsia="宋体" w:cs="宋体"/>
                <w:color w:val="auto"/>
                <w:kern w:val="2"/>
                <w:sz w:val="24"/>
                <w:szCs w:val="24"/>
                <w:lang w:val="en-US" w:eastAsia="zh-CN" w:bidi="ar-SA"/>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2766695" cy="1661160"/>
                  <wp:effectExtent l="0" t="0" r="6985" b="0"/>
                  <wp:wrapSquare wrapText="bothSides"/>
                  <wp:docPr id="11"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5" descr="IMG_256"/>
                          <pic:cNvPicPr>
                            <a:picLocks noChangeAspect="1"/>
                          </pic:cNvPicPr>
                        </pic:nvPicPr>
                        <pic:blipFill>
                          <a:blip r:embed="rId21"/>
                          <a:stretch>
                            <a:fillRect/>
                          </a:stretch>
                        </pic:blipFill>
                        <pic:spPr>
                          <a:xfrm>
                            <a:off x="0" y="0"/>
                            <a:ext cx="2766695" cy="1661160"/>
                          </a:xfrm>
                          <a:prstGeom prst="rect">
                            <a:avLst/>
                          </a:prstGeom>
                          <a:noFill/>
                          <a:ln>
                            <a:noFill/>
                          </a:ln>
                        </pic:spPr>
                      </pic:pic>
                    </a:graphicData>
                  </a:graphic>
                </wp:anchor>
              </w:drawing>
            </w:r>
          </w:p>
        </w:tc>
      </w:tr>
      <w:tr w14:paraId="617CA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2452" w:type="pct"/>
            <w:noWrap/>
            <w:vAlign w:val="center"/>
          </w:tcPr>
          <w:p w14:paraId="64E5243F">
            <w:pPr>
              <w:pStyle w:val="52"/>
              <w:adjustRightInd w:val="0"/>
              <w:snapToGrid w:val="0"/>
              <w:spacing w:line="240" w:lineRule="auto"/>
              <w:ind w:left="0" w:leftChars="0" w:right="0" w:rightChars="0" w:firstLine="0" w:firstLineChars="0"/>
              <w:jc w:val="center"/>
              <w:rPr>
                <w:rFonts w:ascii="宋体" w:hAnsi="宋体" w:cs="宋体"/>
                <w:bCs/>
                <w:color w:val="auto"/>
                <w:sz w:val="24"/>
              </w:rPr>
            </w:pPr>
            <w:r>
              <w:rPr>
                <w:rFonts w:hint="eastAsia" w:ascii="宋体" w:hAnsi="宋体" w:eastAsia="宋体" w:cs="宋体"/>
                <w:bCs/>
                <w:color w:val="auto"/>
                <w:sz w:val="24"/>
                <w:lang w:eastAsia="zh-CN"/>
              </w:rPr>
              <w:t>生产用电</w:t>
            </w:r>
            <w:r>
              <w:rPr>
                <w:rFonts w:hint="eastAsia" w:ascii="宋体" w:hAnsi="宋体" w:eastAsia="宋体" w:cs="宋体"/>
                <w:bCs/>
                <w:color w:val="auto"/>
                <w:sz w:val="24"/>
                <w:lang w:val="en-US" w:eastAsia="zh-CN"/>
              </w:rPr>
              <w:t>250</w:t>
            </w:r>
            <w:r>
              <w:rPr>
                <w:rFonts w:hint="eastAsia" w:ascii="宋体" w:hAnsi="宋体" w:cs="宋体"/>
                <w:bCs/>
                <w:color w:val="auto"/>
                <w:sz w:val="24"/>
                <w:lang w:eastAsia="zh-CN"/>
              </w:rPr>
              <w:t>kV</w:t>
            </w:r>
            <w:r>
              <w:rPr>
                <w:rFonts w:hint="eastAsia" w:ascii="宋体" w:hAnsi="宋体" w:eastAsia="宋体" w:cs="宋体"/>
                <w:bCs/>
                <w:color w:val="auto"/>
                <w:sz w:val="24"/>
                <w:lang w:eastAsia="zh-CN"/>
              </w:rPr>
              <w:t>A</w:t>
            </w:r>
            <w:r>
              <w:rPr>
                <w:rFonts w:hint="eastAsia" w:ascii="宋体" w:hAnsi="宋体" w:eastAsia="宋体" w:cs="宋体"/>
                <w:bCs/>
                <w:color w:val="auto"/>
                <w:sz w:val="24"/>
              </w:rPr>
              <w:t>变压器及配电室</w:t>
            </w:r>
          </w:p>
        </w:tc>
        <w:tc>
          <w:tcPr>
            <w:tcW w:w="2547" w:type="pct"/>
            <w:noWrap/>
            <w:vAlign w:val="center"/>
          </w:tcPr>
          <w:p w14:paraId="14B3D34D">
            <w:pPr>
              <w:pStyle w:val="52"/>
              <w:adjustRightInd w:val="0"/>
              <w:snapToGrid w:val="0"/>
              <w:spacing w:line="240" w:lineRule="auto"/>
              <w:ind w:left="0" w:leftChars="0" w:right="0" w:rightChars="0" w:firstLine="0" w:firstLineChars="0"/>
              <w:jc w:val="center"/>
              <w:rPr>
                <w:rFonts w:hint="default" w:ascii="宋体" w:hAnsi="宋体" w:eastAsia="宋体" w:cs="宋体"/>
                <w:bCs/>
                <w:color w:val="auto"/>
                <w:sz w:val="24"/>
                <w:lang w:val="en-US" w:eastAsia="zh-CN"/>
              </w:rPr>
            </w:pPr>
            <w:r>
              <w:rPr>
                <w:rFonts w:hint="eastAsia" w:ascii="宋体" w:hAnsi="宋体" w:eastAsia="宋体" w:cs="宋体"/>
                <w:bCs/>
                <w:color w:val="auto"/>
                <w:sz w:val="24"/>
                <w:lang w:val="en-US" w:eastAsia="zh-CN"/>
              </w:rPr>
              <w:t>生活用电变压器</w:t>
            </w:r>
          </w:p>
        </w:tc>
      </w:tr>
      <w:tr w14:paraId="218FC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9" w:hRule="atLeast"/>
          <w:jc w:val="center"/>
        </w:trPr>
        <w:tc>
          <w:tcPr>
            <w:tcW w:w="2452" w:type="pct"/>
            <w:noWrap/>
            <w:vAlign w:val="center"/>
          </w:tcPr>
          <w:p w14:paraId="6544F4C8">
            <w:pPr>
              <w:pStyle w:val="52"/>
              <w:adjustRightInd w:val="0"/>
              <w:snapToGrid w:val="0"/>
              <w:spacing w:line="240" w:lineRule="auto"/>
              <w:ind w:left="0" w:leftChars="0" w:right="0" w:rightChars="0" w:firstLine="0" w:firstLineChars="0"/>
              <w:jc w:val="both"/>
              <w:rPr>
                <w:rFonts w:hint="eastAsia" w:ascii="宋体" w:hAnsi="宋体" w:eastAsia="宋体" w:cs="宋体"/>
                <w:bCs/>
                <w:color w:val="auto"/>
                <w:sz w:val="24"/>
                <w:lang w:eastAsia="zh-CN"/>
              </w:rPr>
            </w:pPr>
            <w:r>
              <w:rPr>
                <w:rFonts w:ascii="宋体" w:hAnsi="宋体" w:eastAsia="宋体" w:cs="宋体"/>
                <w:color w:val="auto"/>
                <w:kern w:val="2"/>
                <w:sz w:val="28"/>
                <w:szCs w:val="28"/>
                <w:lang w:val="en-US" w:eastAsia="zh-CN" w:bidi="ar-SA"/>
              </w:rPr>
              <w:drawing>
                <wp:anchor distT="0" distB="0" distL="114300" distR="114300" simplePos="0" relativeHeight="251668480" behindDoc="0" locked="0" layoutInCell="1" allowOverlap="1">
                  <wp:simplePos x="0" y="0"/>
                  <wp:positionH relativeFrom="column">
                    <wp:posOffset>0</wp:posOffset>
                  </wp:positionH>
                  <wp:positionV relativeFrom="paragraph">
                    <wp:posOffset>3175</wp:posOffset>
                  </wp:positionV>
                  <wp:extent cx="2747645" cy="1788160"/>
                  <wp:effectExtent l="0" t="0" r="10795" b="10160"/>
                  <wp:wrapSquare wrapText="bothSides"/>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22"/>
                          <a:stretch>
                            <a:fillRect/>
                          </a:stretch>
                        </pic:blipFill>
                        <pic:spPr>
                          <a:xfrm>
                            <a:off x="0" y="0"/>
                            <a:ext cx="2747645" cy="1788160"/>
                          </a:xfrm>
                          <a:prstGeom prst="rect">
                            <a:avLst/>
                          </a:prstGeom>
                          <a:noFill/>
                          <a:ln>
                            <a:noFill/>
                          </a:ln>
                        </pic:spPr>
                      </pic:pic>
                    </a:graphicData>
                  </a:graphic>
                </wp:anchor>
              </w:drawing>
            </w:r>
          </w:p>
        </w:tc>
        <w:tc>
          <w:tcPr>
            <w:tcW w:w="2547" w:type="pct"/>
            <w:noWrap/>
            <w:vAlign w:val="center"/>
          </w:tcPr>
          <w:p w14:paraId="2991FAF6">
            <w:pPr>
              <w:pStyle w:val="52"/>
              <w:adjustRightInd w:val="0"/>
              <w:snapToGrid w:val="0"/>
              <w:spacing w:line="240" w:lineRule="auto"/>
              <w:ind w:left="0" w:leftChars="0" w:right="0" w:rightChars="0" w:firstLine="0" w:firstLineChars="0"/>
              <w:jc w:val="center"/>
              <w:rPr>
                <w:rFonts w:hint="eastAsia" w:ascii="宋体" w:hAnsi="宋体" w:eastAsia="宋体" w:cs="宋体"/>
                <w:bCs/>
                <w:color w:val="auto"/>
                <w:sz w:val="24"/>
                <w:lang w:eastAsia="zh-CN"/>
              </w:rPr>
            </w:pPr>
            <w:r>
              <w:rPr>
                <w:rFonts w:ascii="宋体" w:hAnsi="宋体" w:eastAsia="宋体" w:cs="宋体"/>
                <w:color w:val="auto"/>
                <w:kern w:val="2"/>
                <w:sz w:val="28"/>
                <w:szCs w:val="28"/>
                <w:lang w:val="en-US" w:eastAsia="zh-CN" w:bidi="ar-SA"/>
              </w:rPr>
              <w:drawing>
                <wp:anchor distT="0" distB="0" distL="114300" distR="114300" simplePos="0" relativeHeight="251664384" behindDoc="0" locked="0" layoutInCell="1" allowOverlap="1">
                  <wp:simplePos x="0" y="0"/>
                  <wp:positionH relativeFrom="column">
                    <wp:posOffset>-26035</wp:posOffset>
                  </wp:positionH>
                  <wp:positionV relativeFrom="paragraph">
                    <wp:posOffset>15875</wp:posOffset>
                  </wp:positionV>
                  <wp:extent cx="2780665" cy="1782445"/>
                  <wp:effectExtent l="0" t="0" r="8255" b="635"/>
                  <wp:wrapSquare wrapText="bothSides"/>
                  <wp:docPr id="1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6"/>
                          <pic:cNvPicPr>
                            <a:picLocks noChangeAspect="1"/>
                          </pic:cNvPicPr>
                        </pic:nvPicPr>
                        <pic:blipFill>
                          <a:blip r:embed="rId23"/>
                          <a:stretch>
                            <a:fillRect/>
                          </a:stretch>
                        </pic:blipFill>
                        <pic:spPr>
                          <a:xfrm>
                            <a:off x="0" y="0"/>
                            <a:ext cx="2780665" cy="1782445"/>
                          </a:xfrm>
                          <a:prstGeom prst="rect">
                            <a:avLst/>
                          </a:prstGeom>
                          <a:noFill/>
                          <a:ln>
                            <a:noFill/>
                          </a:ln>
                        </pic:spPr>
                      </pic:pic>
                    </a:graphicData>
                  </a:graphic>
                </wp:anchor>
              </w:drawing>
            </w:r>
          </w:p>
        </w:tc>
      </w:tr>
      <w:tr w14:paraId="60204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2452" w:type="pct"/>
            <w:noWrap/>
            <w:vAlign w:val="center"/>
          </w:tcPr>
          <w:p w14:paraId="6F85639C">
            <w:pPr>
              <w:pStyle w:val="52"/>
              <w:adjustRightInd w:val="0"/>
              <w:snapToGrid w:val="0"/>
              <w:spacing w:line="240" w:lineRule="auto"/>
              <w:ind w:left="0" w:leftChars="0" w:right="0" w:rightChars="0" w:firstLine="0" w:firstLineChars="0"/>
              <w:jc w:val="center"/>
              <w:rPr>
                <w:rFonts w:hint="eastAsia" w:ascii="宋体" w:hAnsi="宋体" w:eastAsia="宋体" w:cs="宋体"/>
                <w:bCs/>
                <w:color w:val="auto"/>
                <w:sz w:val="24"/>
                <w:lang w:eastAsia="zh-CN"/>
              </w:rPr>
            </w:pPr>
            <w:r>
              <w:rPr>
                <w:rFonts w:hint="eastAsia" w:ascii="宋体" w:hAnsi="宋体" w:eastAsia="宋体" w:cs="宋体"/>
                <w:bCs/>
                <w:color w:val="auto"/>
                <w:sz w:val="24"/>
                <w:lang w:val="en-US" w:eastAsia="zh-CN"/>
              </w:rPr>
              <w:t>储水</w:t>
            </w:r>
            <w:r>
              <w:rPr>
                <w:rFonts w:hint="eastAsia" w:ascii="宋体" w:hAnsi="宋体" w:eastAsia="宋体" w:cs="宋体"/>
                <w:bCs/>
                <w:color w:val="auto"/>
                <w:sz w:val="24"/>
                <w:lang w:eastAsia="zh-CN"/>
              </w:rPr>
              <w:t>池</w:t>
            </w:r>
          </w:p>
        </w:tc>
        <w:tc>
          <w:tcPr>
            <w:tcW w:w="2547" w:type="pct"/>
            <w:noWrap/>
            <w:vAlign w:val="center"/>
          </w:tcPr>
          <w:p w14:paraId="10F420AC">
            <w:pPr>
              <w:pStyle w:val="52"/>
              <w:adjustRightInd w:val="0"/>
              <w:snapToGrid w:val="0"/>
              <w:spacing w:line="240" w:lineRule="auto"/>
              <w:ind w:left="0" w:leftChars="0" w:right="0" w:rightChars="0" w:firstLine="0" w:firstLineChars="0"/>
              <w:jc w:val="center"/>
            </w:pPr>
            <w:r>
              <w:rPr>
                <w:rFonts w:hint="eastAsia" w:ascii="宋体" w:hAnsi="宋体" w:eastAsia="宋体" w:cs="宋体"/>
                <w:bCs/>
                <w:color w:val="auto"/>
                <w:sz w:val="24"/>
                <w:lang w:val="en-US" w:eastAsia="zh-CN"/>
              </w:rPr>
              <w:t>地磅及地磅房</w:t>
            </w:r>
          </w:p>
        </w:tc>
      </w:tr>
    </w:tbl>
    <w:p w14:paraId="4343B19D">
      <w:pPr>
        <w:pStyle w:val="4"/>
        <w:bidi w:val="0"/>
        <w:rPr>
          <w:rFonts w:hint="eastAsia"/>
        </w:rPr>
      </w:pPr>
      <w:bookmarkStart w:id="93" w:name="_Toc9962"/>
      <w:r>
        <w:rPr>
          <w:rFonts w:hint="eastAsia"/>
        </w:rPr>
        <w:t>建设规模及工作制度</w:t>
      </w:r>
      <w:bookmarkEnd w:id="93"/>
    </w:p>
    <w:p w14:paraId="1D6FB057">
      <w:pPr>
        <w:pStyle w:val="5"/>
        <w:bidi w:val="0"/>
        <w:rPr>
          <w:rFonts w:hint="eastAsia"/>
        </w:rPr>
      </w:pPr>
      <w:r>
        <w:t>地质储量及范围</w:t>
      </w:r>
      <w:r>
        <w:rPr>
          <w:rFonts w:hint="eastAsia"/>
        </w:rPr>
        <w:t xml:space="preserve"> </w:t>
      </w:r>
    </w:p>
    <w:p w14:paraId="77A56330">
      <w:pPr>
        <w:bidi w:val="0"/>
        <w:rPr>
          <w:rFonts w:hint="eastAsia" w:ascii="宋体" w:hAnsi="宋体" w:eastAsia="宋体" w:cs="宋体"/>
          <w:lang w:val="en-US" w:eastAsia="zh-CN"/>
        </w:rPr>
      </w:pPr>
      <w:r>
        <w:rPr>
          <w:rFonts w:hint="eastAsia" w:ascii="宋体" w:hAnsi="宋体" w:eastAsia="宋体" w:cs="宋体"/>
        </w:rPr>
        <w:t>依据楚雄州自然资源和规划局关于《云南省元谋县物茂乡大物茂砂厂建筑用砂矿产资源储量核实报告》备案的函（楚自然资储量函[2019]11号），截止2019年4月20日，矿区范围内查明资源储量为</w:t>
      </w:r>
      <w:r>
        <w:rPr>
          <w:rFonts w:hint="eastAsia" w:ascii="宋体" w:hAnsi="宋体" w:eastAsia="宋体" w:cs="宋体"/>
          <w:lang w:val="en-US" w:eastAsia="zh-CN"/>
        </w:rPr>
        <w:t>162.37</w:t>
      </w:r>
      <w:r>
        <w:rPr>
          <w:rFonts w:hint="eastAsia" w:ascii="宋体" w:hAnsi="宋体" w:eastAsia="宋体" w:cs="宋体"/>
        </w:rPr>
        <w:t>万m</w:t>
      </w:r>
      <w:r>
        <w:rPr>
          <w:rFonts w:hint="eastAsia" w:ascii="宋体" w:hAnsi="宋体" w:eastAsia="宋体" w:cs="宋体"/>
          <w:lang w:val="en-US" w:eastAsia="zh-CN"/>
        </w:rPr>
        <w:t>³</w:t>
      </w:r>
      <w:r>
        <w:rPr>
          <w:rFonts w:hint="eastAsia" w:ascii="宋体" w:hAnsi="宋体" w:eastAsia="宋体" w:cs="宋体"/>
        </w:rPr>
        <w:t>（</w:t>
      </w:r>
      <w:r>
        <w:rPr>
          <w:rFonts w:hint="eastAsia" w:ascii="宋体" w:hAnsi="宋体" w:eastAsia="宋体" w:cs="宋体"/>
          <w:lang w:val="en-US" w:eastAsia="zh-CN"/>
        </w:rPr>
        <w:t>340.97</w:t>
      </w:r>
      <w:r>
        <w:rPr>
          <w:rFonts w:hint="eastAsia" w:ascii="宋体" w:hAnsi="宋体" w:eastAsia="宋体" w:cs="宋体"/>
        </w:rPr>
        <w:t>万t）</w:t>
      </w:r>
      <w:r>
        <w:rPr>
          <w:rFonts w:hint="eastAsia" w:ascii="宋体" w:hAnsi="宋体" w:eastAsia="宋体" w:cs="宋体"/>
          <w:lang w:eastAsia="zh-CN"/>
        </w:rPr>
        <w:t>，</w:t>
      </w:r>
      <w:r>
        <w:rPr>
          <w:rFonts w:hint="eastAsia" w:ascii="宋体" w:hAnsi="宋体" w:eastAsia="宋体" w:cs="宋体"/>
          <w:lang w:val="en-US" w:eastAsia="zh-CN"/>
        </w:rPr>
        <w:t>动用资源储量为18.64万m³（39.14万t），保有矿量为143.73万m³（301.83万t）</w:t>
      </w:r>
      <w:r>
        <w:rPr>
          <w:rFonts w:hint="eastAsia" w:ascii="宋体" w:hAnsi="宋体" w:eastAsia="宋体" w:cs="宋体"/>
          <w:lang w:eastAsia="zh-CN"/>
        </w:rPr>
        <w:t>。</w:t>
      </w:r>
      <w:r>
        <w:rPr>
          <w:rFonts w:hint="eastAsia" w:ascii="宋体" w:hAnsi="宋体" w:eastAsia="宋体" w:cs="宋体"/>
          <w:lang w:val="en-US" w:eastAsia="zh-CN"/>
        </w:rPr>
        <w:t>企业于2024年9月30日根据矿山现状重新编制了</w:t>
      </w:r>
      <w:r>
        <w:rPr>
          <w:rFonts w:hint="eastAsia" w:ascii="宋体" w:hAnsi="宋体" w:eastAsia="宋体" w:cs="宋体"/>
          <w:lang w:eastAsia="zh-CN"/>
        </w:rPr>
        <w:t>《</w:t>
      </w:r>
      <w:r>
        <w:rPr>
          <w:rFonts w:hint="eastAsia" w:ascii="宋体" w:hAnsi="宋体" w:eastAsia="宋体" w:cs="宋体"/>
        </w:rPr>
        <w:t>云南省元谋县大物茂砂厂建筑用砂矿资源储量核实报告（2024年）</w:t>
      </w:r>
      <w:r>
        <w:rPr>
          <w:rFonts w:hint="eastAsia" w:ascii="宋体" w:hAnsi="宋体" w:eastAsia="宋体" w:cs="宋体"/>
          <w:lang w:eastAsia="zh-CN"/>
        </w:rPr>
        <w:t>》，</w:t>
      </w:r>
      <w:r>
        <w:rPr>
          <w:rFonts w:hint="eastAsia" w:ascii="宋体" w:hAnsi="宋体" w:eastAsia="宋体" w:cs="宋体"/>
          <w:lang w:val="en-US" w:eastAsia="zh-CN"/>
        </w:rPr>
        <w:t>且重新核算了矿山资源储量，最终查明资源储量为165.57万m³(347.69万t)，动用资源储量为18.64万m³（39.14万t），保有矿量为146.93万m³（308.55万t）。本次是设计采用</w:t>
      </w:r>
      <w:r>
        <w:rPr>
          <w:rFonts w:hint="eastAsia" w:ascii="宋体" w:hAnsi="宋体" w:eastAsia="宋体" w:cs="宋体"/>
          <w:lang w:eastAsia="zh-CN"/>
        </w:rPr>
        <w:t>《</w:t>
      </w:r>
      <w:r>
        <w:rPr>
          <w:rFonts w:hint="eastAsia" w:ascii="宋体" w:hAnsi="宋体" w:eastAsia="宋体" w:cs="宋体"/>
        </w:rPr>
        <w:t>云南省元谋县大物茂砂厂建筑用砂矿资源储量核实报告（2024年）</w:t>
      </w:r>
      <w:r>
        <w:rPr>
          <w:rFonts w:hint="eastAsia" w:ascii="宋体" w:hAnsi="宋体" w:eastAsia="宋体" w:cs="宋体"/>
          <w:lang w:eastAsia="zh-CN"/>
        </w:rPr>
        <w:t>》</w:t>
      </w:r>
      <w:r>
        <w:rPr>
          <w:rFonts w:hint="eastAsia" w:ascii="宋体" w:hAnsi="宋体" w:eastAsia="宋体" w:cs="宋体"/>
          <w:lang w:val="en-US" w:eastAsia="zh-CN"/>
        </w:rPr>
        <w:t>作为核算依据，即保有资源储量146.93万m³（308.55万t）</w:t>
      </w:r>
      <w:r>
        <w:rPr>
          <w:rFonts w:hint="eastAsia" w:ascii="宋体" w:hAnsi="宋体" w:eastAsia="宋体" w:cs="宋体"/>
          <w:lang w:eastAsia="zh-CN"/>
        </w:rPr>
        <w:t>。</w:t>
      </w:r>
    </w:p>
    <w:p w14:paraId="1A9EC76B">
      <w:pPr>
        <w:pStyle w:val="5"/>
        <w:bidi w:val="0"/>
        <w:rPr>
          <w:rFonts w:hint="eastAsia"/>
        </w:rPr>
      </w:pPr>
      <w:r>
        <w:t>设计可采储量</w:t>
      </w:r>
    </w:p>
    <w:p w14:paraId="0F63B89F">
      <w:pPr>
        <w:bidi w:val="0"/>
        <w:rPr>
          <w:rFonts w:hint="eastAsia" w:ascii="宋体" w:hAnsi="宋体" w:eastAsia="宋体" w:cs="宋体"/>
        </w:rPr>
      </w:pPr>
      <w:r>
        <w:rPr>
          <w:rFonts w:hint="eastAsia" w:ascii="宋体" w:hAnsi="宋体" w:eastAsia="宋体" w:cs="宋体"/>
        </w:rPr>
        <w:t>本次设计开采范围为1113m～1050m（采高63m），面积33776.14㎡。可设计开采境界内总资源储量为11</w:t>
      </w:r>
      <w:r>
        <w:rPr>
          <w:rFonts w:hint="eastAsia" w:ascii="宋体" w:hAnsi="宋体" w:eastAsia="宋体" w:cs="宋体"/>
          <w:lang w:val="en-US" w:eastAsia="zh-CN"/>
        </w:rPr>
        <w:t>2.34</w:t>
      </w:r>
      <w:r>
        <w:rPr>
          <w:rFonts w:hint="eastAsia" w:ascii="宋体" w:hAnsi="宋体" w:eastAsia="宋体" w:cs="宋体"/>
        </w:rPr>
        <w:t>万㎡(</w:t>
      </w:r>
      <w:r>
        <w:rPr>
          <w:rFonts w:hint="eastAsia" w:ascii="宋体" w:hAnsi="宋体" w:eastAsia="宋体" w:cs="宋体"/>
          <w:lang w:val="en-US" w:eastAsia="zh-CN"/>
        </w:rPr>
        <w:t>235.91</w:t>
      </w:r>
      <w:r>
        <w:rPr>
          <w:rFonts w:hint="eastAsia" w:ascii="宋体" w:hAnsi="宋体" w:eastAsia="宋体" w:cs="宋体"/>
        </w:rPr>
        <w:t>万t),其中，设计</w:t>
      </w:r>
      <w:r>
        <w:rPr>
          <w:rFonts w:hint="eastAsia" w:ascii="宋体" w:hAnsi="宋体" w:eastAsia="宋体" w:cs="宋体"/>
          <w:lang w:val="en-US" w:eastAsia="zh-CN"/>
        </w:rPr>
        <w:t>开采</w:t>
      </w:r>
      <w:r>
        <w:rPr>
          <w:rFonts w:hint="eastAsia" w:ascii="宋体" w:hAnsi="宋体" w:eastAsia="宋体" w:cs="宋体"/>
        </w:rPr>
        <w:t>资源储量</w:t>
      </w:r>
      <w:r>
        <w:rPr>
          <w:rFonts w:hint="eastAsia" w:ascii="宋体" w:hAnsi="宋体" w:eastAsia="宋体" w:cs="宋体"/>
          <w:lang w:val="en-US" w:eastAsia="zh-CN"/>
        </w:rPr>
        <w:t>70.34</w:t>
      </w:r>
      <w:r>
        <w:rPr>
          <w:rFonts w:hint="eastAsia" w:ascii="宋体" w:hAnsi="宋体" w:eastAsia="宋体" w:cs="宋体"/>
        </w:rPr>
        <w:t>万m³（</w:t>
      </w:r>
      <w:r>
        <w:rPr>
          <w:rFonts w:hint="eastAsia" w:ascii="宋体" w:hAnsi="宋体" w:eastAsia="宋体" w:cs="宋体"/>
          <w:lang w:val="en-US" w:eastAsia="zh-CN"/>
        </w:rPr>
        <w:t>147.73</w:t>
      </w:r>
      <w:r>
        <w:rPr>
          <w:rFonts w:hint="eastAsia" w:ascii="宋体" w:hAnsi="宋体" w:eastAsia="宋体" w:cs="宋体"/>
        </w:rPr>
        <w:t>万吨）；受矿山矿区范围的限制，导致部分资源受台阶压覆，无法回采，经估算可设计开采境界内压覆资源量41.99万m³(88.18万t)；设计资源利用系数（根据《矿业权评估指南》：无需做更多地质工作即可供开发利用的地表出露矿产（如建筑材料类矿产），估算的资源量全部参与评估计算（不做可信度系数调整）</w:t>
      </w:r>
      <w:r>
        <w:rPr>
          <w:rFonts w:hint="eastAsia" w:ascii="宋体" w:hAnsi="宋体" w:eastAsia="宋体" w:cs="宋体"/>
          <w:lang w:eastAsia="zh-CN"/>
        </w:rPr>
        <w:t>，</w:t>
      </w:r>
      <w:r>
        <w:rPr>
          <w:rFonts w:hint="eastAsia" w:ascii="宋体" w:hAnsi="宋体" w:eastAsia="宋体" w:cs="宋体"/>
          <w:lang w:val="en-US" w:eastAsia="zh-CN"/>
        </w:rPr>
        <w:t>本次设计沿用开发利用方案</w:t>
      </w:r>
      <w:r>
        <w:rPr>
          <w:rFonts w:hint="eastAsia" w:ascii="宋体" w:hAnsi="宋体" w:eastAsia="宋体" w:cs="宋体"/>
        </w:rPr>
        <w:t>333类取1），设计利用资源量</w:t>
      </w:r>
      <w:r>
        <w:rPr>
          <w:rFonts w:hint="eastAsia" w:ascii="宋体" w:hAnsi="宋体" w:eastAsia="宋体" w:cs="宋体"/>
          <w:lang w:val="en-US" w:eastAsia="zh-CN"/>
        </w:rPr>
        <w:t>70.34</w:t>
      </w:r>
      <w:r>
        <w:rPr>
          <w:rFonts w:hint="eastAsia" w:ascii="宋体" w:hAnsi="宋体" w:eastAsia="宋体" w:cs="宋体"/>
        </w:rPr>
        <w:t>万m³（</w:t>
      </w:r>
      <w:r>
        <w:rPr>
          <w:rFonts w:hint="eastAsia" w:ascii="宋体" w:hAnsi="宋体" w:eastAsia="宋体" w:cs="宋体"/>
          <w:lang w:val="en-US" w:eastAsia="zh-CN"/>
        </w:rPr>
        <w:t>147.73</w:t>
      </w:r>
      <w:r>
        <w:rPr>
          <w:rFonts w:hint="eastAsia" w:ascii="宋体" w:hAnsi="宋体" w:eastAsia="宋体" w:cs="宋体"/>
        </w:rPr>
        <w:t>万t）；设计损失率取5%，设计可采资源量</w:t>
      </w:r>
      <w:r>
        <w:rPr>
          <w:rFonts w:hint="eastAsia" w:ascii="宋体" w:hAnsi="宋体" w:eastAsia="宋体" w:cs="宋体"/>
          <w:lang w:val="en-US" w:eastAsia="zh-CN"/>
        </w:rPr>
        <w:t>66.83</w:t>
      </w:r>
      <w:r>
        <w:rPr>
          <w:rFonts w:hint="eastAsia" w:ascii="宋体" w:hAnsi="宋体" w:eastAsia="宋体" w:cs="宋体"/>
        </w:rPr>
        <w:t>万m³（</w:t>
      </w:r>
      <w:r>
        <w:rPr>
          <w:rFonts w:hint="eastAsia" w:ascii="宋体" w:hAnsi="宋体" w:eastAsia="宋体" w:cs="宋体"/>
          <w:lang w:val="en-US" w:eastAsia="zh-CN"/>
        </w:rPr>
        <w:t>140.35</w:t>
      </w:r>
      <w:r>
        <w:rPr>
          <w:rFonts w:hint="eastAsia" w:ascii="宋体" w:hAnsi="宋体" w:eastAsia="宋体" w:cs="宋体"/>
        </w:rPr>
        <w:t>万t）；贫化率0%，设计采出矿石量</w:t>
      </w:r>
      <w:r>
        <w:rPr>
          <w:rFonts w:hint="eastAsia" w:ascii="宋体" w:hAnsi="宋体" w:eastAsia="宋体" w:cs="宋体"/>
          <w:lang w:val="en-US" w:eastAsia="zh-CN"/>
        </w:rPr>
        <w:t>66.83</w:t>
      </w:r>
      <w:r>
        <w:rPr>
          <w:rFonts w:hint="eastAsia" w:ascii="宋体" w:hAnsi="宋体" w:eastAsia="宋体" w:cs="宋体"/>
        </w:rPr>
        <w:t>万m³（</w:t>
      </w:r>
      <w:r>
        <w:rPr>
          <w:rFonts w:hint="eastAsia" w:ascii="宋体" w:hAnsi="宋体" w:eastAsia="宋体" w:cs="宋体"/>
          <w:lang w:val="en-US" w:eastAsia="zh-CN"/>
        </w:rPr>
        <w:t>140.35</w:t>
      </w:r>
      <w:r>
        <w:rPr>
          <w:rFonts w:hint="eastAsia" w:ascii="宋体" w:hAnsi="宋体" w:eastAsia="宋体" w:cs="宋体"/>
        </w:rPr>
        <w:t>万t）。</w:t>
      </w:r>
    </w:p>
    <w:p w14:paraId="32528DCE">
      <w:pPr>
        <w:pStyle w:val="5"/>
        <w:bidi w:val="0"/>
        <w:rPr>
          <w:rFonts w:hint="eastAsia"/>
        </w:rPr>
      </w:pPr>
      <w:r>
        <w:t>矿山生产规模</w:t>
      </w:r>
    </w:p>
    <w:p w14:paraId="34339B0C">
      <w:pPr>
        <w:bidi w:val="0"/>
        <w:rPr>
          <w:rFonts w:hint="eastAsia" w:ascii="宋体" w:hAnsi="宋体" w:eastAsia="宋体" w:cs="宋体"/>
        </w:rPr>
      </w:pPr>
      <w:r>
        <w:rPr>
          <w:rFonts w:hint="eastAsia" w:ascii="宋体" w:hAnsi="宋体" w:eastAsia="宋体" w:cs="宋体"/>
        </w:rPr>
        <w:t>设计生产规模按</w:t>
      </w:r>
      <w:r>
        <w:rPr>
          <w:rFonts w:hint="eastAsia" w:ascii="宋体" w:hAnsi="宋体" w:eastAsia="宋体" w:cs="宋体"/>
          <w:lang w:eastAsia="zh-CN"/>
        </w:rPr>
        <w:t>元谋</w:t>
      </w:r>
      <w:r>
        <w:rPr>
          <w:rFonts w:hint="eastAsia" w:ascii="宋体" w:hAnsi="宋体" w:eastAsia="宋体" w:cs="宋体"/>
        </w:rPr>
        <w:t>县自然资源局所发采矿许可证允许生产规模计：10.0万t/a。</w:t>
      </w:r>
    </w:p>
    <w:p w14:paraId="20E9FB8B">
      <w:pPr>
        <w:pStyle w:val="5"/>
        <w:bidi w:val="0"/>
        <w:rPr>
          <w:rFonts w:hint="eastAsia"/>
        </w:rPr>
      </w:pPr>
      <w:bookmarkStart w:id="94" w:name="_Toc28503"/>
      <w:r>
        <w:rPr>
          <w:rFonts w:hint="eastAsia"/>
        </w:rPr>
        <w:t>服务年限</w:t>
      </w:r>
      <w:bookmarkEnd w:id="94"/>
    </w:p>
    <w:p w14:paraId="5D6F2FDD">
      <w:pPr>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本次设计按生产规模10.00万t/a的生产规模考虑，本次设计采出矿石量66.83万m³（140.35万t），基建期0.</w:t>
      </w:r>
      <w:r>
        <w:rPr>
          <w:rFonts w:hint="eastAsia"/>
          <w:lang w:val="en-US" w:eastAsia="zh-CN"/>
        </w:rPr>
        <w:t>5</w:t>
      </w:r>
      <w:r>
        <w:rPr>
          <w:rFonts w:hint="eastAsia"/>
        </w:rPr>
        <w:t>年，矿山总服务年限确定为</w:t>
      </w:r>
      <w:r>
        <w:rPr>
          <w:rFonts w:hint="eastAsia"/>
          <w:lang w:val="en-US" w:eastAsia="zh-CN"/>
        </w:rPr>
        <w:t>14</w:t>
      </w:r>
      <w:r>
        <w:rPr>
          <w:rFonts w:hint="eastAsia"/>
        </w:rPr>
        <w:t>年。</w:t>
      </w:r>
    </w:p>
    <w:p w14:paraId="0C52E844">
      <w:pPr>
        <w:pStyle w:val="5"/>
        <w:bidi w:val="0"/>
        <w:rPr>
          <w:rFonts w:hint="eastAsia"/>
        </w:rPr>
      </w:pPr>
      <w:r>
        <w:rPr>
          <w:rFonts w:hint="eastAsia"/>
        </w:rPr>
        <w:t>工作制度</w:t>
      </w:r>
    </w:p>
    <w:p w14:paraId="39E3183A">
      <w:pPr>
        <w:bidi w:val="0"/>
        <w:rPr>
          <w:rFonts w:hint="eastAsia" w:ascii="宋体" w:hAnsi="宋体" w:eastAsia="宋体" w:cs="宋体"/>
          <w:lang w:val="en-US" w:eastAsia="zh-CN"/>
        </w:rPr>
      </w:pPr>
      <w:r>
        <w:rPr>
          <w:rFonts w:hint="eastAsia" w:ascii="宋体" w:hAnsi="宋体" w:eastAsia="宋体" w:cs="宋体"/>
        </w:rPr>
        <w:t>矿山年工作日300天，每天1班，每班8小时</w:t>
      </w:r>
      <w:r>
        <w:rPr>
          <w:rFonts w:hint="eastAsia" w:ascii="宋体" w:hAnsi="宋体" w:eastAsia="宋体" w:cs="宋体"/>
          <w:lang w:eastAsia="zh-CN"/>
        </w:rPr>
        <w:t>。</w:t>
      </w:r>
    </w:p>
    <w:p w14:paraId="0B5D8DC1">
      <w:pPr>
        <w:pStyle w:val="4"/>
        <w:bidi w:val="0"/>
        <w:rPr>
          <w:rFonts w:hint="eastAsia"/>
        </w:rPr>
      </w:pPr>
      <w:bookmarkStart w:id="95" w:name="_Toc24529"/>
      <w:r>
        <w:rPr>
          <w:rFonts w:hint="eastAsia"/>
        </w:rPr>
        <w:t>总图运输</w:t>
      </w:r>
      <w:bookmarkEnd w:id="95"/>
    </w:p>
    <w:p w14:paraId="0057CC02">
      <w:pPr>
        <w:pStyle w:val="5"/>
        <w:bidi w:val="0"/>
        <w:rPr>
          <w:rFonts w:hint="eastAsia"/>
          <w:lang w:val="en-US" w:eastAsia="zh-CN"/>
        </w:rPr>
      </w:pPr>
      <w:r>
        <w:rPr>
          <w:rFonts w:hint="eastAsia"/>
        </w:rPr>
        <w:t>总</w:t>
      </w:r>
      <w:r>
        <w:rPr>
          <w:rFonts w:hint="eastAsia"/>
          <w:lang w:val="en-US" w:eastAsia="zh-CN"/>
        </w:rPr>
        <w:t>平面</w:t>
      </w:r>
      <w:r>
        <w:rPr>
          <w:rFonts w:hint="eastAsia"/>
        </w:rPr>
        <w:t>布置</w:t>
      </w:r>
    </w:p>
    <w:p w14:paraId="489E502F">
      <w:pPr>
        <w:bidi w:val="0"/>
        <w:rPr>
          <w:rFonts w:hint="eastAsia" w:ascii="宋体" w:hAnsi="宋体" w:eastAsia="宋体" w:cs="宋体"/>
          <w:lang w:val="en-US" w:eastAsia="zh-CN"/>
        </w:rPr>
      </w:pPr>
      <w:r>
        <w:rPr>
          <w:rFonts w:hint="eastAsia" w:ascii="宋体" w:hAnsi="宋体" w:eastAsia="宋体" w:cs="宋体"/>
        </w:rPr>
        <w:t>该矿山为</w:t>
      </w:r>
      <w:r>
        <w:rPr>
          <w:rFonts w:hint="eastAsia" w:ascii="宋体" w:hAnsi="宋体" w:eastAsia="宋体" w:cs="宋体"/>
          <w:lang w:eastAsia="zh-CN"/>
        </w:rPr>
        <w:t>改扩建</w:t>
      </w:r>
      <w:r>
        <w:rPr>
          <w:rFonts w:hint="eastAsia" w:ascii="宋体" w:hAnsi="宋体" w:eastAsia="宋体" w:cs="宋体"/>
        </w:rPr>
        <w:t>矿山，生产普通建筑材料用砂矿，于2021年10月30日取得</w:t>
      </w:r>
      <w:r>
        <w:rPr>
          <w:rFonts w:hint="eastAsia" w:ascii="宋体" w:hAnsi="宋体" w:eastAsia="宋体" w:cs="宋体"/>
          <w:lang w:eastAsia="zh-CN"/>
        </w:rPr>
        <w:t>新</w:t>
      </w:r>
      <w:r>
        <w:rPr>
          <w:rFonts w:hint="eastAsia" w:ascii="宋体" w:hAnsi="宋体" w:eastAsia="宋体" w:cs="宋体"/>
        </w:rPr>
        <w:t>采矿许可证。在此期间矿山一直处在正常生产状态，矿山的办公生活区</w:t>
      </w:r>
      <w:r>
        <w:rPr>
          <w:rFonts w:hint="eastAsia" w:ascii="宋体" w:hAnsi="宋体" w:eastAsia="宋体" w:cs="宋体"/>
          <w:lang w:eastAsia="zh-CN"/>
        </w:rPr>
        <w:t>有一部分位于矿界外，</w:t>
      </w:r>
      <w:r>
        <w:rPr>
          <w:rFonts w:hint="eastAsia" w:ascii="宋体" w:hAnsi="宋体" w:eastAsia="宋体" w:cs="宋体"/>
        </w:rPr>
        <w:t>破碎洗沙系统、工业场地等均位于矿界</w:t>
      </w:r>
      <w:r>
        <w:rPr>
          <w:rFonts w:hint="eastAsia" w:ascii="宋体" w:hAnsi="宋体" w:eastAsia="宋体" w:cs="宋体"/>
          <w:lang w:eastAsia="zh-CN"/>
        </w:rPr>
        <w:t>内</w:t>
      </w:r>
      <w:r>
        <w:rPr>
          <w:rFonts w:hint="eastAsia" w:ascii="宋体" w:hAnsi="宋体" w:eastAsia="宋体" w:cs="宋体"/>
        </w:rPr>
        <w:t>，已修筑完成并正常使用；供电由附近村庄引入</w:t>
      </w:r>
      <w:r>
        <w:rPr>
          <w:rFonts w:hint="eastAsia" w:ascii="宋体" w:hAnsi="宋体" w:eastAsia="宋体" w:cs="宋体"/>
          <w:lang w:eastAsia="zh-CN"/>
        </w:rPr>
        <w:t>，配备</w:t>
      </w:r>
      <w:r>
        <w:rPr>
          <w:rFonts w:hint="eastAsia" w:ascii="宋体" w:hAnsi="宋体" w:eastAsia="宋体" w:cs="宋体"/>
        </w:rPr>
        <w:t>两台变压器</w:t>
      </w:r>
      <w:r>
        <w:rPr>
          <w:rFonts w:hint="eastAsia" w:ascii="宋体" w:hAnsi="宋体" w:eastAsia="宋体" w:cs="宋体"/>
          <w:lang w:eastAsia="zh-CN"/>
        </w:rPr>
        <w:t>，一台</w:t>
      </w:r>
      <w:r>
        <w:rPr>
          <w:rFonts w:hint="eastAsia" w:ascii="宋体" w:hAnsi="宋体" w:eastAsia="宋体" w:cs="宋体"/>
          <w:lang w:val="en-US" w:eastAsia="zh-CN"/>
        </w:rPr>
        <w:t>500KVA变压器（生产用）</w:t>
      </w:r>
      <w:r>
        <w:rPr>
          <w:rFonts w:hint="eastAsia" w:ascii="宋体" w:hAnsi="宋体" w:eastAsia="宋体" w:cs="宋体"/>
        </w:rPr>
        <w:t>位于</w:t>
      </w:r>
      <w:r>
        <w:rPr>
          <w:rFonts w:hint="eastAsia" w:ascii="宋体" w:hAnsi="宋体" w:eastAsia="宋体" w:cs="宋体"/>
          <w:lang w:eastAsia="zh-CN"/>
        </w:rPr>
        <w:t>破碎站配电室</w:t>
      </w:r>
      <w:r>
        <w:rPr>
          <w:rFonts w:hint="eastAsia" w:ascii="宋体" w:hAnsi="宋体" w:eastAsia="宋体" w:cs="宋体"/>
        </w:rPr>
        <w:t>旁</w:t>
      </w:r>
      <w:r>
        <w:rPr>
          <w:rFonts w:hint="eastAsia" w:ascii="宋体" w:hAnsi="宋体" w:eastAsia="宋体" w:cs="宋体"/>
          <w:lang w:eastAsia="zh-CN"/>
        </w:rPr>
        <w:t>，一台</w:t>
      </w:r>
      <w:r>
        <w:rPr>
          <w:rFonts w:hint="eastAsia" w:ascii="宋体" w:hAnsi="宋体" w:eastAsia="宋体" w:cs="宋体"/>
          <w:lang w:val="en-US" w:eastAsia="zh-CN"/>
        </w:rPr>
        <w:t>250KVA（生活用）位于生活办公区旁</w:t>
      </w:r>
      <w:r>
        <w:rPr>
          <w:rFonts w:hint="eastAsia" w:ascii="宋体" w:hAnsi="宋体" w:eastAsia="宋体" w:cs="宋体"/>
        </w:rPr>
        <w:t>；矿山生产用水量不大，生产用水水源来自矿山蓄水池，生活用水水源来自附近村庄自来水。</w:t>
      </w:r>
      <w:r>
        <w:rPr>
          <w:rFonts w:hint="eastAsia" w:ascii="宋体" w:hAnsi="宋体" w:eastAsia="宋体" w:cs="宋体"/>
          <w:color w:val="000000" w:themeColor="text1"/>
          <w:sz w:val="28"/>
          <w14:textFill>
            <w14:solidFill>
              <w14:schemeClr w14:val="tx1"/>
            </w14:solidFill>
          </w14:textFill>
        </w:rPr>
        <w:t>详见附图（总平面布置图）。</w:t>
      </w:r>
    </w:p>
    <w:p w14:paraId="17E311EC">
      <w:pPr>
        <w:pStyle w:val="5"/>
        <w:bidi w:val="0"/>
        <w:rPr>
          <w:rFonts w:hint="eastAsia"/>
          <w:lang w:val="en-US" w:eastAsia="zh-CN"/>
        </w:rPr>
      </w:pPr>
      <w:r>
        <w:t>内</w:t>
      </w:r>
      <w:r>
        <w:rPr>
          <w:rFonts w:hint="eastAsia"/>
          <w:lang w:eastAsia="zh-CN"/>
        </w:rPr>
        <w:t>、</w:t>
      </w:r>
      <w:r>
        <w:t>外部运输</w:t>
      </w:r>
    </w:p>
    <w:p w14:paraId="03577D36">
      <w:pPr>
        <w:spacing w:line="500" w:lineRule="exact"/>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内部运输：内部运输主要是生产辅助材料及采场采出砂石的运输，生产辅助材料采用相应的车辆运输，采出的砂石采用</w:t>
      </w:r>
      <w:r>
        <w:rPr>
          <w:rFonts w:hint="eastAsia" w:ascii="宋体" w:hAnsi="宋体" w:cs="宋体"/>
          <w:color w:val="000000" w:themeColor="text1"/>
          <w:sz w:val="28"/>
          <w:szCs w:val="28"/>
          <w:lang w:eastAsia="zh-CN"/>
          <w14:textFill>
            <w14:solidFill>
              <w14:schemeClr w14:val="tx1"/>
            </w14:solidFill>
          </w14:textFill>
        </w:rPr>
        <w:t>矿用自卸汽车</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25</w:t>
      </w:r>
      <w:r>
        <w:rPr>
          <w:rFonts w:hint="eastAsia" w:ascii="宋体" w:hAnsi="宋体" w:eastAsia="宋体" w:cs="宋体"/>
          <w:color w:val="000000" w:themeColor="text1"/>
          <w:sz w:val="28"/>
          <w:szCs w:val="28"/>
          <w14:textFill>
            <w14:solidFill>
              <w14:schemeClr w14:val="tx1"/>
            </w14:solidFill>
          </w14:textFill>
        </w:rPr>
        <w:t>t）</w:t>
      </w:r>
      <w:r>
        <w:rPr>
          <w:rFonts w:hint="eastAsia" w:ascii="宋体" w:hAnsi="宋体" w:eastAsia="宋体" w:cs="宋体"/>
          <w:color w:val="000000" w:themeColor="text1"/>
          <w:sz w:val="28"/>
          <w:szCs w:val="28"/>
          <w:lang w:val="en-US" w:eastAsia="zh-CN"/>
          <w14:textFill>
            <w14:solidFill>
              <w14:schemeClr w14:val="tx1"/>
            </w14:solidFill>
          </w14:textFill>
        </w:rPr>
        <w:t>运输</w:t>
      </w:r>
      <w:r>
        <w:rPr>
          <w:rFonts w:hint="eastAsia" w:ascii="宋体" w:hAnsi="宋体" w:eastAsia="宋体" w:cs="宋体"/>
          <w:color w:val="000000" w:themeColor="text1"/>
          <w:sz w:val="28"/>
          <w:szCs w:val="28"/>
          <w14:textFill>
            <w14:solidFill>
              <w14:schemeClr w14:val="tx1"/>
            </w14:solidFill>
          </w14:textFill>
        </w:rPr>
        <w:t>。</w:t>
      </w:r>
    </w:p>
    <w:p w14:paraId="5BF7A5AF">
      <w:pPr>
        <w:bidi w:val="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外部运输：外部运输主要是砂石成品的运出及生产、生活物资的运入。成品运出由购买方自行运输，生产材料和生活物资的外部运输可外委或自有生活汽车运输。</w:t>
      </w:r>
    </w:p>
    <w:p w14:paraId="35DC6B51">
      <w:pPr>
        <w:pStyle w:val="4"/>
        <w:bidi w:val="0"/>
        <w:rPr>
          <w:rFonts w:hint="eastAsia"/>
        </w:rPr>
      </w:pPr>
      <w:bookmarkStart w:id="96" w:name="_Toc26131"/>
      <w:r>
        <w:rPr>
          <w:rFonts w:hint="eastAsia"/>
        </w:rPr>
        <w:t>开采范围</w:t>
      </w:r>
      <w:bookmarkEnd w:id="96"/>
    </w:p>
    <w:p w14:paraId="70D882FE">
      <w:pPr>
        <w:pStyle w:val="5"/>
        <w:bidi w:val="0"/>
      </w:pPr>
      <w:r>
        <w:t>开采对象</w:t>
      </w:r>
    </w:p>
    <w:p w14:paraId="65513867">
      <w:pPr>
        <w:keepNext w:val="0"/>
        <w:keepLines w:val="0"/>
        <w:widowControl/>
        <w:suppressLineNumbers w:val="0"/>
        <w:jc w:val="left"/>
        <w:rPr>
          <w:rFonts w:hint="eastAsia" w:ascii="宋体" w:hAnsi="宋体" w:eastAsia="宋体" w:cs="宋体"/>
          <w:color w:val="FF0000"/>
          <w:lang w:eastAsia="zh-CN"/>
        </w:rPr>
      </w:pPr>
      <w:r>
        <w:rPr>
          <w:rFonts w:hint="eastAsia" w:asciiTheme="minorEastAsia" w:hAnsiTheme="minorEastAsia" w:cstheme="minorEastAsia"/>
          <w:color w:val="000000" w:themeColor="text1"/>
          <w:kern w:val="0"/>
          <w:sz w:val="28"/>
          <w:szCs w:val="28"/>
          <w14:textFill>
            <w14:solidFill>
              <w14:schemeClr w14:val="tx1"/>
            </w14:solidFill>
          </w14:textFill>
        </w:rPr>
        <w:t>开采对象为矿区范围内的</w:t>
      </w:r>
      <w:r>
        <w:rPr>
          <w:rFonts w:hint="eastAsia" w:ascii="宋体" w:hAnsi="宋体" w:eastAsia="宋体" w:cs="宋体"/>
        </w:rPr>
        <w:t>建筑用砂矿</w:t>
      </w:r>
      <w:r>
        <w:rPr>
          <w:rFonts w:hint="eastAsia" w:ascii="宋体" w:hAnsi="宋体" w:eastAsia="宋体" w:cs="宋体"/>
          <w:lang w:eastAsia="zh-CN"/>
        </w:rPr>
        <w:t>。</w:t>
      </w:r>
    </w:p>
    <w:p w14:paraId="538626CC">
      <w:pPr>
        <w:pStyle w:val="5"/>
        <w:bidi w:val="0"/>
        <w:rPr>
          <w:rFonts w:hint="eastAsia"/>
          <w:lang w:val="en-US" w:eastAsia="zh-CN"/>
        </w:rPr>
      </w:pPr>
      <w:r>
        <w:rPr>
          <w:rFonts w:hint="eastAsia"/>
          <w:lang w:val="en-US" w:eastAsia="zh-CN"/>
        </w:rPr>
        <w:t>开采范围</w:t>
      </w:r>
    </w:p>
    <w:p w14:paraId="4D4040D0">
      <w:pPr>
        <w:numPr>
          <w:ilvl w:val="0"/>
          <w:numId w:val="20"/>
        </w:numPr>
        <w:bidi w:val="0"/>
        <w:rPr>
          <w:rFonts w:hint="eastAsia"/>
        </w:rPr>
      </w:pPr>
      <w:r>
        <w:rPr>
          <w:rFonts w:hint="eastAsia" w:ascii="宋体" w:hAnsi="宋体" w:cs="宋体"/>
          <w:color w:val="auto"/>
          <w:sz w:val="28"/>
        </w:rPr>
        <w:t>矿山设计开采范围为元谋县自然资源局划定的采矿权范围，</w:t>
      </w:r>
      <w:r>
        <w:rPr>
          <w:rFonts w:hint="eastAsia" w:ascii="宋体" w:hAnsi="宋体" w:cs="宋体"/>
          <w:color w:val="auto"/>
          <w:sz w:val="28"/>
          <w:lang w:eastAsia="zh-CN"/>
        </w:rPr>
        <w:t>采矿证</w:t>
      </w:r>
      <w:r>
        <w:rPr>
          <w:rFonts w:hint="eastAsia" w:ascii="宋体" w:hAnsi="宋体" w:cs="宋体"/>
          <w:color w:val="auto"/>
          <w:sz w:val="28"/>
        </w:rPr>
        <w:t>开采标高1113m～10</w:t>
      </w:r>
      <w:r>
        <w:rPr>
          <w:rFonts w:hint="eastAsia" w:ascii="宋体" w:hAnsi="宋体" w:cs="宋体"/>
          <w:color w:val="auto"/>
          <w:sz w:val="28"/>
          <w:lang w:val="en-US" w:eastAsia="zh-CN"/>
        </w:rPr>
        <w:t>35</w:t>
      </w:r>
      <w:r>
        <w:rPr>
          <w:rFonts w:hint="eastAsia" w:ascii="宋体" w:hAnsi="宋体" w:cs="宋体"/>
          <w:color w:val="auto"/>
          <w:sz w:val="28"/>
        </w:rPr>
        <w:t>m（采高</w:t>
      </w:r>
      <w:r>
        <w:rPr>
          <w:rFonts w:hint="eastAsia" w:ascii="宋体" w:hAnsi="宋体" w:cs="宋体"/>
          <w:color w:val="auto"/>
          <w:sz w:val="28"/>
          <w:lang w:val="en-US" w:eastAsia="zh-CN"/>
        </w:rPr>
        <w:t>78</w:t>
      </w:r>
      <w:r>
        <w:rPr>
          <w:rFonts w:hint="eastAsia" w:ascii="宋体" w:hAnsi="宋体" w:cs="宋体"/>
          <w:color w:val="auto"/>
          <w:sz w:val="28"/>
        </w:rPr>
        <w:t>m），面积0.0532km²</w:t>
      </w:r>
      <w:r>
        <w:rPr>
          <w:rFonts w:hint="eastAsia" w:ascii="宋体" w:hAnsi="宋体" w:cs="宋体"/>
          <w:color w:val="auto"/>
          <w:sz w:val="28"/>
          <w:lang w:eastAsia="zh-CN"/>
        </w:rPr>
        <w:t>（</w:t>
      </w:r>
      <w:r>
        <w:rPr>
          <w:rFonts w:hint="eastAsia" w:ascii="宋体" w:hAnsi="宋体" w:cs="宋体"/>
          <w:color w:val="auto"/>
          <w:sz w:val="28"/>
          <w:lang w:val="en-US" w:eastAsia="zh-CN"/>
        </w:rPr>
        <w:t>53169㎡</w:t>
      </w:r>
      <w:r>
        <w:rPr>
          <w:rFonts w:hint="eastAsia" w:ascii="宋体" w:hAnsi="宋体" w:cs="宋体"/>
          <w:color w:val="auto"/>
          <w:sz w:val="28"/>
          <w:lang w:eastAsia="zh-CN"/>
        </w:rPr>
        <w:t>）</w:t>
      </w:r>
      <w:r>
        <w:rPr>
          <w:rFonts w:hint="eastAsia" w:ascii="宋体" w:hAnsi="宋体" w:cs="宋体"/>
          <w:color w:val="auto"/>
          <w:sz w:val="28"/>
        </w:rPr>
        <w:t>。采矿权范围拐点、边界关系清楚，与其他矿山边界无交叉重叠现象</w:t>
      </w:r>
      <w:r>
        <w:rPr>
          <w:rFonts w:hint="eastAsia"/>
        </w:rPr>
        <w:t>。</w:t>
      </w:r>
    </w:p>
    <w:p w14:paraId="03D9CE7C">
      <w:pPr>
        <w:numPr>
          <w:ilvl w:val="0"/>
          <w:numId w:val="20"/>
        </w:numPr>
        <w:bidi w:val="0"/>
        <w:rPr>
          <w:rFonts w:hint="eastAsia"/>
          <w:lang w:eastAsia="zh-CN"/>
        </w:rPr>
      </w:pPr>
      <w:r>
        <w:rPr>
          <w:rFonts w:hint="eastAsia" w:ascii="宋体" w:hAnsi="宋体" w:cs="宋体"/>
          <w:color w:val="auto"/>
          <w:sz w:val="28"/>
        </w:rPr>
        <w:t>矿山破碎站距离台阶坡底线不足50m，不满足</w:t>
      </w:r>
      <w:r>
        <w:rPr>
          <w:rFonts w:hint="eastAsia" w:ascii="宋体" w:hAnsi="宋体" w:cs="宋体"/>
          <w:color w:val="auto"/>
          <w:sz w:val="28"/>
          <w:lang w:val="zh-CN"/>
        </w:rPr>
        <w:t>《小型露天采石场安全管理与监督检查规定》第</w:t>
      </w:r>
      <w:r>
        <w:rPr>
          <w:rFonts w:hint="eastAsia" w:ascii="宋体" w:hAnsi="宋体" w:cs="宋体"/>
          <w:color w:val="auto"/>
          <w:sz w:val="28"/>
        </w:rPr>
        <w:t>21条</w:t>
      </w:r>
      <w:r>
        <w:rPr>
          <w:rFonts w:hint="eastAsia" w:ascii="宋体" w:hAnsi="宋体" w:cs="宋体"/>
          <w:color w:val="auto"/>
          <w:sz w:val="28"/>
          <w:lang w:val="zh-CN"/>
        </w:rPr>
        <w:t>的要求，</w:t>
      </w:r>
      <w:r>
        <w:rPr>
          <w:rFonts w:hint="eastAsia" w:ascii="宋体" w:hAnsi="宋体" w:cs="宋体"/>
          <w:color w:val="auto"/>
          <w:sz w:val="28"/>
        </w:rPr>
        <w:t>设计设置50m范围的禁采区；</w:t>
      </w:r>
      <w:r>
        <w:rPr>
          <w:rFonts w:hint="eastAsia" w:ascii="宋体" w:hAnsi="宋体" w:cs="宋体"/>
          <w:color w:val="auto"/>
          <w:sz w:val="28"/>
          <w:szCs w:val="28"/>
        </w:rPr>
        <w:t>矿界6#点距离G108国道27m，不满足《公路安全保护条例》（中华人民共和国国务院令第593号）第十七条的要求，</w:t>
      </w:r>
      <w:r>
        <w:rPr>
          <w:rFonts w:hint="eastAsia" w:ascii="宋体" w:hAnsi="宋体" w:cs="宋体"/>
          <w:color w:val="auto"/>
          <w:sz w:val="28"/>
        </w:rPr>
        <w:t>设计设置100m范围的禁采区，禁采区面积：</w:t>
      </w:r>
      <w:r>
        <w:rPr>
          <w:rFonts w:hint="eastAsia" w:ascii="宋体" w:hAnsi="宋体" w:cs="宋体"/>
          <w:color w:val="auto"/>
          <w:sz w:val="28"/>
          <w:lang w:val="en-US" w:eastAsia="zh-CN"/>
        </w:rPr>
        <w:t>14050</w:t>
      </w:r>
      <w:r>
        <w:rPr>
          <w:rFonts w:hint="eastAsia" w:ascii="宋体" w:hAnsi="宋体" w:cs="宋体"/>
          <w:color w:val="auto"/>
          <w:sz w:val="28"/>
        </w:rPr>
        <w:t>m</w:t>
      </w:r>
      <w:r>
        <w:rPr>
          <w:rFonts w:hint="eastAsia" w:ascii="宋体" w:hAnsi="宋体" w:cs="宋体"/>
          <w:color w:val="auto"/>
          <w:sz w:val="28"/>
          <w:vertAlign w:val="superscript"/>
        </w:rPr>
        <w:t>2</w:t>
      </w:r>
      <w:r>
        <w:rPr>
          <w:rFonts w:hint="eastAsia" w:ascii="宋体" w:hAnsi="宋体" w:cs="宋体"/>
          <w:color w:val="auto"/>
          <w:sz w:val="28"/>
        </w:rPr>
        <w:t>；矿区4#点附近因企业无法办理林地手续及保护森林防火道路，该位置放弃开采，面积：</w:t>
      </w:r>
      <w:r>
        <w:rPr>
          <w:rFonts w:hint="eastAsia" w:ascii="宋体" w:hAnsi="宋体" w:cs="宋体"/>
          <w:color w:val="auto"/>
          <w:sz w:val="28"/>
          <w:lang w:val="en-US" w:eastAsia="zh-CN"/>
        </w:rPr>
        <w:t>5343</w:t>
      </w:r>
      <w:r>
        <w:rPr>
          <w:rFonts w:hint="eastAsia" w:ascii="宋体" w:hAnsi="宋体" w:cs="宋体"/>
          <w:color w:val="auto"/>
          <w:sz w:val="28"/>
        </w:rPr>
        <w:t>m</w:t>
      </w:r>
      <w:r>
        <w:rPr>
          <w:rFonts w:hint="eastAsia" w:ascii="宋体" w:hAnsi="宋体" w:cs="宋体"/>
          <w:color w:val="auto"/>
          <w:sz w:val="28"/>
          <w:vertAlign w:val="superscript"/>
        </w:rPr>
        <w:t>2</w:t>
      </w:r>
      <w:r>
        <w:rPr>
          <w:rFonts w:hint="eastAsia"/>
        </w:rPr>
        <w:t>。</w:t>
      </w:r>
    </w:p>
    <w:tbl>
      <w:tblPr>
        <w:tblStyle w:val="30"/>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118"/>
      </w:tblGrid>
      <w:tr w14:paraId="57DE92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tcPr>
          <w:p w14:paraId="1807F62B">
            <w:pPr>
              <w:bidi w:val="0"/>
              <w:ind w:left="0" w:leftChars="0" w:firstLine="0" w:firstLineChars="0"/>
              <w:jc w:val="center"/>
              <w:rPr>
                <w:rFonts w:hint="eastAsia" w:eastAsia="宋体"/>
                <w:color w:val="auto"/>
                <w:lang w:eastAsia="zh-CN"/>
              </w:rPr>
            </w:pPr>
            <w:r>
              <w:rPr>
                <w:color w:val="auto"/>
              </w:rPr>
              <w:drawing>
                <wp:anchor distT="0" distB="0" distL="114300" distR="114300" simplePos="0" relativeHeight="251669504" behindDoc="0" locked="0" layoutInCell="1" allowOverlap="1">
                  <wp:simplePos x="0" y="0"/>
                  <wp:positionH relativeFrom="column">
                    <wp:posOffset>0</wp:posOffset>
                  </wp:positionH>
                  <wp:positionV relativeFrom="paragraph">
                    <wp:posOffset>-3205480</wp:posOffset>
                  </wp:positionV>
                  <wp:extent cx="5673090" cy="3455670"/>
                  <wp:effectExtent l="0" t="0" r="11430" b="3810"/>
                  <wp:wrapSquare wrapText="bothSides"/>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24"/>
                          <a:stretch>
                            <a:fillRect/>
                          </a:stretch>
                        </pic:blipFill>
                        <pic:spPr>
                          <a:xfrm>
                            <a:off x="0" y="0"/>
                            <a:ext cx="5673090" cy="3455670"/>
                          </a:xfrm>
                          <a:prstGeom prst="rect">
                            <a:avLst/>
                          </a:prstGeom>
                          <a:noFill/>
                          <a:ln>
                            <a:noFill/>
                          </a:ln>
                        </pic:spPr>
                      </pic:pic>
                    </a:graphicData>
                  </a:graphic>
                </wp:anchor>
              </w:drawing>
            </w:r>
            <w:r>
              <w:t xml:space="preserve">图 </w:t>
            </w:r>
            <w:r>
              <w:fldChar w:fldCharType="begin"/>
            </w:r>
            <w:r>
              <w:instrText xml:space="preserve"> STYLEREF 1 \s </w:instrText>
            </w:r>
            <w:r>
              <w:fldChar w:fldCharType="separate"/>
            </w:r>
            <w:r>
              <w:t>2</w:t>
            </w:r>
            <w:r>
              <w:fldChar w:fldCharType="end"/>
            </w:r>
            <w:r>
              <w:rPr>
                <w:rFonts w:hint="eastAsia"/>
                <w:lang w:eastAsia="zh-CN"/>
              </w:rPr>
              <w:t>-</w:t>
            </w:r>
            <w:r>
              <w:fldChar w:fldCharType="begin"/>
            </w:r>
            <w:r>
              <w:instrText xml:space="preserve"> SEQ 图 \* ARABIC \s 1 </w:instrText>
            </w:r>
            <w:r>
              <w:fldChar w:fldCharType="separate"/>
            </w:r>
            <w:r>
              <w:t>4</w:t>
            </w:r>
            <w:r>
              <w:fldChar w:fldCharType="end"/>
            </w:r>
            <w:r>
              <w:rPr>
                <w:rFonts w:hint="eastAsia"/>
                <w:lang w:eastAsia="zh-CN"/>
              </w:rPr>
              <w:t xml:space="preserve"> </w:t>
            </w:r>
            <w:r>
              <w:rPr>
                <w:rFonts w:hint="eastAsia"/>
                <w:lang w:val="en-US" w:eastAsia="zh-CN"/>
              </w:rPr>
              <w:t>禁采区</w:t>
            </w:r>
            <w:r>
              <w:rPr>
                <w:rFonts w:hint="eastAsia"/>
                <w:lang w:eastAsia="zh-CN"/>
              </w:rPr>
              <w:t>范围</w:t>
            </w:r>
          </w:p>
        </w:tc>
      </w:tr>
    </w:tbl>
    <w:p w14:paraId="0994AE8D">
      <w:pPr>
        <w:numPr>
          <w:ilvl w:val="0"/>
          <w:numId w:val="20"/>
        </w:numPr>
        <w:bidi w:val="0"/>
        <w:rPr>
          <w:rFonts w:hint="eastAsia"/>
          <w:lang w:eastAsia="zh-CN"/>
        </w:rPr>
      </w:pPr>
      <w:r>
        <w:rPr>
          <w:rFonts w:hint="eastAsia" w:ascii="宋体" w:hAnsi="宋体" w:eastAsia="宋体" w:cs="宋体"/>
          <w:color w:val="auto"/>
          <w:sz w:val="28"/>
          <w:szCs w:val="28"/>
        </w:rPr>
        <w:t>扣除破碎站、国道安全距离（</w:t>
      </w:r>
      <w:r>
        <w:rPr>
          <w:rFonts w:hint="eastAsia" w:ascii="宋体" w:hAnsi="宋体" w:eastAsia="宋体" w:cs="宋体"/>
          <w:color w:val="auto"/>
          <w:sz w:val="28"/>
          <w:szCs w:val="28"/>
          <w:lang w:val="en-US" w:eastAsia="zh-CN"/>
        </w:rPr>
        <w:t>面积：</w:t>
      </w:r>
      <w:r>
        <w:rPr>
          <w:rFonts w:hint="eastAsia" w:ascii="宋体" w:hAnsi="宋体" w:eastAsia="宋体" w:cs="宋体"/>
          <w:color w:val="auto"/>
          <w:sz w:val="28"/>
          <w:szCs w:val="28"/>
        </w:rPr>
        <w:t>14050㎡）及</w:t>
      </w:r>
      <w:r>
        <w:rPr>
          <w:rFonts w:hint="eastAsia" w:ascii="宋体" w:hAnsi="宋体" w:eastAsia="宋体" w:cs="宋体"/>
          <w:color w:val="auto"/>
          <w:sz w:val="28"/>
          <w:szCs w:val="28"/>
          <w:lang w:val="en-US" w:eastAsia="zh-CN"/>
        </w:rPr>
        <w:t>《云南省元谋县大物茂砂厂建筑用砂矿资源储量核实报告（2024年）》涉及的</w:t>
      </w:r>
      <w:r>
        <w:rPr>
          <w:rFonts w:hint="eastAsia" w:ascii="宋体" w:hAnsi="宋体" w:eastAsia="宋体" w:cs="宋体"/>
          <w:color w:val="auto"/>
          <w:sz w:val="28"/>
          <w:szCs w:val="28"/>
        </w:rPr>
        <w:t>未征占林地无法开采</w:t>
      </w:r>
      <w:r>
        <w:rPr>
          <w:rFonts w:hint="eastAsia" w:ascii="宋体" w:hAnsi="宋体" w:eastAsia="宋体" w:cs="宋体"/>
          <w:color w:val="auto"/>
          <w:sz w:val="28"/>
          <w:szCs w:val="28"/>
          <w:lang w:val="en-US" w:eastAsia="zh-CN"/>
        </w:rPr>
        <w:t>压覆</w:t>
      </w: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面积：</w:t>
      </w:r>
      <w:r>
        <w:rPr>
          <w:rFonts w:hint="eastAsia" w:ascii="宋体" w:hAnsi="宋体" w:eastAsia="宋体" w:cs="宋体"/>
          <w:color w:val="auto"/>
          <w:sz w:val="28"/>
          <w:szCs w:val="28"/>
        </w:rPr>
        <w:t>5343㎡），本次设计开采范围为1113m～1050m（采高63m），面积0.0338km²（33776㎡）</w:t>
      </w:r>
      <w:r>
        <w:rPr>
          <w:rFonts w:hint="eastAsia"/>
        </w:rPr>
        <w:t>。</w:t>
      </w:r>
    </w:p>
    <w:p w14:paraId="48827AED">
      <w:pPr>
        <w:bidi w:val="0"/>
        <w:rPr>
          <w:rFonts w:hint="default"/>
          <w:lang w:val="en-US" w:eastAsia="zh-CN"/>
        </w:rPr>
      </w:pPr>
      <w:r>
        <w:rPr>
          <w:rFonts w:hint="eastAsia"/>
          <w:lang w:val="en-US" w:eastAsia="zh-CN"/>
        </w:rPr>
        <w:t>设计开采范围详见下表2-5：</w:t>
      </w:r>
    </w:p>
    <w:p w14:paraId="4B99031D">
      <w:pPr>
        <w:pStyle w:val="11"/>
        <w:ind w:left="0" w:leftChars="0" w:firstLine="0" w:firstLineChars="0"/>
        <w:jc w:val="center"/>
        <w:rPr>
          <w:rFonts w:hint="eastAsia" w:eastAsia="宋体"/>
          <w:lang w:eastAsia="zh-CN"/>
        </w:rPr>
      </w:pPr>
      <w:r>
        <w:t xml:space="preserve">表 </w:t>
      </w:r>
      <w:r>
        <w:fldChar w:fldCharType="begin"/>
      </w:r>
      <w:r>
        <w:instrText xml:space="preserve"> STYLEREF 1 \s </w:instrText>
      </w:r>
      <w:r>
        <w:fldChar w:fldCharType="separate"/>
      </w:r>
      <w:r>
        <w:t>2</w:t>
      </w:r>
      <w:r>
        <w:fldChar w:fldCharType="end"/>
      </w:r>
      <w:r>
        <w:rPr>
          <w:rFonts w:hint="eastAsia"/>
          <w:lang w:eastAsia="zh-CN"/>
        </w:rPr>
        <w:t>-</w:t>
      </w:r>
      <w:r>
        <w:fldChar w:fldCharType="begin"/>
      </w:r>
      <w:r>
        <w:instrText xml:space="preserve"> SEQ 表 \* ARABIC \s 1 </w:instrText>
      </w:r>
      <w:r>
        <w:fldChar w:fldCharType="separate"/>
      </w:r>
      <w:r>
        <w:t>5</w:t>
      </w:r>
      <w:r>
        <w:fldChar w:fldCharType="end"/>
      </w:r>
      <w:r>
        <w:rPr>
          <w:rFonts w:hint="eastAsia"/>
          <w:lang w:eastAsia="zh-CN"/>
        </w:rPr>
        <w:t xml:space="preserve"> 设计</w:t>
      </w:r>
      <w:r>
        <w:rPr>
          <w:rFonts w:hint="eastAsia"/>
          <w:lang w:val="en-US" w:eastAsia="zh-CN"/>
        </w:rPr>
        <w:t>开采</w:t>
      </w:r>
      <w:r>
        <w:rPr>
          <w:rFonts w:hint="eastAsia"/>
          <w:lang w:eastAsia="zh-CN"/>
        </w:rPr>
        <w:t>范围拐点坐标</w:t>
      </w:r>
    </w:p>
    <w:tbl>
      <w:tblPr>
        <w:tblStyle w:val="29"/>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7"/>
        <w:gridCol w:w="317"/>
        <w:gridCol w:w="3881"/>
        <w:gridCol w:w="3941"/>
      </w:tblGrid>
      <w:tr w14:paraId="2602E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jc w:val="center"/>
        </w:trPr>
        <w:tc>
          <w:tcPr>
            <w:tcW w:w="536" w:type="pct"/>
            <w:vMerge w:val="restart"/>
            <w:noWrap w:val="0"/>
            <w:vAlign w:val="center"/>
          </w:tcPr>
          <w:p w14:paraId="2FE134F4">
            <w:pPr>
              <w:widowControl/>
              <w:adjustRightInd/>
              <w:snapToGrid/>
              <w:spacing w:line="240" w:lineRule="auto"/>
              <w:ind w:firstLine="0" w:firstLineChars="0"/>
              <w:jc w:val="center"/>
              <w:rPr>
                <w:rFonts w:ascii="宋体" w:hAnsi="宋体" w:eastAsia="宋体" w:cs="宋体"/>
                <w:b/>
                <w:bCs/>
                <w:color w:val="auto"/>
                <w:kern w:val="0"/>
                <w:sz w:val="24"/>
                <w:szCs w:val="24"/>
              </w:rPr>
            </w:pPr>
            <w:r>
              <w:rPr>
                <w:rFonts w:hint="eastAsia" w:ascii="宋体" w:hAnsi="宋体" w:eastAsia="宋体" w:cs="宋体"/>
                <w:b/>
                <w:bCs/>
                <w:color w:val="auto"/>
                <w:kern w:val="0"/>
                <w:sz w:val="24"/>
                <w:szCs w:val="24"/>
              </w:rPr>
              <w:t>拐点编号</w:t>
            </w:r>
          </w:p>
        </w:tc>
        <w:tc>
          <w:tcPr>
            <w:tcW w:w="4463" w:type="pct"/>
            <w:gridSpan w:val="3"/>
            <w:noWrap w:val="0"/>
            <w:vAlign w:val="center"/>
          </w:tcPr>
          <w:p w14:paraId="61C86798">
            <w:pPr>
              <w:widowControl/>
              <w:adjustRightInd/>
              <w:snapToGrid/>
              <w:spacing w:line="240" w:lineRule="auto"/>
              <w:ind w:firstLine="0" w:firstLineChars="0"/>
              <w:jc w:val="center"/>
              <w:rPr>
                <w:rFonts w:ascii="宋体" w:hAnsi="宋体" w:eastAsia="宋体" w:cs="宋体"/>
                <w:b/>
                <w:bCs/>
                <w:color w:val="auto"/>
                <w:kern w:val="0"/>
                <w:sz w:val="24"/>
                <w:szCs w:val="24"/>
              </w:rPr>
            </w:pPr>
            <w:r>
              <w:rPr>
                <w:rFonts w:hint="eastAsia" w:ascii="宋体" w:hAnsi="宋体" w:eastAsia="宋体" w:cs="宋体"/>
                <w:b/>
                <w:bCs/>
                <w:color w:val="auto"/>
                <w:kern w:val="0"/>
                <w:sz w:val="24"/>
                <w:szCs w:val="24"/>
              </w:rPr>
              <w:t>2000国家大地坐标系，1985国家高程基准，3°带</w:t>
            </w:r>
          </w:p>
        </w:tc>
      </w:tr>
      <w:tr w14:paraId="6A37E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36" w:type="pct"/>
            <w:vMerge w:val="continue"/>
            <w:noWrap w:val="0"/>
            <w:vAlign w:val="center"/>
          </w:tcPr>
          <w:p w14:paraId="55E26D7F">
            <w:pPr>
              <w:widowControl/>
              <w:adjustRightInd/>
              <w:snapToGrid/>
              <w:spacing w:line="240" w:lineRule="auto"/>
              <w:ind w:firstLine="0" w:firstLineChars="0"/>
              <w:jc w:val="center"/>
              <w:rPr>
                <w:rFonts w:ascii="宋体" w:hAnsi="宋体" w:eastAsia="宋体" w:cs="宋体"/>
                <w:b/>
                <w:bCs/>
                <w:color w:val="auto"/>
                <w:kern w:val="0"/>
                <w:sz w:val="24"/>
                <w:szCs w:val="24"/>
              </w:rPr>
            </w:pPr>
          </w:p>
        </w:tc>
        <w:tc>
          <w:tcPr>
            <w:tcW w:w="2302" w:type="pct"/>
            <w:gridSpan w:val="2"/>
            <w:noWrap w:val="0"/>
            <w:vAlign w:val="center"/>
          </w:tcPr>
          <w:p w14:paraId="4106036F">
            <w:pPr>
              <w:widowControl/>
              <w:adjustRightInd/>
              <w:snapToGrid/>
              <w:spacing w:line="240" w:lineRule="auto"/>
              <w:ind w:firstLine="0" w:firstLineChars="0"/>
              <w:jc w:val="center"/>
              <w:rPr>
                <w:rFonts w:ascii="宋体" w:hAnsi="宋体" w:eastAsia="宋体" w:cs="宋体"/>
                <w:b/>
                <w:bCs/>
                <w:color w:val="auto"/>
                <w:kern w:val="0"/>
                <w:sz w:val="24"/>
                <w:szCs w:val="24"/>
              </w:rPr>
            </w:pPr>
            <w:r>
              <w:rPr>
                <w:rFonts w:hint="eastAsia" w:ascii="宋体" w:hAnsi="宋体" w:eastAsia="宋体" w:cs="宋体"/>
                <w:b/>
                <w:bCs/>
                <w:color w:val="auto"/>
                <w:kern w:val="0"/>
                <w:sz w:val="24"/>
                <w:szCs w:val="24"/>
              </w:rPr>
              <w:t>X</w:t>
            </w:r>
          </w:p>
        </w:tc>
        <w:tc>
          <w:tcPr>
            <w:tcW w:w="2160" w:type="pct"/>
            <w:noWrap w:val="0"/>
            <w:vAlign w:val="center"/>
          </w:tcPr>
          <w:p w14:paraId="136E5874">
            <w:pPr>
              <w:widowControl/>
              <w:adjustRightInd/>
              <w:snapToGrid/>
              <w:spacing w:line="240" w:lineRule="auto"/>
              <w:ind w:firstLine="0" w:firstLineChars="0"/>
              <w:jc w:val="center"/>
              <w:rPr>
                <w:rFonts w:ascii="宋体" w:hAnsi="宋体" w:eastAsia="宋体" w:cs="宋体"/>
                <w:b/>
                <w:bCs/>
                <w:color w:val="auto"/>
                <w:kern w:val="0"/>
                <w:sz w:val="24"/>
                <w:szCs w:val="24"/>
              </w:rPr>
            </w:pPr>
            <w:r>
              <w:rPr>
                <w:rFonts w:hint="eastAsia" w:ascii="宋体" w:hAnsi="宋体" w:eastAsia="宋体" w:cs="宋体"/>
                <w:b/>
                <w:bCs/>
                <w:color w:val="auto"/>
                <w:kern w:val="0"/>
                <w:sz w:val="24"/>
                <w:szCs w:val="24"/>
              </w:rPr>
              <w:t>Y</w:t>
            </w:r>
          </w:p>
        </w:tc>
      </w:tr>
      <w:tr w14:paraId="417D1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36" w:type="pct"/>
            <w:noWrap w:val="0"/>
            <w:vAlign w:val="center"/>
          </w:tcPr>
          <w:p w14:paraId="06F74BAC">
            <w:pPr>
              <w:widowControl/>
              <w:adjustRightInd/>
              <w:snapToGrid/>
              <w:spacing w:line="240" w:lineRule="auto"/>
              <w:ind w:firstLine="0" w:firstLineChars="0"/>
              <w:jc w:val="center"/>
              <w:rPr>
                <w:rFonts w:ascii="宋体" w:hAnsi="宋体" w:eastAsia="宋体" w:cs="宋体"/>
                <w:color w:val="auto"/>
                <w:kern w:val="0"/>
                <w:sz w:val="24"/>
                <w:szCs w:val="24"/>
              </w:rPr>
            </w:pPr>
            <w:r>
              <w:rPr>
                <w:rFonts w:hint="eastAsia" w:ascii="宋体" w:hAnsi="宋体" w:eastAsia="宋体" w:cs="宋体"/>
                <w:color w:val="auto"/>
                <w:kern w:val="0"/>
                <w:sz w:val="24"/>
                <w:szCs w:val="24"/>
                <w:lang w:eastAsia="zh-CN"/>
              </w:rPr>
              <w:t>设</w:t>
            </w:r>
            <w:r>
              <w:rPr>
                <w:rFonts w:hint="eastAsia" w:ascii="宋体" w:hAnsi="宋体" w:eastAsia="宋体" w:cs="宋体"/>
                <w:color w:val="auto"/>
                <w:kern w:val="0"/>
                <w:sz w:val="24"/>
                <w:szCs w:val="24"/>
              </w:rPr>
              <w:t>1</w:t>
            </w:r>
          </w:p>
        </w:tc>
        <w:tc>
          <w:tcPr>
            <w:tcW w:w="2302" w:type="pct"/>
            <w:gridSpan w:val="2"/>
            <w:noWrap w:val="0"/>
            <w:vAlign w:val="center"/>
          </w:tcPr>
          <w:p w14:paraId="01E24A64">
            <w:pPr>
              <w:widowControl/>
              <w:adjustRightInd/>
              <w:snapToGrid/>
              <w:spacing w:line="240" w:lineRule="auto"/>
              <w:ind w:firstLine="0" w:firstLineChars="0"/>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2</w:t>
            </w:r>
            <w:r>
              <w:rPr>
                <w:rFonts w:ascii="宋体" w:hAnsi="宋体" w:eastAsia="宋体" w:cs="宋体"/>
                <w:color w:val="auto"/>
                <w:kern w:val="0"/>
                <w:sz w:val="24"/>
                <w:szCs w:val="24"/>
              </w:rPr>
              <w:t>863</w:t>
            </w:r>
            <w:r>
              <w:rPr>
                <w:rFonts w:hint="eastAsia" w:ascii="宋体" w:hAnsi="宋体" w:eastAsia="宋体" w:cs="宋体"/>
                <w:color w:val="auto"/>
                <w:kern w:val="0"/>
                <w:sz w:val="24"/>
                <w:szCs w:val="24"/>
                <w:lang w:val="en-US" w:eastAsia="zh-CN"/>
              </w:rPr>
              <w:t>933.2243</w:t>
            </w:r>
          </w:p>
        </w:tc>
        <w:tc>
          <w:tcPr>
            <w:tcW w:w="2160" w:type="pct"/>
            <w:noWrap w:val="0"/>
            <w:vAlign w:val="center"/>
          </w:tcPr>
          <w:p w14:paraId="1B79C532">
            <w:pPr>
              <w:widowControl/>
              <w:adjustRightInd/>
              <w:snapToGrid/>
              <w:spacing w:line="240" w:lineRule="auto"/>
              <w:ind w:firstLine="0" w:firstLineChars="0"/>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34479014.3302</w:t>
            </w:r>
          </w:p>
        </w:tc>
      </w:tr>
      <w:tr w14:paraId="55373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36" w:type="pct"/>
            <w:noWrap w:val="0"/>
            <w:vAlign w:val="center"/>
          </w:tcPr>
          <w:p w14:paraId="6DEEA053">
            <w:pPr>
              <w:widowControl/>
              <w:adjustRightInd/>
              <w:snapToGrid/>
              <w:spacing w:line="240" w:lineRule="auto"/>
              <w:ind w:firstLine="0" w:firstLineChars="0"/>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eastAsia="zh-CN"/>
              </w:rPr>
              <w:t>设</w:t>
            </w:r>
            <w:r>
              <w:rPr>
                <w:rFonts w:hint="eastAsia" w:ascii="宋体" w:hAnsi="宋体" w:eastAsia="宋体" w:cs="宋体"/>
                <w:color w:val="auto"/>
                <w:kern w:val="0"/>
                <w:sz w:val="24"/>
                <w:szCs w:val="24"/>
                <w:lang w:val="en-US" w:eastAsia="zh-CN"/>
              </w:rPr>
              <w:t>2</w:t>
            </w:r>
          </w:p>
        </w:tc>
        <w:tc>
          <w:tcPr>
            <w:tcW w:w="2302" w:type="pct"/>
            <w:gridSpan w:val="2"/>
            <w:noWrap w:val="0"/>
            <w:vAlign w:val="center"/>
          </w:tcPr>
          <w:p w14:paraId="78384F72">
            <w:pPr>
              <w:widowControl/>
              <w:adjustRightInd/>
              <w:snapToGrid/>
              <w:spacing w:line="240" w:lineRule="auto"/>
              <w:ind w:firstLine="0" w:firstLineChars="0"/>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2863915.4930</w:t>
            </w:r>
          </w:p>
        </w:tc>
        <w:tc>
          <w:tcPr>
            <w:tcW w:w="2160" w:type="pct"/>
            <w:noWrap w:val="0"/>
            <w:vAlign w:val="center"/>
          </w:tcPr>
          <w:p w14:paraId="1EC6EDDF">
            <w:pPr>
              <w:widowControl/>
              <w:adjustRightInd/>
              <w:snapToGrid/>
              <w:spacing w:line="240" w:lineRule="auto"/>
              <w:ind w:firstLine="0" w:firstLineChars="0"/>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34479033.5226</w:t>
            </w:r>
          </w:p>
        </w:tc>
      </w:tr>
      <w:tr w14:paraId="26711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36" w:type="pct"/>
            <w:noWrap w:val="0"/>
            <w:vAlign w:val="center"/>
          </w:tcPr>
          <w:p w14:paraId="28520FC5">
            <w:pPr>
              <w:widowControl/>
              <w:adjustRightInd/>
              <w:snapToGrid/>
              <w:spacing w:line="240" w:lineRule="auto"/>
              <w:ind w:firstLine="0" w:firstLineChars="0"/>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eastAsia="zh-CN"/>
              </w:rPr>
              <w:t>设</w:t>
            </w:r>
            <w:r>
              <w:rPr>
                <w:rFonts w:hint="eastAsia" w:ascii="宋体" w:hAnsi="宋体" w:eastAsia="宋体" w:cs="宋体"/>
                <w:color w:val="auto"/>
                <w:kern w:val="0"/>
                <w:sz w:val="24"/>
                <w:szCs w:val="24"/>
                <w:lang w:val="en-US" w:eastAsia="zh-CN"/>
              </w:rPr>
              <w:t>3</w:t>
            </w:r>
          </w:p>
        </w:tc>
        <w:tc>
          <w:tcPr>
            <w:tcW w:w="2302" w:type="pct"/>
            <w:gridSpan w:val="2"/>
            <w:noWrap w:val="0"/>
            <w:vAlign w:val="center"/>
          </w:tcPr>
          <w:p w14:paraId="681CE91C">
            <w:pPr>
              <w:widowControl/>
              <w:adjustRightInd/>
              <w:snapToGrid/>
              <w:spacing w:line="240" w:lineRule="auto"/>
              <w:ind w:firstLine="0" w:firstLineChars="0"/>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2863908.2039</w:t>
            </w:r>
          </w:p>
        </w:tc>
        <w:tc>
          <w:tcPr>
            <w:tcW w:w="2160" w:type="pct"/>
            <w:noWrap w:val="0"/>
            <w:vAlign w:val="center"/>
          </w:tcPr>
          <w:p w14:paraId="1611E31A">
            <w:pPr>
              <w:widowControl/>
              <w:adjustRightInd/>
              <w:snapToGrid/>
              <w:spacing w:line="240" w:lineRule="auto"/>
              <w:ind w:firstLine="0" w:firstLineChars="0"/>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34479043.5078</w:t>
            </w:r>
          </w:p>
        </w:tc>
      </w:tr>
      <w:tr w14:paraId="49A54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36" w:type="pct"/>
            <w:noWrap w:val="0"/>
            <w:vAlign w:val="center"/>
          </w:tcPr>
          <w:p w14:paraId="6D3CFFBB">
            <w:pPr>
              <w:widowControl/>
              <w:adjustRightInd/>
              <w:snapToGrid/>
              <w:spacing w:line="240" w:lineRule="auto"/>
              <w:ind w:firstLine="0" w:firstLineChars="0"/>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eastAsia="zh-CN"/>
              </w:rPr>
              <w:t>设</w:t>
            </w:r>
            <w:r>
              <w:rPr>
                <w:rFonts w:hint="eastAsia" w:ascii="宋体" w:hAnsi="宋体" w:eastAsia="宋体" w:cs="宋体"/>
                <w:color w:val="auto"/>
                <w:kern w:val="0"/>
                <w:sz w:val="24"/>
                <w:szCs w:val="24"/>
                <w:lang w:val="en-US" w:eastAsia="zh-CN"/>
              </w:rPr>
              <w:t>4</w:t>
            </w:r>
          </w:p>
        </w:tc>
        <w:tc>
          <w:tcPr>
            <w:tcW w:w="2302" w:type="pct"/>
            <w:gridSpan w:val="2"/>
            <w:noWrap w:val="0"/>
            <w:vAlign w:val="center"/>
          </w:tcPr>
          <w:p w14:paraId="3369FD13">
            <w:pPr>
              <w:widowControl/>
              <w:adjustRightInd/>
              <w:snapToGrid/>
              <w:spacing w:line="240" w:lineRule="auto"/>
              <w:ind w:firstLine="0" w:firstLineChars="0"/>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2863900.6151</w:t>
            </w:r>
          </w:p>
        </w:tc>
        <w:tc>
          <w:tcPr>
            <w:tcW w:w="2160" w:type="pct"/>
            <w:noWrap w:val="0"/>
            <w:vAlign w:val="center"/>
          </w:tcPr>
          <w:p w14:paraId="59C984A4">
            <w:pPr>
              <w:widowControl/>
              <w:adjustRightInd/>
              <w:snapToGrid/>
              <w:spacing w:line="240" w:lineRule="auto"/>
              <w:ind w:firstLine="0" w:firstLineChars="0"/>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34479060.3500</w:t>
            </w:r>
          </w:p>
        </w:tc>
      </w:tr>
      <w:tr w14:paraId="44EF8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36" w:type="pct"/>
            <w:noWrap w:val="0"/>
            <w:vAlign w:val="center"/>
          </w:tcPr>
          <w:p w14:paraId="1642B272">
            <w:pPr>
              <w:widowControl/>
              <w:adjustRightInd/>
              <w:snapToGrid/>
              <w:spacing w:line="240" w:lineRule="auto"/>
              <w:ind w:firstLine="0" w:firstLineChars="0"/>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eastAsia="zh-CN"/>
              </w:rPr>
              <w:t>设</w:t>
            </w:r>
            <w:r>
              <w:rPr>
                <w:rFonts w:hint="eastAsia" w:ascii="宋体" w:hAnsi="宋体" w:eastAsia="宋体" w:cs="宋体"/>
                <w:color w:val="auto"/>
                <w:kern w:val="0"/>
                <w:sz w:val="24"/>
                <w:szCs w:val="24"/>
                <w:lang w:val="en-US" w:eastAsia="zh-CN"/>
              </w:rPr>
              <w:t>5</w:t>
            </w:r>
          </w:p>
        </w:tc>
        <w:tc>
          <w:tcPr>
            <w:tcW w:w="2302" w:type="pct"/>
            <w:gridSpan w:val="2"/>
            <w:noWrap w:val="0"/>
            <w:vAlign w:val="center"/>
          </w:tcPr>
          <w:p w14:paraId="457D53A1">
            <w:pPr>
              <w:widowControl/>
              <w:adjustRightInd/>
              <w:snapToGrid/>
              <w:spacing w:line="240" w:lineRule="auto"/>
              <w:ind w:firstLine="0" w:firstLineChars="0"/>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2863907.3250</w:t>
            </w:r>
          </w:p>
        </w:tc>
        <w:tc>
          <w:tcPr>
            <w:tcW w:w="2160" w:type="pct"/>
            <w:noWrap w:val="0"/>
            <w:vAlign w:val="center"/>
          </w:tcPr>
          <w:p w14:paraId="46E0637F">
            <w:pPr>
              <w:widowControl/>
              <w:adjustRightInd/>
              <w:snapToGrid/>
              <w:spacing w:line="240" w:lineRule="auto"/>
              <w:ind w:firstLine="0" w:firstLineChars="0"/>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34479110.7252</w:t>
            </w:r>
          </w:p>
        </w:tc>
      </w:tr>
      <w:tr w14:paraId="6FFE7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36" w:type="pct"/>
            <w:noWrap w:val="0"/>
            <w:vAlign w:val="center"/>
          </w:tcPr>
          <w:p w14:paraId="2FCE6EAD">
            <w:pPr>
              <w:widowControl/>
              <w:adjustRightInd/>
              <w:snapToGrid/>
              <w:spacing w:line="240" w:lineRule="auto"/>
              <w:ind w:firstLine="0" w:firstLineChars="0"/>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eastAsia="zh-CN"/>
              </w:rPr>
              <w:t>设</w:t>
            </w:r>
            <w:r>
              <w:rPr>
                <w:rFonts w:hint="eastAsia" w:ascii="宋体" w:hAnsi="宋体" w:eastAsia="宋体" w:cs="宋体"/>
                <w:color w:val="auto"/>
                <w:kern w:val="0"/>
                <w:sz w:val="24"/>
                <w:szCs w:val="24"/>
                <w:lang w:val="en-US" w:eastAsia="zh-CN"/>
              </w:rPr>
              <w:t>6</w:t>
            </w:r>
          </w:p>
        </w:tc>
        <w:tc>
          <w:tcPr>
            <w:tcW w:w="2302" w:type="pct"/>
            <w:gridSpan w:val="2"/>
            <w:noWrap w:val="0"/>
            <w:vAlign w:val="center"/>
          </w:tcPr>
          <w:p w14:paraId="7FAB8C98">
            <w:pPr>
              <w:widowControl/>
              <w:adjustRightInd/>
              <w:snapToGrid/>
              <w:spacing w:line="240" w:lineRule="auto"/>
              <w:ind w:firstLine="0" w:firstLineChars="0"/>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2863901.3883</w:t>
            </w:r>
          </w:p>
        </w:tc>
        <w:tc>
          <w:tcPr>
            <w:tcW w:w="2160" w:type="pct"/>
            <w:noWrap w:val="0"/>
            <w:vAlign w:val="center"/>
          </w:tcPr>
          <w:p w14:paraId="7B66EB3B">
            <w:pPr>
              <w:widowControl/>
              <w:adjustRightInd/>
              <w:snapToGrid/>
              <w:spacing w:line="240" w:lineRule="auto"/>
              <w:ind w:firstLine="0" w:firstLineChars="0"/>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34479140.6284</w:t>
            </w:r>
          </w:p>
        </w:tc>
      </w:tr>
      <w:tr w14:paraId="6B46F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36" w:type="pct"/>
            <w:noWrap w:val="0"/>
            <w:vAlign w:val="center"/>
          </w:tcPr>
          <w:p w14:paraId="4F56A6F5">
            <w:pPr>
              <w:widowControl/>
              <w:adjustRightInd/>
              <w:snapToGrid/>
              <w:spacing w:line="240" w:lineRule="auto"/>
              <w:ind w:firstLine="0" w:firstLineChars="0"/>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eastAsia="zh-CN"/>
              </w:rPr>
              <w:t>设</w:t>
            </w:r>
            <w:r>
              <w:rPr>
                <w:rFonts w:hint="eastAsia" w:ascii="宋体" w:hAnsi="宋体" w:eastAsia="宋体" w:cs="宋体"/>
                <w:color w:val="auto"/>
                <w:kern w:val="0"/>
                <w:sz w:val="24"/>
                <w:szCs w:val="24"/>
                <w:lang w:val="en-US" w:eastAsia="zh-CN"/>
              </w:rPr>
              <w:t>7</w:t>
            </w:r>
          </w:p>
        </w:tc>
        <w:tc>
          <w:tcPr>
            <w:tcW w:w="2302" w:type="pct"/>
            <w:gridSpan w:val="2"/>
            <w:noWrap w:val="0"/>
            <w:vAlign w:val="center"/>
          </w:tcPr>
          <w:p w14:paraId="6890F70A">
            <w:pPr>
              <w:widowControl/>
              <w:adjustRightInd/>
              <w:snapToGrid/>
              <w:spacing w:line="240" w:lineRule="auto"/>
              <w:ind w:firstLine="0" w:firstLineChars="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2863876.8841</w:t>
            </w:r>
          </w:p>
        </w:tc>
        <w:tc>
          <w:tcPr>
            <w:tcW w:w="2160" w:type="pct"/>
            <w:noWrap w:val="0"/>
            <w:vAlign w:val="center"/>
          </w:tcPr>
          <w:p w14:paraId="5100700E">
            <w:pPr>
              <w:widowControl/>
              <w:adjustRightInd/>
              <w:snapToGrid/>
              <w:spacing w:line="240" w:lineRule="auto"/>
              <w:ind w:firstLine="0" w:firstLineChars="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34479158.2620</w:t>
            </w:r>
          </w:p>
        </w:tc>
      </w:tr>
      <w:tr w14:paraId="524C8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36" w:type="pct"/>
            <w:noWrap w:val="0"/>
            <w:vAlign w:val="center"/>
          </w:tcPr>
          <w:p w14:paraId="19BBFD94">
            <w:pPr>
              <w:widowControl/>
              <w:adjustRightInd/>
              <w:snapToGrid/>
              <w:spacing w:line="240" w:lineRule="auto"/>
              <w:ind w:firstLine="0" w:firstLineChars="0"/>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eastAsia="zh-CN"/>
              </w:rPr>
              <w:t>设</w:t>
            </w:r>
            <w:r>
              <w:rPr>
                <w:rFonts w:hint="eastAsia" w:ascii="宋体" w:hAnsi="宋体" w:eastAsia="宋体" w:cs="宋体"/>
                <w:color w:val="auto"/>
                <w:kern w:val="0"/>
                <w:sz w:val="24"/>
                <w:szCs w:val="24"/>
                <w:lang w:val="en-US" w:eastAsia="zh-CN"/>
              </w:rPr>
              <w:t>8</w:t>
            </w:r>
          </w:p>
        </w:tc>
        <w:tc>
          <w:tcPr>
            <w:tcW w:w="2302" w:type="pct"/>
            <w:gridSpan w:val="2"/>
            <w:noWrap w:val="0"/>
            <w:vAlign w:val="center"/>
          </w:tcPr>
          <w:p w14:paraId="32405530">
            <w:pPr>
              <w:widowControl/>
              <w:adjustRightInd/>
              <w:snapToGrid/>
              <w:spacing w:line="240" w:lineRule="auto"/>
              <w:ind w:firstLine="0" w:firstLineChars="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2863854.9793</w:t>
            </w:r>
          </w:p>
        </w:tc>
        <w:tc>
          <w:tcPr>
            <w:tcW w:w="2160" w:type="pct"/>
            <w:noWrap w:val="0"/>
            <w:vAlign w:val="center"/>
          </w:tcPr>
          <w:p w14:paraId="0E8A8057">
            <w:pPr>
              <w:widowControl/>
              <w:adjustRightInd/>
              <w:snapToGrid/>
              <w:spacing w:line="240" w:lineRule="auto"/>
              <w:ind w:firstLine="0" w:firstLineChars="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34479166.2457</w:t>
            </w:r>
          </w:p>
        </w:tc>
      </w:tr>
      <w:tr w14:paraId="2221D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36" w:type="pct"/>
            <w:noWrap w:val="0"/>
            <w:vAlign w:val="center"/>
          </w:tcPr>
          <w:p w14:paraId="082A1341">
            <w:pPr>
              <w:widowControl/>
              <w:adjustRightInd/>
              <w:snapToGrid/>
              <w:spacing w:line="240" w:lineRule="auto"/>
              <w:ind w:firstLine="0" w:firstLineChars="0"/>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eastAsia="zh-CN"/>
              </w:rPr>
              <w:t>设</w:t>
            </w:r>
            <w:r>
              <w:rPr>
                <w:rFonts w:hint="eastAsia" w:ascii="宋体" w:hAnsi="宋体" w:eastAsia="宋体" w:cs="宋体"/>
                <w:color w:val="auto"/>
                <w:kern w:val="0"/>
                <w:sz w:val="24"/>
                <w:szCs w:val="24"/>
                <w:lang w:val="en-US" w:eastAsia="zh-CN"/>
              </w:rPr>
              <w:t>9</w:t>
            </w:r>
          </w:p>
        </w:tc>
        <w:tc>
          <w:tcPr>
            <w:tcW w:w="2302" w:type="pct"/>
            <w:gridSpan w:val="2"/>
            <w:noWrap w:val="0"/>
            <w:vAlign w:val="center"/>
          </w:tcPr>
          <w:p w14:paraId="6E905905">
            <w:pPr>
              <w:widowControl/>
              <w:adjustRightInd/>
              <w:snapToGrid/>
              <w:spacing w:line="240" w:lineRule="auto"/>
              <w:ind w:firstLine="0" w:firstLineChars="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2863912.5486</w:t>
            </w:r>
          </w:p>
        </w:tc>
        <w:tc>
          <w:tcPr>
            <w:tcW w:w="2160" w:type="pct"/>
            <w:noWrap w:val="0"/>
            <w:vAlign w:val="center"/>
          </w:tcPr>
          <w:p w14:paraId="6AEF1860">
            <w:pPr>
              <w:widowControl/>
              <w:adjustRightInd/>
              <w:snapToGrid/>
              <w:spacing w:line="240" w:lineRule="auto"/>
              <w:ind w:firstLine="0" w:firstLineChars="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34479247.6598</w:t>
            </w:r>
          </w:p>
        </w:tc>
      </w:tr>
      <w:tr w14:paraId="1D0EC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36" w:type="pct"/>
            <w:noWrap w:val="0"/>
            <w:vAlign w:val="center"/>
          </w:tcPr>
          <w:p w14:paraId="691D6F82">
            <w:pPr>
              <w:widowControl/>
              <w:adjustRightInd/>
              <w:snapToGrid/>
              <w:spacing w:line="240" w:lineRule="auto"/>
              <w:ind w:firstLine="0" w:firstLineChars="0"/>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eastAsia="zh-CN"/>
              </w:rPr>
              <w:t>设1</w:t>
            </w:r>
            <w:r>
              <w:rPr>
                <w:rFonts w:hint="eastAsia" w:ascii="宋体" w:hAnsi="宋体" w:eastAsia="宋体" w:cs="宋体"/>
                <w:color w:val="auto"/>
                <w:kern w:val="0"/>
                <w:sz w:val="24"/>
                <w:szCs w:val="24"/>
                <w:lang w:val="en-US" w:eastAsia="zh-CN"/>
              </w:rPr>
              <w:t>0</w:t>
            </w:r>
          </w:p>
        </w:tc>
        <w:tc>
          <w:tcPr>
            <w:tcW w:w="2302" w:type="pct"/>
            <w:gridSpan w:val="2"/>
            <w:noWrap w:val="0"/>
            <w:vAlign w:val="center"/>
          </w:tcPr>
          <w:p w14:paraId="6D2DF059">
            <w:pPr>
              <w:widowControl/>
              <w:adjustRightInd/>
              <w:snapToGrid/>
              <w:spacing w:line="240" w:lineRule="auto"/>
              <w:ind w:firstLine="0" w:firstLineChars="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2864002.5179</w:t>
            </w:r>
          </w:p>
        </w:tc>
        <w:tc>
          <w:tcPr>
            <w:tcW w:w="2160" w:type="pct"/>
            <w:noWrap w:val="0"/>
            <w:vAlign w:val="center"/>
          </w:tcPr>
          <w:p w14:paraId="1EA45566">
            <w:pPr>
              <w:widowControl/>
              <w:adjustRightInd/>
              <w:snapToGrid/>
              <w:spacing w:line="240" w:lineRule="auto"/>
              <w:ind w:firstLine="0" w:firstLineChars="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34479224.5307</w:t>
            </w:r>
          </w:p>
        </w:tc>
      </w:tr>
      <w:tr w14:paraId="49883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36" w:type="pct"/>
            <w:noWrap w:val="0"/>
            <w:vAlign w:val="center"/>
          </w:tcPr>
          <w:p w14:paraId="104CBFA3">
            <w:pPr>
              <w:widowControl/>
              <w:adjustRightInd/>
              <w:snapToGrid/>
              <w:spacing w:line="240" w:lineRule="auto"/>
              <w:ind w:firstLine="0" w:firstLineChars="0"/>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eastAsia="zh-CN"/>
              </w:rPr>
              <w:t>设1</w:t>
            </w:r>
            <w:r>
              <w:rPr>
                <w:rFonts w:hint="eastAsia" w:ascii="宋体" w:hAnsi="宋体" w:eastAsia="宋体" w:cs="宋体"/>
                <w:color w:val="auto"/>
                <w:kern w:val="0"/>
                <w:sz w:val="24"/>
                <w:szCs w:val="24"/>
                <w:lang w:val="en-US" w:eastAsia="zh-CN"/>
              </w:rPr>
              <w:t>1</w:t>
            </w:r>
          </w:p>
        </w:tc>
        <w:tc>
          <w:tcPr>
            <w:tcW w:w="2302" w:type="pct"/>
            <w:gridSpan w:val="2"/>
            <w:noWrap w:val="0"/>
            <w:vAlign w:val="center"/>
          </w:tcPr>
          <w:p w14:paraId="2175D2FA">
            <w:pPr>
              <w:widowControl/>
              <w:adjustRightInd/>
              <w:snapToGrid/>
              <w:spacing w:line="240" w:lineRule="auto"/>
              <w:ind w:firstLine="0" w:firstLineChars="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2864020.8803</w:t>
            </w:r>
          </w:p>
        </w:tc>
        <w:tc>
          <w:tcPr>
            <w:tcW w:w="2160" w:type="pct"/>
            <w:noWrap w:val="0"/>
            <w:vAlign w:val="center"/>
          </w:tcPr>
          <w:p w14:paraId="15509657">
            <w:pPr>
              <w:widowControl/>
              <w:adjustRightInd/>
              <w:snapToGrid/>
              <w:spacing w:line="240" w:lineRule="auto"/>
              <w:ind w:firstLine="0" w:firstLineChars="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34479214.0811</w:t>
            </w:r>
          </w:p>
        </w:tc>
      </w:tr>
      <w:tr w14:paraId="1D4B6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36" w:type="pct"/>
            <w:noWrap w:val="0"/>
            <w:vAlign w:val="center"/>
          </w:tcPr>
          <w:p w14:paraId="16B56DC3">
            <w:pPr>
              <w:widowControl/>
              <w:adjustRightInd/>
              <w:snapToGrid/>
              <w:spacing w:line="240" w:lineRule="auto"/>
              <w:ind w:firstLine="0" w:firstLineChars="0"/>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eastAsia="zh-CN"/>
              </w:rPr>
              <w:t>设1</w:t>
            </w:r>
            <w:r>
              <w:rPr>
                <w:rFonts w:hint="eastAsia" w:ascii="宋体" w:hAnsi="宋体" w:eastAsia="宋体" w:cs="宋体"/>
                <w:color w:val="auto"/>
                <w:kern w:val="0"/>
                <w:sz w:val="24"/>
                <w:szCs w:val="24"/>
                <w:lang w:val="en-US" w:eastAsia="zh-CN"/>
              </w:rPr>
              <w:t>2</w:t>
            </w:r>
          </w:p>
        </w:tc>
        <w:tc>
          <w:tcPr>
            <w:tcW w:w="2302" w:type="pct"/>
            <w:gridSpan w:val="2"/>
            <w:noWrap w:val="0"/>
            <w:vAlign w:val="center"/>
          </w:tcPr>
          <w:p w14:paraId="1DA567DC">
            <w:pPr>
              <w:widowControl/>
              <w:adjustRightInd/>
              <w:snapToGrid/>
              <w:spacing w:line="240" w:lineRule="auto"/>
              <w:ind w:firstLine="0" w:firstLineChars="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2864041.9416</w:t>
            </w:r>
          </w:p>
        </w:tc>
        <w:tc>
          <w:tcPr>
            <w:tcW w:w="2160" w:type="pct"/>
            <w:noWrap w:val="0"/>
            <w:vAlign w:val="center"/>
          </w:tcPr>
          <w:p w14:paraId="5C45EFE5">
            <w:pPr>
              <w:widowControl/>
              <w:adjustRightInd/>
              <w:snapToGrid/>
              <w:spacing w:line="240" w:lineRule="auto"/>
              <w:ind w:firstLine="0" w:firstLineChars="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34479214.0818</w:t>
            </w:r>
          </w:p>
        </w:tc>
      </w:tr>
      <w:tr w14:paraId="5780E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36" w:type="pct"/>
            <w:noWrap w:val="0"/>
            <w:vAlign w:val="center"/>
          </w:tcPr>
          <w:p w14:paraId="2EFDE24A">
            <w:pPr>
              <w:widowControl/>
              <w:adjustRightInd/>
              <w:snapToGrid/>
              <w:spacing w:line="240" w:lineRule="auto"/>
              <w:ind w:firstLine="0" w:firstLineChars="0"/>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eastAsia="zh-CN"/>
              </w:rPr>
              <w:t>设1</w:t>
            </w:r>
            <w:r>
              <w:rPr>
                <w:rFonts w:hint="eastAsia" w:ascii="宋体" w:hAnsi="宋体" w:eastAsia="宋体" w:cs="宋体"/>
                <w:color w:val="auto"/>
                <w:kern w:val="0"/>
                <w:sz w:val="24"/>
                <w:szCs w:val="24"/>
                <w:lang w:val="en-US" w:eastAsia="zh-CN"/>
              </w:rPr>
              <w:t>3</w:t>
            </w:r>
          </w:p>
        </w:tc>
        <w:tc>
          <w:tcPr>
            <w:tcW w:w="2302" w:type="pct"/>
            <w:gridSpan w:val="2"/>
            <w:noWrap w:val="0"/>
            <w:vAlign w:val="center"/>
          </w:tcPr>
          <w:p w14:paraId="0E9576DD">
            <w:pPr>
              <w:widowControl/>
              <w:adjustRightInd/>
              <w:snapToGrid/>
              <w:spacing w:line="240" w:lineRule="auto"/>
              <w:ind w:firstLine="0" w:firstLineChars="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2864056.8836</w:t>
            </w:r>
          </w:p>
        </w:tc>
        <w:tc>
          <w:tcPr>
            <w:tcW w:w="2160" w:type="pct"/>
            <w:noWrap w:val="0"/>
            <w:vAlign w:val="center"/>
          </w:tcPr>
          <w:p w14:paraId="3E411870">
            <w:pPr>
              <w:widowControl/>
              <w:adjustRightInd/>
              <w:snapToGrid/>
              <w:spacing w:line="240" w:lineRule="auto"/>
              <w:ind w:firstLine="0" w:firstLineChars="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34479222.0434</w:t>
            </w:r>
          </w:p>
        </w:tc>
      </w:tr>
      <w:tr w14:paraId="108F7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36" w:type="pct"/>
            <w:noWrap w:val="0"/>
            <w:vAlign w:val="center"/>
          </w:tcPr>
          <w:p w14:paraId="260BDEFF">
            <w:pPr>
              <w:widowControl/>
              <w:adjustRightInd/>
              <w:snapToGrid/>
              <w:spacing w:line="240" w:lineRule="auto"/>
              <w:ind w:firstLine="0" w:firstLineChars="0"/>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eastAsia="zh-CN"/>
              </w:rPr>
              <w:t>设1</w:t>
            </w:r>
            <w:r>
              <w:rPr>
                <w:rFonts w:hint="eastAsia" w:ascii="宋体" w:hAnsi="宋体" w:eastAsia="宋体" w:cs="宋体"/>
                <w:color w:val="auto"/>
                <w:kern w:val="0"/>
                <w:sz w:val="24"/>
                <w:szCs w:val="24"/>
                <w:lang w:val="en-US" w:eastAsia="zh-CN"/>
              </w:rPr>
              <w:t>4</w:t>
            </w:r>
          </w:p>
        </w:tc>
        <w:tc>
          <w:tcPr>
            <w:tcW w:w="2302" w:type="pct"/>
            <w:gridSpan w:val="2"/>
            <w:noWrap w:val="0"/>
            <w:vAlign w:val="center"/>
          </w:tcPr>
          <w:p w14:paraId="07A45EE7">
            <w:pPr>
              <w:widowControl/>
              <w:adjustRightInd/>
              <w:snapToGrid/>
              <w:spacing w:line="240" w:lineRule="auto"/>
              <w:ind w:firstLine="0" w:firstLineChars="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2864064.4043</w:t>
            </w:r>
          </w:p>
        </w:tc>
        <w:tc>
          <w:tcPr>
            <w:tcW w:w="2160" w:type="pct"/>
            <w:noWrap w:val="0"/>
            <w:vAlign w:val="center"/>
          </w:tcPr>
          <w:p w14:paraId="46AD44DD">
            <w:pPr>
              <w:widowControl/>
              <w:adjustRightInd/>
              <w:snapToGrid/>
              <w:spacing w:line="240" w:lineRule="auto"/>
              <w:ind w:firstLine="0" w:firstLineChars="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34479238.9131</w:t>
            </w:r>
          </w:p>
        </w:tc>
      </w:tr>
      <w:tr w14:paraId="26DC1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536" w:type="pct"/>
            <w:noWrap w:val="0"/>
            <w:vAlign w:val="center"/>
          </w:tcPr>
          <w:p w14:paraId="7F362EDE">
            <w:pPr>
              <w:widowControl/>
              <w:adjustRightInd/>
              <w:snapToGrid/>
              <w:spacing w:line="240" w:lineRule="auto"/>
              <w:ind w:firstLine="0" w:firstLineChars="0"/>
              <w:jc w:val="center"/>
              <w:rPr>
                <w:rFonts w:hint="default"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eastAsia="zh-CN"/>
              </w:rPr>
              <w:t>设</w:t>
            </w:r>
            <w:r>
              <w:rPr>
                <w:rFonts w:hint="eastAsia" w:ascii="宋体" w:hAnsi="宋体" w:eastAsia="宋体" w:cs="宋体"/>
                <w:color w:val="auto"/>
                <w:kern w:val="0"/>
                <w:sz w:val="24"/>
                <w:szCs w:val="24"/>
                <w:lang w:val="en-US" w:eastAsia="zh-CN"/>
              </w:rPr>
              <w:t>15</w:t>
            </w:r>
          </w:p>
        </w:tc>
        <w:tc>
          <w:tcPr>
            <w:tcW w:w="2302" w:type="pct"/>
            <w:gridSpan w:val="2"/>
            <w:noWrap w:val="0"/>
            <w:vAlign w:val="center"/>
          </w:tcPr>
          <w:p w14:paraId="40450670">
            <w:pPr>
              <w:widowControl/>
              <w:adjustRightInd/>
              <w:snapToGrid/>
              <w:spacing w:line="240" w:lineRule="auto"/>
              <w:ind w:firstLine="0" w:firstLineChars="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2864152.5700</w:t>
            </w:r>
          </w:p>
        </w:tc>
        <w:tc>
          <w:tcPr>
            <w:tcW w:w="2160" w:type="pct"/>
            <w:noWrap w:val="0"/>
            <w:vAlign w:val="center"/>
          </w:tcPr>
          <w:p w14:paraId="3D93B5EB">
            <w:pPr>
              <w:widowControl/>
              <w:adjustRightInd/>
              <w:snapToGrid/>
              <w:spacing w:line="240" w:lineRule="auto"/>
              <w:ind w:firstLine="0" w:firstLineChars="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34479204.0600</w:t>
            </w:r>
          </w:p>
        </w:tc>
      </w:tr>
      <w:tr w14:paraId="42B97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710" w:type="pct"/>
            <w:gridSpan w:val="2"/>
            <w:noWrap w:val="0"/>
            <w:vAlign w:val="center"/>
          </w:tcPr>
          <w:p w14:paraId="0C491AA7">
            <w:pPr>
              <w:widowControl/>
              <w:adjustRightInd/>
              <w:snapToGrid/>
              <w:spacing w:line="240" w:lineRule="auto"/>
              <w:ind w:firstLine="0" w:firstLineChars="0"/>
              <w:jc w:val="center"/>
              <w:rPr>
                <w:rFonts w:ascii="宋体" w:hAnsi="宋体" w:eastAsia="宋体" w:cs="宋体"/>
                <w:color w:val="auto"/>
                <w:kern w:val="0"/>
                <w:sz w:val="24"/>
                <w:szCs w:val="24"/>
              </w:rPr>
            </w:pPr>
            <w:r>
              <w:rPr>
                <w:rFonts w:hint="eastAsia" w:ascii="宋体" w:hAnsi="宋体" w:eastAsia="宋体" w:cs="宋体"/>
                <w:b/>
                <w:bCs/>
                <w:color w:val="auto"/>
                <w:kern w:val="0"/>
                <w:sz w:val="24"/>
                <w:szCs w:val="24"/>
              </w:rPr>
              <w:t>矿区面积</w:t>
            </w:r>
          </w:p>
        </w:tc>
        <w:tc>
          <w:tcPr>
            <w:tcW w:w="4289" w:type="pct"/>
            <w:gridSpan w:val="2"/>
            <w:noWrap w:val="0"/>
            <w:vAlign w:val="center"/>
          </w:tcPr>
          <w:p w14:paraId="02EB3183">
            <w:pPr>
              <w:widowControl/>
              <w:adjustRightInd/>
              <w:snapToGrid/>
              <w:spacing w:line="240" w:lineRule="auto"/>
              <w:ind w:firstLine="0" w:firstLineChars="0"/>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0.0338km</w:t>
            </w:r>
            <w:r>
              <w:rPr>
                <w:rFonts w:hint="eastAsia" w:ascii="宋体" w:hAnsi="宋体" w:eastAsia="宋体" w:cs="宋体"/>
                <w:color w:val="auto"/>
                <w:kern w:val="0"/>
                <w:sz w:val="24"/>
                <w:szCs w:val="24"/>
                <w:vertAlign w:val="superscript"/>
              </w:rPr>
              <w:t>2</w:t>
            </w:r>
          </w:p>
        </w:tc>
      </w:tr>
    </w:tbl>
    <w:p w14:paraId="65A17C17">
      <w:pPr>
        <w:pStyle w:val="5"/>
        <w:bidi w:val="0"/>
        <w:rPr>
          <w:rFonts w:hint="eastAsia"/>
          <w:lang w:val="en-US" w:eastAsia="zh-CN"/>
        </w:rPr>
      </w:pPr>
      <w:r>
        <w:rPr>
          <w:rFonts w:hint="eastAsia"/>
          <w:lang w:val="en-US" w:eastAsia="zh-CN"/>
        </w:rPr>
        <w:t>开采方式</w:t>
      </w:r>
    </w:p>
    <w:p w14:paraId="13A7FC48">
      <w:pPr>
        <w:bidi w:val="0"/>
      </w:pPr>
      <w:r>
        <w:rPr>
          <w:rFonts w:hint="eastAsia"/>
        </w:rPr>
        <w:t>根据矿体赋存特征及采矿许可证核准的开采方式，设计开采方式为露天开采。</w:t>
      </w:r>
    </w:p>
    <w:p w14:paraId="71627C9B">
      <w:pPr>
        <w:pStyle w:val="5"/>
        <w:bidi w:val="0"/>
      </w:pPr>
      <w:r>
        <w:rPr>
          <w:rFonts w:hint="eastAsia"/>
          <w:lang w:val="en-US" w:eastAsia="zh-CN"/>
        </w:rPr>
        <w:t>矿区</w:t>
      </w:r>
      <w:r>
        <w:t>开采顺序</w:t>
      </w:r>
    </w:p>
    <w:p w14:paraId="087B4990">
      <w:pPr>
        <w:bidi w:val="0"/>
        <w:rPr>
          <w:rFonts w:hint="default"/>
          <w:lang w:val="en-US" w:eastAsia="zh-CN"/>
        </w:rPr>
      </w:pPr>
      <w:r>
        <w:rPr>
          <w:rFonts w:hint="eastAsia" w:ascii="宋体" w:hAnsi="宋体" w:cs="宋体"/>
          <w:color w:val="auto"/>
          <w:sz w:val="28"/>
          <w:szCs w:val="28"/>
        </w:rPr>
        <w:t>因矿体大多出露地表，矿体表面仅覆盖有少量的残坡积层</w:t>
      </w:r>
      <w:r>
        <w:rPr>
          <w:rFonts w:hint="eastAsia" w:ascii="宋体" w:hAnsi="宋体" w:cs="宋体"/>
          <w:color w:val="auto"/>
          <w:sz w:val="28"/>
          <w:szCs w:val="28"/>
          <w:lang w:eastAsia="zh-CN"/>
        </w:rPr>
        <w:t>，</w:t>
      </w:r>
      <w:r>
        <w:rPr>
          <w:rFonts w:hint="eastAsia" w:ascii="宋体" w:hAnsi="宋体" w:cs="宋体"/>
          <w:color w:val="auto"/>
          <w:sz w:val="28"/>
          <w:szCs w:val="28"/>
        </w:rPr>
        <w:t>在开采过程中采用挖机及人力进行清除后即可进行矿石的回采，设计采用山坡露天自上而下分台阶开采</w:t>
      </w:r>
      <w:r>
        <w:rPr>
          <w:rFonts w:hint="eastAsia"/>
          <w:lang w:val="en-US" w:eastAsia="zh-CN"/>
        </w:rPr>
        <w:t>。</w:t>
      </w:r>
    </w:p>
    <w:p w14:paraId="54730FA6">
      <w:pPr>
        <w:pStyle w:val="4"/>
        <w:bidi w:val="0"/>
        <w:rPr>
          <w:rFonts w:hint="eastAsia"/>
        </w:rPr>
      </w:pPr>
      <w:bookmarkStart w:id="97" w:name="_Toc22999"/>
      <w:r>
        <w:rPr>
          <w:rFonts w:hint="eastAsia"/>
        </w:rPr>
        <w:t>开拓运输</w:t>
      </w:r>
      <w:bookmarkEnd w:id="97"/>
    </w:p>
    <w:p w14:paraId="36E32FB6">
      <w:pPr>
        <w:pStyle w:val="5"/>
        <w:bidi w:val="0"/>
        <w:rPr>
          <w:rFonts w:hint="eastAsia"/>
        </w:rPr>
      </w:pPr>
      <w:r>
        <w:t>开拓运输方式</w:t>
      </w:r>
    </w:p>
    <w:p w14:paraId="2A15A9DC">
      <w:pPr>
        <w:bidi w:val="0"/>
        <w:rPr>
          <w:rFonts w:hint="eastAsia" w:ascii="宋体" w:hAnsi="宋体" w:eastAsia="宋体" w:cs="宋体"/>
        </w:rPr>
      </w:pPr>
      <w:r>
        <w:rPr>
          <w:rFonts w:hint="eastAsia" w:ascii="宋体" w:hAnsi="宋体" w:cs="宋体"/>
          <w:color w:val="auto"/>
          <w:sz w:val="28"/>
          <w:szCs w:val="28"/>
        </w:rPr>
        <w:t>设计确定采用公路运输开拓，自卸汽车运输方案</w:t>
      </w:r>
      <w:r>
        <w:rPr>
          <w:rFonts w:hint="eastAsia" w:ascii="宋体" w:hAnsi="宋体" w:eastAsia="宋体" w:cs="宋体"/>
        </w:rPr>
        <w:t>。</w:t>
      </w:r>
    </w:p>
    <w:p w14:paraId="40F1B3DF">
      <w:pPr>
        <w:numPr>
          <w:ilvl w:val="0"/>
          <w:numId w:val="21"/>
        </w:numPr>
        <w:bidi w:val="0"/>
        <w:rPr>
          <w:rFonts w:hint="eastAsia" w:ascii="宋体" w:hAnsi="宋体" w:eastAsia="宋体" w:cs="宋体"/>
          <w:color w:val="auto"/>
          <w:sz w:val="28"/>
          <w:szCs w:val="28"/>
          <w:lang w:eastAsia="zh-CN"/>
        </w:rPr>
      </w:pPr>
      <w:r>
        <w:rPr>
          <w:rFonts w:hint="eastAsia" w:ascii="宋体" w:hAnsi="宋体" w:eastAsia="宋体" w:cs="宋体"/>
          <w:color w:val="auto"/>
          <w:sz w:val="28"/>
          <w:szCs w:val="28"/>
        </w:rPr>
        <w:t>矿山采场内原有的运输主要以西侧道路为主，公路长约80m，坡度约12%，考虑西面边坡为历史开挖面，已靠矿界，有部分地处矿界外，无法进行治理，边坡下部运矿道路运输车辆及行人安全，该条道路只作为应急道路使用，边坡下道路做简易封堵；原路面宽约6m，作为缓冲平台</w:t>
      </w:r>
      <w:r>
        <w:rPr>
          <w:rFonts w:hint="eastAsia" w:ascii="宋体" w:hAnsi="宋体" w:cs="宋体"/>
          <w:color w:val="auto"/>
          <w:sz w:val="28"/>
          <w:szCs w:val="28"/>
          <w:lang w:eastAsia="zh-CN"/>
        </w:rPr>
        <w:t>，</w:t>
      </w:r>
      <w:r>
        <w:rPr>
          <w:rFonts w:hint="eastAsia" w:ascii="宋体" w:hAnsi="宋体" w:eastAsia="宋体" w:cs="宋体"/>
          <w:color w:val="auto"/>
          <w:sz w:val="28"/>
          <w:szCs w:val="28"/>
        </w:rPr>
        <w:t>沿边坡脚一面设置排水沟，周边布设相应的安全警示标识</w:t>
      </w:r>
      <w:r>
        <w:rPr>
          <w:rFonts w:hint="eastAsia" w:ascii="宋体" w:hAnsi="宋体" w:eastAsia="宋体" w:cs="宋体"/>
          <w:color w:val="auto"/>
          <w:sz w:val="28"/>
          <w:szCs w:val="28"/>
          <w:lang w:eastAsia="zh-CN"/>
        </w:rPr>
        <w:t>。</w:t>
      </w:r>
    </w:p>
    <w:p w14:paraId="21D6EA77">
      <w:pPr>
        <w:numPr>
          <w:ilvl w:val="0"/>
          <w:numId w:val="21"/>
        </w:numPr>
        <w:bidi w:val="0"/>
        <w:rPr>
          <w:rFonts w:hint="eastAsia" w:ascii="宋体" w:hAnsi="宋体" w:eastAsia="宋体" w:cs="宋体"/>
          <w:color w:val="auto"/>
          <w:sz w:val="28"/>
          <w:szCs w:val="28"/>
        </w:rPr>
      </w:pPr>
      <w:r>
        <w:rPr>
          <w:rFonts w:hint="eastAsia" w:ascii="宋体" w:hAnsi="宋体" w:eastAsia="宋体" w:cs="宋体"/>
          <w:color w:val="auto"/>
          <w:sz w:val="28"/>
          <w:szCs w:val="28"/>
        </w:rPr>
        <w:t>矿山采场内东侧原有道路未通至卸矿平台，在原有道路的基础进行削降坡及扩宽处理，在入料口西侧做一部分填方处理与入料口前道路衔接，保证道路可从采场底部通至卸矿平台，此路段总长约273.83m</w:t>
      </w:r>
      <w:r>
        <w:rPr>
          <w:rFonts w:hint="eastAsia" w:ascii="宋体" w:hAnsi="宋体" w:cs="宋体"/>
          <w:color w:val="auto"/>
          <w:sz w:val="28"/>
          <w:szCs w:val="28"/>
          <w:lang w:eastAsia="zh-CN"/>
        </w:rPr>
        <w:t>，</w:t>
      </w:r>
      <w:r>
        <w:rPr>
          <w:rFonts w:hint="eastAsia" w:ascii="宋体" w:hAnsi="宋体" w:eastAsia="宋体" w:cs="宋体"/>
          <w:color w:val="auto"/>
          <w:sz w:val="28"/>
          <w:szCs w:val="28"/>
        </w:rPr>
        <w:t>扩宽道路路基至6m</w:t>
      </w:r>
      <w:r>
        <w:rPr>
          <w:rFonts w:hint="eastAsia" w:ascii="宋体" w:hAnsi="宋体" w:cs="宋体"/>
          <w:color w:val="auto"/>
          <w:sz w:val="28"/>
          <w:szCs w:val="28"/>
          <w:lang w:eastAsia="zh-CN"/>
        </w:rPr>
        <w:t>，</w:t>
      </w:r>
      <w:r>
        <w:rPr>
          <w:rFonts w:hint="eastAsia" w:ascii="宋体" w:hAnsi="宋体" w:eastAsia="宋体" w:cs="宋体"/>
          <w:color w:val="auto"/>
          <w:sz w:val="28"/>
          <w:szCs w:val="28"/>
        </w:rPr>
        <w:t>路面</w:t>
      </w:r>
      <w:r>
        <w:rPr>
          <w:rFonts w:hint="eastAsia" w:ascii="宋体" w:hAnsi="宋体" w:cs="宋体"/>
          <w:color w:val="auto"/>
          <w:sz w:val="28"/>
          <w:szCs w:val="28"/>
          <w:lang w:val="en-US" w:eastAsia="zh-CN"/>
        </w:rPr>
        <w:t>宽度</w:t>
      </w:r>
      <w:r>
        <w:rPr>
          <w:rFonts w:hint="eastAsia" w:ascii="宋体" w:hAnsi="宋体" w:eastAsia="宋体" w:cs="宋体"/>
          <w:color w:val="auto"/>
          <w:sz w:val="28"/>
          <w:szCs w:val="28"/>
        </w:rPr>
        <w:t>4.5m</w:t>
      </w:r>
      <w:r>
        <w:rPr>
          <w:rFonts w:hint="eastAsia" w:ascii="宋体" w:hAnsi="宋体" w:cs="宋体"/>
          <w:color w:val="auto"/>
          <w:sz w:val="28"/>
          <w:szCs w:val="28"/>
          <w:lang w:eastAsia="zh-CN"/>
        </w:rPr>
        <w:t>，</w:t>
      </w:r>
      <w:r>
        <w:rPr>
          <w:rFonts w:hint="eastAsia" w:ascii="宋体" w:hAnsi="宋体" w:eastAsia="宋体" w:cs="宋体"/>
          <w:color w:val="auto"/>
          <w:sz w:val="28"/>
          <w:szCs w:val="28"/>
        </w:rPr>
        <w:t>道路最大纵坡度不得＞9%，沿边坡脚一面设置排水沟，周边布设相应的安全警示标识。</w:t>
      </w:r>
    </w:p>
    <w:p w14:paraId="0475B730">
      <w:pPr>
        <w:numPr>
          <w:ilvl w:val="0"/>
          <w:numId w:val="21"/>
        </w:numPr>
        <w:bidi w:val="0"/>
        <w:rPr>
          <w:rFonts w:hint="eastAsia" w:ascii="宋体" w:hAnsi="宋体" w:eastAsia="宋体" w:cs="宋体"/>
          <w:color w:val="auto"/>
          <w:sz w:val="28"/>
          <w:szCs w:val="28"/>
          <w:lang w:eastAsia="zh-CN"/>
        </w:rPr>
      </w:pPr>
      <w:r>
        <w:rPr>
          <w:rFonts w:hint="eastAsia" w:ascii="宋体" w:hAnsi="宋体" w:eastAsia="宋体" w:cs="宋体"/>
          <w:color w:val="auto"/>
          <w:sz w:val="28"/>
          <w:szCs w:val="28"/>
        </w:rPr>
        <w:t>需新建矿山开拓运输公路为卸矿平台至1098m基建平台，道路总长804.95m，公路按露天矿山三级道路标准设计，泥结碎石路面，单车道，路基宽6m，路面宽4.5m，道路最大纵坡度＜9%，最小转弯半径15m，面层厚0.35m。公路靠山坡一侧修筑排水沟，排水沟断面为顶宽0.5m，底宽0.3m，深0.3m。行车密度小于20辆/小时，设计行车速度15km/h。根据矿山生产规模、运距等条件，运输车辆采用单向单边行驶，此次设计错车道，不设置避险车道。回填路段必须对路基进行清基至基岩，并用大块岩石和碎石混合压实回填。矿山公路危险地段设置安全警示标志牌。</w:t>
      </w:r>
    </w:p>
    <w:p w14:paraId="411A7BDC">
      <w:pPr>
        <w:pStyle w:val="5"/>
        <w:bidi w:val="0"/>
        <w:rPr>
          <w:rFonts w:hint="eastAsia"/>
        </w:rPr>
      </w:pPr>
      <w:r>
        <w:t>运输设备、设施</w:t>
      </w:r>
    </w:p>
    <w:p w14:paraId="5DE4B3B9">
      <w:pPr>
        <w:bidi w:val="0"/>
        <w:rPr>
          <w:rFonts w:hint="eastAsia" w:ascii="Times New Roman" w:hAnsi="Times New Roman" w:eastAsia="宋体" w:cs="Times New Roman"/>
        </w:rPr>
      </w:pPr>
      <w:r>
        <w:rPr>
          <w:rFonts w:hint="eastAsia" w:ascii="宋体" w:hAnsi="宋体" w:cs="宋体"/>
          <w:color w:val="auto"/>
          <w:sz w:val="28"/>
          <w:szCs w:val="28"/>
        </w:rPr>
        <w:t>选用龙工 LG6240E挖掘机进行回采工作，载重量为25t矿用自卸汽车运输至破碎站，龙工ZL50NC装载机同时配合汽车、挖掘机进行作业</w:t>
      </w:r>
      <w:r>
        <w:rPr>
          <w:rFonts w:hint="eastAsia" w:ascii="Times New Roman" w:hAnsi="Times New Roman" w:eastAsia="宋体" w:cs="Times New Roman"/>
        </w:rPr>
        <w:t>。</w:t>
      </w:r>
    </w:p>
    <w:p w14:paraId="773A354F">
      <w:pPr>
        <w:pStyle w:val="4"/>
        <w:bidi w:val="0"/>
        <w:rPr>
          <w:rFonts w:hint="eastAsia"/>
        </w:rPr>
      </w:pPr>
      <w:bookmarkStart w:id="98" w:name="_Toc24224"/>
      <w:r>
        <w:rPr>
          <w:rFonts w:hint="eastAsia"/>
        </w:rPr>
        <w:t>采矿工艺</w:t>
      </w:r>
      <w:bookmarkEnd w:id="98"/>
    </w:p>
    <w:p w14:paraId="32A31C8D">
      <w:pPr>
        <w:pStyle w:val="5"/>
        <w:bidi w:val="0"/>
        <w:rPr>
          <w:rFonts w:hint="eastAsia"/>
        </w:rPr>
      </w:pPr>
      <w:r>
        <w:t>露天采场境界</w:t>
      </w:r>
    </w:p>
    <w:p w14:paraId="24B574E9">
      <w:pPr>
        <w:bidi w:val="0"/>
      </w:pPr>
      <w:r>
        <w:rPr>
          <w:rFonts w:hint="eastAsia"/>
          <w:lang w:val="en-US" w:eastAsia="zh-CN"/>
        </w:rPr>
        <w:t>矿山采场边坡参数的选择依据主要有矿山地形地貌、矿体特征、开采技术条件等。具体如下：</w:t>
      </w:r>
    </w:p>
    <w:p w14:paraId="072420C8">
      <w:pPr>
        <w:numPr>
          <w:ilvl w:val="0"/>
          <w:numId w:val="22"/>
        </w:numPr>
        <w:bidi w:val="0"/>
        <w:ind w:left="0" w:leftChars="0"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境界参数</w:t>
      </w:r>
    </w:p>
    <w:p w14:paraId="6840F2F0">
      <w:pPr>
        <w:bidi w:val="0"/>
        <w:rPr>
          <w:rFonts w:hint="eastAsia"/>
          <w:lang w:val="en-US" w:eastAsia="zh-CN"/>
        </w:rPr>
      </w:pPr>
      <w:r>
        <w:rPr>
          <w:rFonts w:hint="eastAsia"/>
          <w:lang w:val="en-US" w:eastAsia="zh-CN"/>
        </w:rPr>
        <w:t>采场参数如下：</w:t>
      </w:r>
    </w:p>
    <w:p w14:paraId="1823EFE0">
      <w:pPr>
        <w:numPr>
          <w:ilvl w:val="0"/>
          <w:numId w:val="23"/>
        </w:numPr>
        <w:bidi w:val="0"/>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剥离台阶高度</w:t>
      </w:r>
      <w:r>
        <w:rPr>
          <w:rFonts w:hint="eastAsia" w:ascii="宋体" w:hAnsi="宋体" w:cs="宋体"/>
          <w:color w:val="auto"/>
          <w:sz w:val="28"/>
          <w:szCs w:val="28"/>
          <w:lang w:val="en-US" w:eastAsia="zh-CN"/>
        </w:rPr>
        <w:t xml:space="preserve">         8m；</w:t>
      </w:r>
    </w:p>
    <w:p w14:paraId="20AE373A">
      <w:pPr>
        <w:numPr>
          <w:ilvl w:val="0"/>
          <w:numId w:val="23"/>
        </w:numPr>
        <w:bidi w:val="0"/>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终了台阶高度</w:t>
      </w:r>
      <w:r>
        <w:rPr>
          <w:rFonts w:hint="eastAsia" w:ascii="宋体" w:hAnsi="宋体" w:cs="宋体"/>
          <w:color w:val="auto"/>
          <w:sz w:val="28"/>
          <w:szCs w:val="28"/>
          <w:lang w:val="en-US" w:eastAsia="zh-CN"/>
        </w:rPr>
        <w:t xml:space="preserve">         7m（1106m平台）；</w:t>
      </w:r>
    </w:p>
    <w:p w14:paraId="568CDD8E">
      <w:pPr>
        <w:numPr>
          <w:ilvl w:val="0"/>
          <w:numId w:val="23"/>
        </w:numPr>
        <w:bidi w:val="0"/>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终了台阶坡面角</w:t>
      </w:r>
      <w:r>
        <w:rPr>
          <w:rFonts w:hint="eastAsia" w:ascii="宋体" w:hAnsi="宋体" w:cs="宋体"/>
          <w:color w:val="auto"/>
          <w:sz w:val="28"/>
          <w:szCs w:val="28"/>
          <w:lang w:val="en-US" w:eastAsia="zh-CN"/>
        </w:rPr>
        <w:t xml:space="preserve">       </w:t>
      </w:r>
      <w:r>
        <w:rPr>
          <w:rFonts w:hint="eastAsia" w:ascii="宋体" w:hAnsi="宋体" w:eastAsia="宋体" w:cs="宋体"/>
          <w:b w:val="0"/>
          <w:color w:val="auto"/>
          <w:kern w:val="2"/>
          <w:sz w:val="24"/>
          <w:szCs w:val="24"/>
          <w:lang w:val="en-US" w:eastAsia="zh-CN" w:bidi="ar-SA"/>
        </w:rPr>
        <w:t>50°</w:t>
      </w:r>
      <w:r>
        <w:rPr>
          <w:rFonts w:hint="eastAsia" w:ascii="宋体" w:hAnsi="宋体" w:cs="宋体"/>
          <w:b w:val="0"/>
          <w:color w:val="auto"/>
          <w:kern w:val="2"/>
          <w:sz w:val="24"/>
          <w:szCs w:val="24"/>
          <w:lang w:val="en-US" w:eastAsia="zh-CN" w:bidi="ar-SA"/>
        </w:rPr>
        <w:t>；</w:t>
      </w:r>
    </w:p>
    <w:p w14:paraId="56BD433B">
      <w:pPr>
        <w:numPr>
          <w:ilvl w:val="0"/>
          <w:numId w:val="23"/>
        </w:numPr>
        <w:bidi w:val="0"/>
        <w:rPr>
          <w:rFonts w:hint="eastAsia" w:ascii="宋体" w:hAnsi="宋体" w:eastAsia="宋体" w:cs="宋体"/>
          <w:color w:val="auto"/>
          <w:sz w:val="28"/>
          <w:szCs w:val="28"/>
          <w:lang w:val="en-US" w:eastAsia="zh-CN"/>
        </w:rPr>
      </w:pPr>
      <w:r>
        <w:rPr>
          <w:rFonts w:hint="eastAsia" w:ascii="宋体" w:hAnsi="宋体" w:cs="宋体"/>
          <w:color w:val="auto"/>
          <w:sz w:val="28"/>
          <w:szCs w:val="28"/>
        </w:rPr>
        <w:t>终了边坡角</w:t>
      </w:r>
      <w:r>
        <w:rPr>
          <w:rFonts w:hint="eastAsia" w:ascii="宋体" w:hAnsi="宋体" w:cs="宋体"/>
          <w:color w:val="auto"/>
          <w:sz w:val="28"/>
          <w:szCs w:val="28"/>
          <w:lang w:val="en-US" w:eastAsia="zh-CN"/>
        </w:rPr>
        <w:t xml:space="preserve">           </w:t>
      </w:r>
      <w:r>
        <w:rPr>
          <w:rFonts w:hint="eastAsia" w:ascii="宋体" w:hAnsi="宋体" w:cs="宋体"/>
          <w:color w:val="auto"/>
          <w:sz w:val="28"/>
          <w:szCs w:val="28"/>
        </w:rPr>
        <w:t>≤</w:t>
      </w:r>
      <w:r>
        <w:rPr>
          <w:rFonts w:hint="eastAsia" w:ascii="宋体" w:hAnsi="宋体" w:cs="宋体"/>
          <w:color w:val="auto"/>
          <w:sz w:val="28"/>
          <w:szCs w:val="28"/>
          <w:lang w:val="en-US" w:eastAsia="zh-CN"/>
        </w:rPr>
        <w:t>37</w:t>
      </w:r>
      <w:r>
        <w:rPr>
          <w:rFonts w:hint="eastAsia" w:ascii="宋体" w:hAnsi="宋体" w:cs="宋体"/>
          <w:color w:val="auto"/>
          <w:sz w:val="28"/>
          <w:szCs w:val="28"/>
        </w:rPr>
        <w:t>°</w:t>
      </w:r>
      <w:r>
        <w:rPr>
          <w:rFonts w:hint="eastAsia" w:ascii="宋体" w:hAnsi="宋体" w:cs="宋体"/>
          <w:b w:val="0"/>
          <w:color w:val="auto"/>
          <w:kern w:val="2"/>
          <w:sz w:val="24"/>
          <w:szCs w:val="24"/>
          <w:lang w:val="en-US" w:eastAsia="zh-CN" w:bidi="ar-SA"/>
        </w:rPr>
        <w:t>；</w:t>
      </w:r>
    </w:p>
    <w:p w14:paraId="4EF3661F">
      <w:pPr>
        <w:numPr>
          <w:ilvl w:val="0"/>
          <w:numId w:val="23"/>
        </w:numPr>
        <w:bidi w:val="0"/>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安全平台宽度</w:t>
      </w:r>
      <w:r>
        <w:rPr>
          <w:rFonts w:hint="eastAsia" w:ascii="宋体" w:hAnsi="宋体" w:cs="宋体"/>
          <w:color w:val="auto"/>
          <w:sz w:val="28"/>
          <w:szCs w:val="28"/>
          <w:lang w:val="en-US" w:eastAsia="zh-CN"/>
        </w:rPr>
        <w:t xml:space="preserve">         4m；</w:t>
      </w:r>
    </w:p>
    <w:p w14:paraId="7E55CC7B">
      <w:pPr>
        <w:numPr>
          <w:ilvl w:val="0"/>
          <w:numId w:val="23"/>
        </w:numPr>
        <w:bidi w:val="0"/>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清扫平台宽度</w:t>
      </w:r>
      <w:r>
        <w:rPr>
          <w:rFonts w:hint="eastAsia" w:ascii="宋体" w:hAnsi="宋体" w:cs="宋体"/>
          <w:color w:val="auto"/>
          <w:sz w:val="28"/>
          <w:szCs w:val="28"/>
          <w:lang w:val="en-US" w:eastAsia="zh-CN"/>
        </w:rPr>
        <w:t xml:space="preserve">         6m。</w:t>
      </w:r>
    </w:p>
    <w:p w14:paraId="306B98D2">
      <w:pPr>
        <w:numPr>
          <w:ilvl w:val="0"/>
          <w:numId w:val="22"/>
        </w:numPr>
        <w:bidi w:val="0"/>
        <w:ind w:left="0" w:leftChars="0" w:firstLine="560" w:firstLineChars="200"/>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境界圈定结果表</w:t>
      </w:r>
    </w:p>
    <w:p w14:paraId="43E1460D">
      <w:pPr>
        <w:pStyle w:val="11"/>
        <w:ind w:left="0" w:leftChars="0" w:firstLine="0" w:firstLineChars="0"/>
        <w:jc w:val="center"/>
        <w:rPr>
          <w:rFonts w:hint="eastAsia" w:eastAsia="宋体"/>
          <w:lang w:eastAsia="zh-CN"/>
        </w:rPr>
      </w:pPr>
      <w:r>
        <w:t xml:space="preserve">表 </w:t>
      </w:r>
      <w:r>
        <w:fldChar w:fldCharType="begin"/>
      </w:r>
      <w:r>
        <w:instrText xml:space="preserve"> STYLEREF 1 \s </w:instrText>
      </w:r>
      <w:r>
        <w:fldChar w:fldCharType="separate"/>
      </w:r>
      <w:r>
        <w:t>2</w:t>
      </w:r>
      <w:r>
        <w:fldChar w:fldCharType="end"/>
      </w:r>
      <w:r>
        <w:rPr>
          <w:rFonts w:hint="eastAsia"/>
          <w:lang w:eastAsia="zh-CN"/>
        </w:rPr>
        <w:t>-</w:t>
      </w:r>
      <w:r>
        <w:fldChar w:fldCharType="begin"/>
      </w:r>
      <w:r>
        <w:instrText xml:space="preserve"> SEQ 表 \* ARABIC \s 1 </w:instrText>
      </w:r>
      <w:r>
        <w:fldChar w:fldCharType="separate"/>
      </w:r>
      <w:r>
        <w:t>6</w:t>
      </w:r>
      <w:r>
        <w:fldChar w:fldCharType="end"/>
      </w:r>
      <w:r>
        <w:rPr>
          <w:rFonts w:hint="eastAsia"/>
          <w:lang w:eastAsia="zh-CN"/>
        </w:rPr>
        <w:t xml:space="preserve"> 露天开采境界圈定结果表</w:t>
      </w:r>
    </w:p>
    <w:tbl>
      <w:tblPr>
        <w:tblStyle w:val="29"/>
        <w:tblW w:w="4997"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302"/>
        <w:gridCol w:w="3569"/>
        <w:gridCol w:w="1761"/>
        <w:gridCol w:w="2481"/>
      </w:tblGrid>
      <w:tr w14:paraId="15F515C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397" w:hRule="exact"/>
          <w:tblHeader/>
          <w:jc w:val="center"/>
        </w:trPr>
        <w:tc>
          <w:tcPr>
            <w:tcW w:w="2672" w:type="pct"/>
            <w:gridSpan w:val="2"/>
            <w:noWrap w:val="0"/>
            <w:vAlign w:val="center"/>
          </w:tcPr>
          <w:p w14:paraId="3C5BA208">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项目</w:t>
            </w:r>
          </w:p>
        </w:tc>
        <w:tc>
          <w:tcPr>
            <w:tcW w:w="966" w:type="pct"/>
            <w:noWrap w:val="0"/>
            <w:vAlign w:val="center"/>
          </w:tcPr>
          <w:p w14:paraId="115A3361">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参数</w:t>
            </w:r>
          </w:p>
        </w:tc>
        <w:tc>
          <w:tcPr>
            <w:tcW w:w="1361" w:type="pct"/>
            <w:noWrap w:val="0"/>
            <w:vAlign w:val="center"/>
          </w:tcPr>
          <w:p w14:paraId="62FB09F9">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备注</w:t>
            </w:r>
          </w:p>
        </w:tc>
      </w:tr>
      <w:tr w14:paraId="05F46CB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397" w:hRule="exact"/>
          <w:tblHeader/>
          <w:jc w:val="center"/>
        </w:trPr>
        <w:tc>
          <w:tcPr>
            <w:tcW w:w="714" w:type="pct"/>
            <w:vMerge w:val="restart"/>
            <w:noWrap w:val="0"/>
            <w:vAlign w:val="center"/>
          </w:tcPr>
          <w:p w14:paraId="6C9D82DE">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境界</w:t>
            </w:r>
          </w:p>
        </w:tc>
        <w:tc>
          <w:tcPr>
            <w:tcW w:w="1958" w:type="pct"/>
            <w:noWrap w:val="0"/>
            <w:vAlign w:val="center"/>
          </w:tcPr>
          <w:p w14:paraId="4CEA37A9">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cs="宋体"/>
                <w:color w:val="auto"/>
                <w:kern w:val="0"/>
                <w:sz w:val="24"/>
                <w:lang w:bidi="ar"/>
              </w:rPr>
              <w:t>开采总高度</w:t>
            </w:r>
          </w:p>
        </w:tc>
        <w:tc>
          <w:tcPr>
            <w:tcW w:w="966" w:type="pct"/>
            <w:noWrap w:val="0"/>
            <w:vAlign w:val="center"/>
          </w:tcPr>
          <w:p w14:paraId="633048C8">
            <w:pPr>
              <w:widowControl w:val="0"/>
              <w:adjustRightInd w:val="0"/>
              <w:snapToGrid w:val="0"/>
              <w:spacing w:line="240" w:lineRule="auto"/>
              <w:ind w:firstLine="0" w:firstLineChars="0"/>
              <w:jc w:val="center"/>
              <w:rPr>
                <w:rFonts w:hint="default"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63m</w:t>
            </w:r>
          </w:p>
        </w:tc>
        <w:tc>
          <w:tcPr>
            <w:tcW w:w="1361" w:type="pct"/>
            <w:noWrap w:val="0"/>
            <w:vAlign w:val="center"/>
          </w:tcPr>
          <w:p w14:paraId="01EABCA4">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cs="宋体"/>
                <w:color w:val="auto"/>
                <w:kern w:val="0"/>
                <w:sz w:val="24"/>
                <w:lang w:val="en-US" w:eastAsia="zh-CN" w:bidi="ar"/>
              </w:rPr>
              <w:t>1113</w:t>
            </w:r>
            <w:r>
              <w:rPr>
                <w:rFonts w:hint="eastAsia" w:ascii="宋体" w:hAnsi="宋体" w:cs="宋体"/>
                <w:color w:val="auto"/>
                <w:kern w:val="0"/>
                <w:sz w:val="24"/>
                <w:lang w:bidi="ar"/>
              </w:rPr>
              <w:t>m～10</w:t>
            </w:r>
            <w:r>
              <w:rPr>
                <w:rFonts w:hint="eastAsia" w:ascii="宋体" w:hAnsi="宋体" w:cs="宋体"/>
                <w:color w:val="auto"/>
                <w:kern w:val="0"/>
                <w:sz w:val="24"/>
                <w:lang w:val="en-US" w:eastAsia="zh-CN" w:bidi="ar"/>
              </w:rPr>
              <w:t>50</w:t>
            </w:r>
            <w:r>
              <w:rPr>
                <w:rFonts w:hint="eastAsia" w:ascii="宋体" w:hAnsi="宋体" w:cs="宋体"/>
                <w:color w:val="auto"/>
                <w:kern w:val="0"/>
                <w:sz w:val="24"/>
                <w:lang w:bidi="ar"/>
              </w:rPr>
              <w:t>m</w:t>
            </w:r>
          </w:p>
        </w:tc>
      </w:tr>
      <w:tr w14:paraId="28BACE2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397" w:hRule="exact"/>
          <w:jc w:val="center"/>
        </w:trPr>
        <w:tc>
          <w:tcPr>
            <w:tcW w:w="714" w:type="pct"/>
            <w:vMerge w:val="continue"/>
            <w:noWrap w:val="0"/>
            <w:vAlign w:val="center"/>
          </w:tcPr>
          <w:p w14:paraId="263E8C55">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p>
        </w:tc>
        <w:tc>
          <w:tcPr>
            <w:tcW w:w="1958" w:type="pct"/>
            <w:noWrap w:val="0"/>
            <w:vAlign w:val="center"/>
          </w:tcPr>
          <w:p w14:paraId="20FC4C36">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露天采场最高坡顶线标高</w:t>
            </w:r>
          </w:p>
        </w:tc>
        <w:tc>
          <w:tcPr>
            <w:tcW w:w="966" w:type="pct"/>
            <w:noWrap w:val="0"/>
            <w:vAlign w:val="center"/>
          </w:tcPr>
          <w:p w14:paraId="2D5702D3">
            <w:pPr>
              <w:widowControl w:val="0"/>
              <w:adjustRightInd w:val="0"/>
              <w:snapToGrid w:val="0"/>
              <w:spacing w:line="240" w:lineRule="auto"/>
              <w:ind w:firstLine="0" w:firstLineChars="0"/>
              <w:jc w:val="center"/>
              <w:rPr>
                <w:rFonts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1113m</w:t>
            </w:r>
          </w:p>
        </w:tc>
        <w:tc>
          <w:tcPr>
            <w:tcW w:w="1361" w:type="pct"/>
            <w:noWrap w:val="0"/>
            <w:vAlign w:val="center"/>
          </w:tcPr>
          <w:p w14:paraId="37E34B3C">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p>
        </w:tc>
      </w:tr>
      <w:tr w14:paraId="275FD07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397" w:hRule="exact"/>
          <w:jc w:val="center"/>
        </w:trPr>
        <w:tc>
          <w:tcPr>
            <w:tcW w:w="714" w:type="pct"/>
            <w:vMerge w:val="continue"/>
            <w:noWrap w:val="0"/>
            <w:vAlign w:val="center"/>
          </w:tcPr>
          <w:p w14:paraId="7CE737BF">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p>
        </w:tc>
        <w:tc>
          <w:tcPr>
            <w:tcW w:w="1958" w:type="pct"/>
            <w:noWrap w:val="0"/>
            <w:vAlign w:val="center"/>
          </w:tcPr>
          <w:p w14:paraId="317B1E7D">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露天采场底部标高</w:t>
            </w:r>
          </w:p>
        </w:tc>
        <w:tc>
          <w:tcPr>
            <w:tcW w:w="966" w:type="pct"/>
            <w:noWrap w:val="0"/>
            <w:vAlign w:val="center"/>
          </w:tcPr>
          <w:p w14:paraId="3D0D1408">
            <w:pPr>
              <w:widowControl w:val="0"/>
              <w:adjustRightInd w:val="0"/>
              <w:snapToGrid w:val="0"/>
              <w:spacing w:line="240" w:lineRule="auto"/>
              <w:ind w:firstLine="0" w:firstLineChars="0"/>
              <w:jc w:val="center"/>
              <w:rPr>
                <w:rFonts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1050m</w:t>
            </w:r>
          </w:p>
        </w:tc>
        <w:tc>
          <w:tcPr>
            <w:tcW w:w="1361" w:type="pct"/>
            <w:noWrap w:val="0"/>
            <w:vAlign w:val="center"/>
          </w:tcPr>
          <w:p w14:paraId="39F94FBE">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p>
        </w:tc>
      </w:tr>
      <w:tr w14:paraId="0C471CA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397" w:hRule="exact"/>
          <w:jc w:val="center"/>
        </w:trPr>
        <w:tc>
          <w:tcPr>
            <w:tcW w:w="714" w:type="pct"/>
            <w:vMerge w:val="continue"/>
            <w:noWrap w:val="0"/>
            <w:vAlign w:val="center"/>
          </w:tcPr>
          <w:p w14:paraId="7704020D">
            <w:pPr>
              <w:widowControl w:val="0"/>
              <w:adjustRightInd w:val="0"/>
              <w:snapToGrid w:val="0"/>
              <w:spacing w:line="240" w:lineRule="auto"/>
              <w:ind w:firstLine="0" w:firstLineChars="0"/>
              <w:jc w:val="center"/>
              <w:rPr>
                <w:rFonts w:ascii="Times New Roman" w:hAnsi="Times New Roman" w:eastAsia="宋体" w:cs="Times New Roman"/>
                <w:b w:val="0"/>
                <w:color w:val="auto"/>
                <w:kern w:val="2"/>
                <w:sz w:val="24"/>
                <w:szCs w:val="24"/>
                <w:lang w:val="en-US" w:eastAsia="zh-CN" w:bidi="ar-SA"/>
              </w:rPr>
            </w:pPr>
          </w:p>
        </w:tc>
        <w:tc>
          <w:tcPr>
            <w:tcW w:w="1958" w:type="pct"/>
            <w:noWrap w:val="0"/>
            <w:vAlign w:val="center"/>
          </w:tcPr>
          <w:p w14:paraId="59CE1DAD">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上口尺寸（长×宽）</w:t>
            </w:r>
          </w:p>
        </w:tc>
        <w:tc>
          <w:tcPr>
            <w:tcW w:w="966" w:type="pct"/>
            <w:noWrap w:val="0"/>
            <w:vAlign w:val="center"/>
          </w:tcPr>
          <w:p w14:paraId="59B25AA2">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213×189m</w:t>
            </w:r>
          </w:p>
        </w:tc>
        <w:tc>
          <w:tcPr>
            <w:tcW w:w="1361" w:type="pct"/>
            <w:noWrap w:val="0"/>
            <w:vAlign w:val="center"/>
          </w:tcPr>
          <w:p w14:paraId="393C9DB6">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p>
        </w:tc>
      </w:tr>
      <w:tr w14:paraId="03E0D7A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397" w:hRule="exact"/>
          <w:jc w:val="center"/>
        </w:trPr>
        <w:tc>
          <w:tcPr>
            <w:tcW w:w="714" w:type="pct"/>
            <w:vMerge w:val="continue"/>
            <w:noWrap w:val="0"/>
            <w:vAlign w:val="center"/>
          </w:tcPr>
          <w:p w14:paraId="0A6933F1">
            <w:pPr>
              <w:widowControl w:val="0"/>
              <w:adjustRightInd w:val="0"/>
              <w:snapToGrid w:val="0"/>
              <w:spacing w:line="240" w:lineRule="auto"/>
              <w:ind w:firstLine="0" w:firstLineChars="0"/>
              <w:jc w:val="center"/>
              <w:rPr>
                <w:rFonts w:ascii="Times New Roman" w:hAnsi="Times New Roman" w:eastAsia="宋体" w:cs="Times New Roman"/>
                <w:b w:val="0"/>
                <w:color w:val="auto"/>
                <w:kern w:val="2"/>
                <w:sz w:val="24"/>
                <w:szCs w:val="24"/>
                <w:lang w:val="en-US" w:eastAsia="zh-CN" w:bidi="ar-SA"/>
              </w:rPr>
            </w:pPr>
          </w:p>
        </w:tc>
        <w:tc>
          <w:tcPr>
            <w:tcW w:w="1958" w:type="pct"/>
            <w:noWrap w:val="0"/>
            <w:vAlign w:val="center"/>
          </w:tcPr>
          <w:p w14:paraId="3835F0DE">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底部尺寸（长×宽）</w:t>
            </w:r>
          </w:p>
        </w:tc>
        <w:tc>
          <w:tcPr>
            <w:tcW w:w="966" w:type="pct"/>
            <w:noWrap w:val="0"/>
            <w:vAlign w:val="center"/>
          </w:tcPr>
          <w:p w14:paraId="0737AB56">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82×67m</w:t>
            </w:r>
          </w:p>
        </w:tc>
        <w:tc>
          <w:tcPr>
            <w:tcW w:w="1361" w:type="pct"/>
            <w:noWrap w:val="0"/>
            <w:vAlign w:val="center"/>
          </w:tcPr>
          <w:p w14:paraId="3BF70D4A">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p>
        </w:tc>
      </w:tr>
      <w:tr w14:paraId="6393483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397" w:hRule="exact"/>
          <w:jc w:val="center"/>
        </w:trPr>
        <w:tc>
          <w:tcPr>
            <w:tcW w:w="714" w:type="pct"/>
            <w:vMerge w:val="restart"/>
            <w:noWrap w:val="0"/>
            <w:vAlign w:val="center"/>
          </w:tcPr>
          <w:p w14:paraId="12E17351">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台阶</w:t>
            </w:r>
          </w:p>
        </w:tc>
        <w:tc>
          <w:tcPr>
            <w:tcW w:w="1958" w:type="pct"/>
            <w:noWrap w:val="0"/>
            <w:vAlign w:val="center"/>
          </w:tcPr>
          <w:p w14:paraId="0B86EF1A">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台阶高度</w:t>
            </w:r>
          </w:p>
        </w:tc>
        <w:tc>
          <w:tcPr>
            <w:tcW w:w="966" w:type="pct"/>
            <w:noWrap w:val="0"/>
            <w:vAlign w:val="center"/>
          </w:tcPr>
          <w:p w14:paraId="7221FF24">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8m</w:t>
            </w:r>
          </w:p>
        </w:tc>
        <w:tc>
          <w:tcPr>
            <w:tcW w:w="1361" w:type="pct"/>
            <w:noWrap w:val="0"/>
            <w:vAlign w:val="center"/>
          </w:tcPr>
          <w:p w14:paraId="29CA7A4F">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p>
        </w:tc>
      </w:tr>
      <w:tr w14:paraId="4222FBF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397" w:hRule="exact"/>
          <w:jc w:val="center"/>
        </w:trPr>
        <w:tc>
          <w:tcPr>
            <w:tcW w:w="714" w:type="pct"/>
            <w:vMerge w:val="continue"/>
            <w:noWrap w:val="0"/>
            <w:vAlign w:val="center"/>
          </w:tcPr>
          <w:p w14:paraId="7BA28B87">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p>
        </w:tc>
        <w:tc>
          <w:tcPr>
            <w:tcW w:w="1958" w:type="pct"/>
            <w:noWrap w:val="0"/>
            <w:vAlign w:val="center"/>
          </w:tcPr>
          <w:p w14:paraId="2B7A4B0D">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最高台阶标高</w:t>
            </w:r>
          </w:p>
        </w:tc>
        <w:tc>
          <w:tcPr>
            <w:tcW w:w="966" w:type="pct"/>
            <w:noWrap w:val="0"/>
            <w:vAlign w:val="center"/>
          </w:tcPr>
          <w:p w14:paraId="73604326">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1106m</w:t>
            </w:r>
          </w:p>
        </w:tc>
        <w:tc>
          <w:tcPr>
            <w:tcW w:w="1361" w:type="pct"/>
            <w:noWrap w:val="0"/>
            <w:vAlign w:val="center"/>
          </w:tcPr>
          <w:p w14:paraId="109504AF">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最终境界</w:t>
            </w:r>
          </w:p>
        </w:tc>
      </w:tr>
      <w:tr w14:paraId="7E3A5C1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397" w:hRule="exact"/>
          <w:jc w:val="center"/>
        </w:trPr>
        <w:tc>
          <w:tcPr>
            <w:tcW w:w="714" w:type="pct"/>
            <w:vMerge w:val="continue"/>
            <w:noWrap w:val="0"/>
            <w:vAlign w:val="center"/>
          </w:tcPr>
          <w:p w14:paraId="7F8FCB1F">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p>
        </w:tc>
        <w:tc>
          <w:tcPr>
            <w:tcW w:w="1958" w:type="pct"/>
            <w:noWrap w:val="0"/>
            <w:vAlign w:val="center"/>
          </w:tcPr>
          <w:p w14:paraId="41BC77D4">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最低台阶标高</w:t>
            </w:r>
          </w:p>
        </w:tc>
        <w:tc>
          <w:tcPr>
            <w:tcW w:w="966" w:type="pct"/>
            <w:noWrap w:val="0"/>
            <w:vAlign w:val="center"/>
          </w:tcPr>
          <w:p w14:paraId="3938A5EF">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1050m</w:t>
            </w:r>
          </w:p>
        </w:tc>
        <w:tc>
          <w:tcPr>
            <w:tcW w:w="1361" w:type="pct"/>
            <w:noWrap w:val="0"/>
            <w:vAlign w:val="center"/>
          </w:tcPr>
          <w:p w14:paraId="3A41FC16">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最终境界</w:t>
            </w:r>
          </w:p>
        </w:tc>
      </w:tr>
      <w:tr w14:paraId="4255FCD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397" w:hRule="exact"/>
          <w:jc w:val="center"/>
        </w:trPr>
        <w:tc>
          <w:tcPr>
            <w:tcW w:w="714" w:type="pct"/>
            <w:vMerge w:val="continue"/>
            <w:noWrap w:val="0"/>
            <w:vAlign w:val="center"/>
          </w:tcPr>
          <w:p w14:paraId="379C24AD">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p>
        </w:tc>
        <w:tc>
          <w:tcPr>
            <w:tcW w:w="1958" w:type="pct"/>
            <w:noWrap w:val="0"/>
            <w:vAlign w:val="center"/>
          </w:tcPr>
          <w:p w14:paraId="5E0B4F16">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台阶数</w:t>
            </w:r>
          </w:p>
        </w:tc>
        <w:tc>
          <w:tcPr>
            <w:tcW w:w="966" w:type="pct"/>
            <w:noWrap w:val="0"/>
            <w:vAlign w:val="center"/>
          </w:tcPr>
          <w:p w14:paraId="49153C23">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8个</w:t>
            </w:r>
          </w:p>
        </w:tc>
        <w:tc>
          <w:tcPr>
            <w:tcW w:w="1361" w:type="pct"/>
            <w:noWrap w:val="0"/>
            <w:vAlign w:val="center"/>
          </w:tcPr>
          <w:p w14:paraId="1F63ED69">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p>
        </w:tc>
      </w:tr>
      <w:tr w14:paraId="2B4DA23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397" w:hRule="exact"/>
          <w:jc w:val="center"/>
        </w:trPr>
        <w:tc>
          <w:tcPr>
            <w:tcW w:w="714" w:type="pct"/>
            <w:vMerge w:val="restart"/>
            <w:noWrap w:val="0"/>
            <w:vAlign w:val="center"/>
          </w:tcPr>
          <w:p w14:paraId="7E02BDF4">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平台</w:t>
            </w:r>
          </w:p>
        </w:tc>
        <w:tc>
          <w:tcPr>
            <w:tcW w:w="1958" w:type="pct"/>
            <w:noWrap w:val="0"/>
            <w:vAlign w:val="center"/>
          </w:tcPr>
          <w:p w14:paraId="746B11A2">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正常生产时最小工作平台宽度</w:t>
            </w:r>
          </w:p>
        </w:tc>
        <w:tc>
          <w:tcPr>
            <w:tcW w:w="966" w:type="pct"/>
            <w:noWrap w:val="0"/>
            <w:vAlign w:val="center"/>
          </w:tcPr>
          <w:p w14:paraId="72B64A5C">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25m</w:t>
            </w:r>
          </w:p>
        </w:tc>
        <w:tc>
          <w:tcPr>
            <w:tcW w:w="1361" w:type="pct"/>
            <w:noWrap w:val="0"/>
            <w:vAlign w:val="center"/>
          </w:tcPr>
          <w:p w14:paraId="4B360FC3">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p>
        </w:tc>
      </w:tr>
      <w:tr w14:paraId="3D20884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397" w:hRule="exact"/>
          <w:jc w:val="center"/>
        </w:trPr>
        <w:tc>
          <w:tcPr>
            <w:tcW w:w="714" w:type="pct"/>
            <w:vMerge w:val="continue"/>
            <w:noWrap w:val="0"/>
            <w:vAlign w:val="center"/>
          </w:tcPr>
          <w:p w14:paraId="44F8524A">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p>
        </w:tc>
        <w:tc>
          <w:tcPr>
            <w:tcW w:w="1958" w:type="pct"/>
            <w:noWrap w:val="0"/>
            <w:vAlign w:val="center"/>
          </w:tcPr>
          <w:p w14:paraId="7B043EA9">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安全平台宽度</w:t>
            </w:r>
          </w:p>
        </w:tc>
        <w:tc>
          <w:tcPr>
            <w:tcW w:w="966" w:type="pct"/>
            <w:noWrap w:val="0"/>
            <w:vAlign w:val="center"/>
          </w:tcPr>
          <w:p w14:paraId="4FBCFEF5">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4m</w:t>
            </w:r>
          </w:p>
        </w:tc>
        <w:tc>
          <w:tcPr>
            <w:tcW w:w="1361" w:type="pct"/>
            <w:vMerge w:val="restart"/>
            <w:noWrap w:val="0"/>
            <w:vAlign w:val="center"/>
          </w:tcPr>
          <w:p w14:paraId="55178369">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间隔3个安全平台</w:t>
            </w:r>
          </w:p>
          <w:p w14:paraId="3AE1F245">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设置1个清扫平台</w:t>
            </w:r>
          </w:p>
        </w:tc>
      </w:tr>
      <w:tr w14:paraId="54D2179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397" w:hRule="exact"/>
          <w:jc w:val="center"/>
        </w:trPr>
        <w:tc>
          <w:tcPr>
            <w:tcW w:w="714" w:type="pct"/>
            <w:vMerge w:val="continue"/>
            <w:noWrap w:val="0"/>
            <w:vAlign w:val="center"/>
          </w:tcPr>
          <w:p w14:paraId="1A5C19EC">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p>
        </w:tc>
        <w:tc>
          <w:tcPr>
            <w:tcW w:w="1958" w:type="pct"/>
            <w:noWrap w:val="0"/>
            <w:vAlign w:val="center"/>
          </w:tcPr>
          <w:p w14:paraId="0BFC1015">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清扫平台宽度</w:t>
            </w:r>
          </w:p>
        </w:tc>
        <w:tc>
          <w:tcPr>
            <w:tcW w:w="966" w:type="pct"/>
            <w:noWrap w:val="0"/>
            <w:vAlign w:val="center"/>
          </w:tcPr>
          <w:p w14:paraId="036741A7">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6m</w:t>
            </w:r>
          </w:p>
        </w:tc>
        <w:tc>
          <w:tcPr>
            <w:tcW w:w="1361" w:type="pct"/>
            <w:vMerge w:val="continue"/>
            <w:noWrap w:val="0"/>
            <w:vAlign w:val="center"/>
          </w:tcPr>
          <w:p w14:paraId="3A96F3B5">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p>
        </w:tc>
      </w:tr>
      <w:tr w14:paraId="25DE03E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397" w:hRule="exact"/>
          <w:jc w:val="center"/>
        </w:trPr>
        <w:tc>
          <w:tcPr>
            <w:tcW w:w="714" w:type="pct"/>
            <w:vMerge w:val="restart"/>
            <w:noWrap w:val="0"/>
            <w:vAlign w:val="center"/>
          </w:tcPr>
          <w:p w14:paraId="6B730931">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坡面角</w:t>
            </w:r>
          </w:p>
        </w:tc>
        <w:tc>
          <w:tcPr>
            <w:tcW w:w="1958" w:type="pct"/>
            <w:noWrap w:val="0"/>
            <w:vAlign w:val="center"/>
          </w:tcPr>
          <w:p w14:paraId="4B164174">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台阶坡面角</w:t>
            </w:r>
          </w:p>
        </w:tc>
        <w:tc>
          <w:tcPr>
            <w:tcW w:w="966" w:type="pct"/>
            <w:noWrap w:val="0"/>
            <w:vAlign w:val="center"/>
          </w:tcPr>
          <w:p w14:paraId="45672D42">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50°</w:t>
            </w:r>
          </w:p>
        </w:tc>
        <w:tc>
          <w:tcPr>
            <w:tcW w:w="1361" w:type="pct"/>
            <w:noWrap w:val="0"/>
            <w:vAlign w:val="center"/>
          </w:tcPr>
          <w:p w14:paraId="00C7E9BD">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p>
        </w:tc>
      </w:tr>
      <w:tr w14:paraId="339F703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cantSplit/>
          <w:trHeight w:val="397" w:hRule="exact"/>
          <w:jc w:val="center"/>
        </w:trPr>
        <w:tc>
          <w:tcPr>
            <w:tcW w:w="714" w:type="pct"/>
            <w:vMerge w:val="continue"/>
            <w:noWrap w:val="0"/>
            <w:vAlign w:val="center"/>
          </w:tcPr>
          <w:p w14:paraId="1A650F70">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p>
        </w:tc>
        <w:tc>
          <w:tcPr>
            <w:tcW w:w="1958" w:type="pct"/>
            <w:noWrap w:val="0"/>
            <w:vAlign w:val="center"/>
          </w:tcPr>
          <w:p w14:paraId="6BF6FDEE">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最终边坡角</w:t>
            </w:r>
          </w:p>
        </w:tc>
        <w:tc>
          <w:tcPr>
            <w:tcW w:w="966" w:type="pct"/>
            <w:noWrap w:val="0"/>
            <w:vAlign w:val="center"/>
          </w:tcPr>
          <w:p w14:paraId="2E56BF16">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r>
              <w:rPr>
                <w:rFonts w:hint="eastAsia" w:ascii="宋体" w:hAnsi="宋体" w:eastAsia="宋体" w:cs="宋体"/>
                <w:b w:val="0"/>
                <w:color w:val="auto"/>
                <w:kern w:val="2"/>
                <w:sz w:val="24"/>
                <w:szCs w:val="24"/>
                <w:lang w:val="en-US" w:eastAsia="zh-CN" w:bidi="ar-SA"/>
              </w:rPr>
              <w:t>37°</w:t>
            </w:r>
          </w:p>
        </w:tc>
        <w:tc>
          <w:tcPr>
            <w:tcW w:w="1361" w:type="pct"/>
            <w:noWrap w:val="0"/>
            <w:vAlign w:val="center"/>
          </w:tcPr>
          <w:p w14:paraId="717487A2">
            <w:pPr>
              <w:widowControl w:val="0"/>
              <w:adjustRightInd w:val="0"/>
              <w:snapToGrid w:val="0"/>
              <w:spacing w:line="240" w:lineRule="auto"/>
              <w:ind w:firstLine="0" w:firstLineChars="0"/>
              <w:jc w:val="center"/>
              <w:rPr>
                <w:rFonts w:hint="eastAsia" w:ascii="宋体" w:hAnsi="宋体" w:eastAsia="宋体" w:cs="宋体"/>
                <w:b w:val="0"/>
                <w:color w:val="auto"/>
                <w:kern w:val="2"/>
                <w:sz w:val="24"/>
                <w:szCs w:val="24"/>
                <w:lang w:val="en-US" w:eastAsia="zh-CN" w:bidi="ar-SA"/>
              </w:rPr>
            </w:pPr>
          </w:p>
        </w:tc>
      </w:tr>
    </w:tbl>
    <w:p w14:paraId="38933289">
      <w:pPr>
        <w:pStyle w:val="5"/>
        <w:bidi w:val="0"/>
        <w:rPr>
          <w:rFonts w:hint="eastAsia"/>
        </w:rPr>
      </w:pPr>
      <w:r>
        <w:rPr>
          <w:rFonts w:hint="eastAsia"/>
        </w:rPr>
        <w:t>采剥方法</w:t>
      </w:r>
    </w:p>
    <w:p w14:paraId="2EBC4C23">
      <w:pPr>
        <w:bidi w:val="0"/>
        <w:rPr>
          <w:rFonts w:hint="eastAsia"/>
          <w:lang w:val="en-US" w:eastAsia="zh-CN"/>
        </w:rPr>
      </w:pPr>
      <w:r>
        <w:rPr>
          <w:rFonts w:hint="eastAsia"/>
        </w:rPr>
        <w:t>按照《金属非金属矿山安全规程》（GB 16423-2020）等标准规范的要求，该矿山的采剥必须严格执行“采剥并举，剥离先行”的原则，根据矿山地形和矿体开采实际等条件，设计采用自上而下分台阶开采。</w:t>
      </w:r>
    </w:p>
    <w:p w14:paraId="6BF4D7FF">
      <w:pPr>
        <w:pStyle w:val="5"/>
        <w:bidi w:val="0"/>
        <w:rPr>
          <w:rFonts w:hint="eastAsia"/>
        </w:rPr>
      </w:pPr>
      <w:r>
        <w:t>采剥工艺</w:t>
      </w:r>
    </w:p>
    <w:p w14:paraId="52208EF6">
      <w:pPr>
        <w:bidi w:val="0"/>
        <w:rPr>
          <w:rFonts w:hint="eastAsia" w:eastAsia="宋体"/>
        </w:rPr>
      </w:pPr>
      <w:r>
        <w:rPr>
          <w:rFonts w:hint="eastAsia" w:eastAsia="宋体"/>
        </w:rPr>
        <w:t>采剥工艺为：地表杂草清理→采矿→原矿装运→破碎→水洗→成品输送→堆料场→销售。</w:t>
      </w:r>
    </w:p>
    <w:p w14:paraId="279D84B6">
      <w:pPr>
        <w:pStyle w:val="5"/>
        <w:bidi w:val="0"/>
        <w:rPr>
          <w:rFonts w:hint="eastAsia"/>
        </w:rPr>
      </w:pPr>
      <w:r>
        <w:rPr>
          <w:rFonts w:hint="eastAsia"/>
          <w:lang w:val="en-US" w:eastAsia="zh-CN"/>
        </w:rPr>
        <w:t>穿孔</w:t>
      </w:r>
      <w:r>
        <w:rPr>
          <w:rFonts w:hint="eastAsia"/>
        </w:rPr>
        <w:t xml:space="preserve">爆破 </w:t>
      </w:r>
    </w:p>
    <w:p w14:paraId="5405DC9B">
      <w:pPr>
        <w:bidi w:val="0"/>
        <w:rPr>
          <w:rFonts w:hint="eastAsia" w:eastAsia="宋体"/>
        </w:rPr>
      </w:pPr>
      <w:r>
        <w:rPr>
          <w:rFonts w:hint="eastAsia" w:eastAsia="宋体"/>
        </w:rPr>
        <w:t>矿山矿岩松软，设计采用挖掘机直接挖掘，无需进行穿孔、爆破作业</w:t>
      </w:r>
      <w:r>
        <w:rPr>
          <w:rFonts w:hint="eastAsia" w:eastAsia="宋体"/>
          <w:lang w:eastAsia="zh-CN"/>
        </w:rPr>
        <w:t>。</w:t>
      </w:r>
    </w:p>
    <w:p w14:paraId="21024957">
      <w:pPr>
        <w:pStyle w:val="5"/>
        <w:bidi w:val="0"/>
        <w:rPr>
          <w:rFonts w:hint="default"/>
          <w:lang w:val="en-US" w:eastAsia="zh-CN"/>
        </w:rPr>
      </w:pPr>
      <w:r>
        <w:rPr>
          <w:rFonts w:hint="eastAsia"/>
          <w:lang w:val="en-US" w:eastAsia="zh-CN"/>
        </w:rPr>
        <w:t>装载</w:t>
      </w:r>
    </w:p>
    <w:p w14:paraId="1DCADF1E">
      <w:pPr>
        <w:bidi w:val="0"/>
        <w:rPr>
          <w:rFonts w:hint="eastAsia" w:eastAsia="宋体"/>
        </w:rPr>
      </w:pPr>
      <w:bookmarkStart w:id="99" w:name="_Toc5366"/>
      <w:r>
        <w:rPr>
          <w:rFonts w:hint="eastAsia" w:eastAsia="宋体"/>
        </w:rPr>
        <w:t>矿山设计采用矿山原有的龙工 LG6240E 挖掘机</w:t>
      </w:r>
      <w:r>
        <w:rPr>
          <w:rFonts w:hint="eastAsia" w:eastAsia="宋体"/>
          <w:lang w:val="en-US" w:eastAsia="zh-CN"/>
        </w:rPr>
        <w:t>1</w:t>
      </w:r>
      <w:r>
        <w:rPr>
          <w:rFonts w:hint="eastAsia" w:eastAsia="宋体"/>
        </w:rPr>
        <w:t>台、龙工ZL50NC装</w:t>
      </w:r>
      <w:r>
        <w:rPr>
          <w:rFonts w:hint="eastAsia" w:eastAsia="宋体"/>
        </w:rPr>
        <w:t>载机</w:t>
      </w:r>
      <w:r>
        <w:rPr>
          <w:rFonts w:hint="eastAsia" w:eastAsia="宋体"/>
          <w:lang w:val="en-US" w:eastAsia="zh-CN"/>
        </w:rPr>
        <w:t>2</w:t>
      </w:r>
      <w:r>
        <w:rPr>
          <w:rFonts w:hint="eastAsia" w:eastAsia="宋体"/>
        </w:rPr>
        <w:t>台</w:t>
      </w:r>
      <w:r>
        <w:rPr>
          <w:rFonts w:hint="eastAsia" w:eastAsia="宋体"/>
          <w:lang w:eastAsia="zh-CN"/>
        </w:rPr>
        <w:t>、龙工ZL30F装载机</w:t>
      </w:r>
      <w:r>
        <w:rPr>
          <w:rFonts w:hint="eastAsia" w:eastAsia="宋体"/>
          <w:lang w:val="en-US" w:eastAsia="zh-CN"/>
        </w:rPr>
        <w:t>1台</w:t>
      </w:r>
      <w:r>
        <w:rPr>
          <w:rFonts w:hint="eastAsia" w:eastAsia="宋体"/>
        </w:rPr>
        <w:t>、25t矿用自卸汽车2辆。</w:t>
      </w:r>
    </w:p>
    <w:p w14:paraId="64D7528E">
      <w:pPr>
        <w:bidi w:val="0"/>
        <w:rPr>
          <w:rFonts w:hint="eastAsia" w:eastAsia="宋体"/>
        </w:rPr>
      </w:pPr>
      <w:r>
        <w:rPr>
          <w:rFonts w:hint="eastAsia" w:eastAsia="宋体"/>
        </w:rPr>
        <w:t>根据矿山规模，采剥工艺，装载设备选择龙工 LG6240E挖掘机负责矿石挖掘铲装，龙工ZL50NC装载机配合矿石的转运作业，</w:t>
      </w:r>
      <w:r>
        <w:rPr>
          <w:rFonts w:hint="eastAsia" w:eastAsia="宋体"/>
          <w:lang w:eastAsia="zh-CN"/>
        </w:rPr>
        <w:t>龙工ZL30F装载机及</w:t>
      </w:r>
      <w:r>
        <w:rPr>
          <w:rFonts w:hint="eastAsia" w:eastAsia="宋体"/>
        </w:rPr>
        <w:t>山推320</w:t>
      </w:r>
      <w:r>
        <w:rPr>
          <w:rFonts w:hint="eastAsia" w:eastAsia="宋体"/>
          <w:lang w:eastAsia="zh-CN"/>
        </w:rPr>
        <w:t>推土机</w:t>
      </w:r>
      <w:r>
        <w:rPr>
          <w:rFonts w:hint="eastAsia" w:eastAsia="宋体"/>
        </w:rPr>
        <w:t>平整场地</w:t>
      </w:r>
      <w:r>
        <w:rPr>
          <w:rFonts w:hint="eastAsia" w:eastAsia="宋体"/>
          <w:lang w:eastAsia="zh-CN"/>
        </w:rPr>
        <w:t>，</w:t>
      </w:r>
      <w:r>
        <w:rPr>
          <w:rFonts w:hint="eastAsia" w:eastAsia="宋体"/>
        </w:rPr>
        <w:t>矿石采用挖掘机或装载机铲装，汽车运输的运输方式。</w:t>
      </w:r>
    </w:p>
    <w:p w14:paraId="35F79910">
      <w:pPr>
        <w:pStyle w:val="4"/>
        <w:bidi w:val="0"/>
        <w:rPr>
          <w:rFonts w:hint="eastAsia"/>
        </w:rPr>
      </w:pPr>
      <w:r>
        <w:t>通风防尘系统</w:t>
      </w:r>
      <w:bookmarkEnd w:id="99"/>
    </w:p>
    <w:p w14:paraId="7B396320">
      <w:pPr>
        <w:bidi w:val="0"/>
        <w:rPr>
          <w:rFonts w:hint="default"/>
          <w:lang w:val="en-US" w:eastAsia="zh-CN"/>
        </w:rPr>
      </w:pPr>
      <w:r>
        <w:rPr>
          <w:rFonts w:hint="eastAsia"/>
        </w:rPr>
        <w:t>矿山为露天开采，生产过程中产生粉尘主要有：铲装粉尘</w:t>
      </w:r>
      <w:r>
        <w:rPr>
          <w:rFonts w:hint="eastAsia"/>
          <w:lang w:eastAsia="zh-CN"/>
        </w:rPr>
        <w:t>、</w:t>
      </w:r>
      <w:r>
        <w:rPr>
          <w:rFonts w:hint="eastAsia" w:ascii="宋体" w:hAnsi="宋体" w:cs="宋体"/>
          <w:sz w:val="28"/>
        </w:rPr>
        <w:t>运输粉尘</w:t>
      </w:r>
      <w:r>
        <w:rPr>
          <w:rFonts w:hint="eastAsia"/>
          <w:lang w:eastAsia="zh-CN"/>
        </w:rPr>
        <w:t>。《</w:t>
      </w:r>
      <w:r>
        <w:rPr>
          <w:rFonts w:hint="eastAsia"/>
          <w:lang w:val="en-US" w:eastAsia="zh-CN"/>
        </w:rPr>
        <w:t>初步设计》报告中明确</w:t>
      </w:r>
      <w:r>
        <w:rPr>
          <w:rFonts w:hint="eastAsia"/>
        </w:rPr>
        <w:t>矿山</w:t>
      </w:r>
      <w:r>
        <w:rPr>
          <w:rFonts w:hint="eastAsia" w:ascii="宋体" w:hAnsi="宋体" w:cs="宋体"/>
          <w:color w:val="auto"/>
          <w:sz w:val="28"/>
        </w:rPr>
        <w:t>在生产过程中对铲装作业现场及矿山公路进行洒水抑尘</w:t>
      </w:r>
      <w:r>
        <w:rPr>
          <w:rFonts w:hint="eastAsia"/>
          <w:lang w:eastAsia="zh-CN"/>
        </w:rPr>
        <w:t>，</w:t>
      </w:r>
      <w:r>
        <w:rPr>
          <w:rFonts w:hint="eastAsia" w:ascii="宋体" w:hAnsi="宋体" w:cs="宋体"/>
          <w:color w:val="auto"/>
          <w:sz w:val="28"/>
        </w:rPr>
        <w:t>破碎站则采用喷雾洒水抑尘</w:t>
      </w:r>
      <w:r>
        <w:rPr>
          <w:rFonts w:hint="eastAsia" w:ascii="宋体" w:hAnsi="宋体" w:cs="宋体"/>
          <w:color w:val="auto"/>
          <w:sz w:val="28"/>
          <w:lang w:eastAsia="zh-CN"/>
        </w:rPr>
        <w:t>，</w:t>
      </w:r>
      <w:r>
        <w:rPr>
          <w:rFonts w:hint="eastAsia"/>
          <w:lang w:val="en-US" w:eastAsia="zh-CN"/>
        </w:rPr>
        <w:t>所</w:t>
      </w:r>
      <w:r>
        <w:rPr>
          <w:rFonts w:hint="eastAsia"/>
        </w:rPr>
        <w:t>有接触粉尘的作业岗位上的作业人员及相关作业人员必须按规定佩戴防尘口罩</w:t>
      </w:r>
      <w:r>
        <w:rPr>
          <w:rFonts w:hint="eastAsia"/>
          <w:lang w:val="en-US" w:eastAsia="zh-CN"/>
        </w:rPr>
        <w:t>并定期体检。</w:t>
      </w:r>
    </w:p>
    <w:p w14:paraId="5E00DE3B">
      <w:pPr>
        <w:pStyle w:val="4"/>
        <w:bidi w:val="0"/>
        <w:rPr>
          <w:rFonts w:hint="eastAsia"/>
        </w:rPr>
      </w:pPr>
      <w:bookmarkStart w:id="100" w:name="_Toc13581"/>
      <w:r>
        <w:t>矿山供配电设施</w:t>
      </w:r>
      <w:bookmarkEnd w:id="100"/>
    </w:p>
    <w:p w14:paraId="0DAA7F77">
      <w:pPr>
        <w:pStyle w:val="5"/>
        <w:bidi w:val="0"/>
        <w:rPr>
          <w:rFonts w:hint="eastAsia"/>
        </w:rPr>
      </w:pPr>
      <w:r>
        <w:t>供电电源电压</w:t>
      </w:r>
    </w:p>
    <w:p w14:paraId="274B5E7D">
      <w:pPr>
        <w:numPr>
          <w:ilvl w:val="0"/>
          <w:numId w:val="24"/>
        </w:numPr>
        <w:bidi w:val="0"/>
      </w:pPr>
      <w:r>
        <w:rPr>
          <w:rFonts w:hint="eastAsia"/>
          <w:lang w:val="en-US" w:eastAsia="zh-CN"/>
        </w:rPr>
        <w:t>供电</w:t>
      </w:r>
      <w:r>
        <w:rPr>
          <w:rFonts w:hint="eastAsia"/>
        </w:rPr>
        <w:t>电源</w:t>
      </w:r>
    </w:p>
    <w:p w14:paraId="65A950E8">
      <w:pPr>
        <w:bidi w:val="0"/>
        <w:rPr>
          <w:rFonts w:hint="eastAsia"/>
        </w:rPr>
      </w:pPr>
      <w:r>
        <w:rPr>
          <w:rFonts w:hint="eastAsia"/>
        </w:rPr>
        <w:t>矿山生产、生活用电由</w:t>
      </w:r>
      <w:r>
        <w:rPr>
          <w:rFonts w:hint="eastAsia"/>
          <w:lang w:eastAsia="zh-CN"/>
        </w:rPr>
        <w:t>附近村庄</w:t>
      </w:r>
      <w:r>
        <w:rPr>
          <w:rFonts w:hint="eastAsia"/>
        </w:rPr>
        <w:t>引入</w:t>
      </w:r>
      <w:r>
        <w:rPr>
          <w:rFonts w:hint="eastAsia"/>
          <w:lang w:eastAsia="zh-CN"/>
        </w:rPr>
        <w:t>。</w:t>
      </w:r>
      <w:r>
        <w:rPr>
          <w:rFonts w:hint="eastAsia"/>
        </w:rPr>
        <w:t>供电线路截面为35</w:t>
      </w:r>
      <w:r>
        <w:rPr>
          <w:rFonts w:hint="eastAsia"/>
          <w:lang w:val="en-US" w:eastAsia="zh-CN"/>
        </w:rPr>
        <w:t>mm²</w:t>
      </w:r>
      <w:r>
        <w:rPr>
          <w:rFonts w:hint="eastAsia"/>
        </w:rPr>
        <w:t>的钢芯铝绞线，供电线路长度约为</w:t>
      </w:r>
      <w:r>
        <w:rPr>
          <w:rFonts w:hint="eastAsia"/>
          <w:lang w:val="en-US" w:eastAsia="zh-CN"/>
        </w:rPr>
        <w:t>2</w:t>
      </w:r>
      <w:r>
        <w:rPr>
          <w:rFonts w:hint="eastAsia"/>
        </w:rPr>
        <w:t>000m，为单回路进线。</w:t>
      </w:r>
    </w:p>
    <w:p w14:paraId="1CE57A87">
      <w:pPr>
        <w:numPr>
          <w:ilvl w:val="0"/>
          <w:numId w:val="24"/>
        </w:numPr>
        <w:bidi w:val="0"/>
        <w:rPr>
          <w:rFonts w:hint="eastAsia"/>
        </w:rPr>
      </w:pPr>
      <w:r>
        <w:rPr>
          <w:rFonts w:hint="eastAsia"/>
          <w:lang w:val="en-US" w:eastAsia="zh-CN"/>
        </w:rPr>
        <w:t>供配电系统</w:t>
      </w:r>
    </w:p>
    <w:p w14:paraId="05640030">
      <w:pPr>
        <w:bidi w:val="0"/>
        <w:rPr>
          <w:rFonts w:hint="eastAsia"/>
        </w:rPr>
      </w:pPr>
      <w:r>
        <w:rPr>
          <w:rFonts w:hint="eastAsia"/>
        </w:rPr>
        <w:t>矿山设备及生活用电设置于生活办公区旁250</w:t>
      </w:r>
      <w:r>
        <w:rPr>
          <w:rFonts w:hint="eastAsia"/>
          <w:lang w:val="en-US" w:eastAsia="zh-CN"/>
        </w:rPr>
        <w:t>k</w:t>
      </w:r>
      <w:r>
        <w:rPr>
          <w:rFonts w:hint="eastAsia"/>
        </w:rPr>
        <w:t>VA变压器供给，生产用电由500</w:t>
      </w:r>
      <w:r>
        <w:rPr>
          <w:rFonts w:hint="eastAsia"/>
          <w:lang w:val="en-US" w:eastAsia="zh-CN"/>
        </w:rPr>
        <w:t>k</w:t>
      </w:r>
      <w:r>
        <w:rPr>
          <w:rFonts w:hint="eastAsia"/>
        </w:rPr>
        <w:t>VA变压器供给，设置于破碎站配电室旁，进线电压10</w:t>
      </w:r>
      <w:r>
        <w:rPr>
          <w:rFonts w:hint="eastAsia"/>
          <w:lang w:val="en-US" w:eastAsia="zh-CN"/>
        </w:rPr>
        <w:t>k</w:t>
      </w:r>
      <w:r>
        <w:rPr>
          <w:rFonts w:hint="eastAsia"/>
        </w:rPr>
        <w:t>V，经变压器降压输出后使用：动力用电380V，生活用电220V</w:t>
      </w:r>
      <w:r>
        <w:rPr>
          <w:rFonts w:hint="eastAsia"/>
        </w:rPr>
        <w:t>。</w:t>
      </w:r>
    </w:p>
    <w:p w14:paraId="0DCB90FE">
      <w:pPr>
        <w:pStyle w:val="5"/>
        <w:bidi w:val="0"/>
        <w:rPr>
          <w:rFonts w:hint="eastAsia"/>
        </w:rPr>
      </w:pPr>
      <w:r>
        <w:t>用电负荷</w:t>
      </w:r>
    </w:p>
    <w:p w14:paraId="5EE97AC7">
      <w:pPr>
        <w:bidi w:val="0"/>
        <w:rPr>
          <w:rFonts w:hint="eastAsia" w:ascii="宋体" w:hAnsi="宋体" w:eastAsia="宋体" w:cs="宋体"/>
          <w:lang w:val="en-US" w:eastAsia="zh-CN"/>
        </w:rPr>
      </w:pPr>
      <w:r>
        <w:rPr>
          <w:rFonts w:hint="eastAsia" w:ascii="宋体" w:hAnsi="宋体" w:eastAsia="宋体" w:cs="宋体"/>
          <w:lang w:val="en-US" w:eastAsia="zh-CN"/>
        </w:rPr>
        <w:t>矿山生产用电</w:t>
      </w:r>
      <w:r>
        <w:rPr>
          <w:rFonts w:hint="eastAsia" w:ascii="宋体" w:hAnsi="宋体" w:eastAsia="宋体" w:cs="宋体"/>
        </w:rPr>
        <w:t>设备总装机容量估算为</w:t>
      </w:r>
      <w:r>
        <w:rPr>
          <w:rFonts w:hint="eastAsia" w:ascii="宋体" w:hAnsi="宋体" w:eastAsia="宋体" w:cs="宋体"/>
          <w:lang w:val="en-US" w:eastAsia="zh-CN"/>
        </w:rPr>
        <w:t>394.60kw，</w:t>
      </w:r>
      <w:r>
        <w:rPr>
          <w:rFonts w:hint="eastAsia" w:ascii="宋体" w:hAnsi="宋体" w:eastAsia="宋体" w:cs="宋体"/>
        </w:rPr>
        <w:t>有功功率为</w:t>
      </w:r>
      <w:r>
        <w:rPr>
          <w:rFonts w:hint="eastAsia" w:ascii="宋体" w:hAnsi="宋体" w:eastAsia="宋体" w:cs="宋体"/>
          <w:lang w:val="en-US" w:eastAsia="zh-CN"/>
        </w:rPr>
        <w:t>352.16</w:t>
      </w:r>
      <w:r>
        <w:rPr>
          <w:rFonts w:hint="eastAsia" w:ascii="宋体" w:hAnsi="宋体" w:eastAsia="宋体" w:cs="宋体"/>
        </w:rPr>
        <w:t>kw，无功功率为</w:t>
      </w:r>
      <w:r>
        <w:rPr>
          <w:rFonts w:hint="eastAsia" w:ascii="宋体" w:hAnsi="宋体" w:eastAsia="宋体" w:cs="宋体"/>
          <w:lang w:val="en-US" w:eastAsia="zh-CN"/>
        </w:rPr>
        <w:t>317.58</w:t>
      </w:r>
      <w:r>
        <w:rPr>
          <w:rFonts w:hint="eastAsia" w:ascii="宋体" w:hAnsi="宋体" w:eastAsia="宋体" w:cs="宋体"/>
        </w:rPr>
        <w:t>kw，视在功率为</w:t>
      </w:r>
      <w:r>
        <w:rPr>
          <w:rFonts w:hint="eastAsia" w:ascii="宋体" w:hAnsi="宋体" w:eastAsia="宋体" w:cs="宋体"/>
          <w:lang w:val="en-US" w:eastAsia="zh-CN"/>
        </w:rPr>
        <w:t>469.55</w:t>
      </w:r>
      <w:r>
        <w:rPr>
          <w:rFonts w:hint="eastAsia" w:ascii="宋体" w:hAnsi="宋体" w:eastAsia="宋体" w:cs="宋体"/>
        </w:rPr>
        <w:t>kw</w:t>
      </w:r>
      <w:r>
        <w:rPr>
          <w:rFonts w:hint="eastAsia" w:ascii="宋体" w:hAnsi="宋体" w:eastAsia="宋体" w:cs="宋体"/>
          <w:lang w:eastAsia="zh-CN"/>
        </w:rPr>
        <w:t>；</w:t>
      </w:r>
      <w:r>
        <w:rPr>
          <w:rFonts w:hint="eastAsia" w:ascii="宋体" w:hAnsi="宋体" w:eastAsia="宋体" w:cs="宋体"/>
          <w:lang w:val="en-US" w:eastAsia="zh-CN"/>
        </w:rPr>
        <w:t>生活用电</w:t>
      </w:r>
      <w:r>
        <w:rPr>
          <w:rFonts w:hint="eastAsia" w:ascii="宋体" w:hAnsi="宋体" w:eastAsia="宋体" w:cs="宋体"/>
        </w:rPr>
        <w:t>设备总装机容量估算为</w:t>
      </w:r>
      <w:r>
        <w:rPr>
          <w:rFonts w:hint="eastAsia" w:ascii="宋体" w:hAnsi="宋体" w:eastAsia="宋体" w:cs="宋体"/>
          <w:lang w:val="en-US" w:eastAsia="zh-CN"/>
        </w:rPr>
        <w:t>125.00kw，</w:t>
      </w:r>
      <w:r>
        <w:rPr>
          <w:rFonts w:hint="eastAsia" w:ascii="宋体" w:hAnsi="宋体" w:eastAsia="宋体" w:cs="宋体"/>
        </w:rPr>
        <w:t>有功功率为</w:t>
      </w:r>
      <w:r>
        <w:rPr>
          <w:rFonts w:hint="eastAsia" w:ascii="宋体" w:hAnsi="宋体" w:eastAsia="宋体" w:cs="宋体"/>
          <w:lang w:val="en-US" w:eastAsia="zh-CN"/>
        </w:rPr>
        <w:t>164.00</w:t>
      </w:r>
      <w:r>
        <w:rPr>
          <w:rFonts w:hint="eastAsia" w:ascii="宋体" w:hAnsi="宋体" w:eastAsia="宋体" w:cs="宋体"/>
        </w:rPr>
        <w:t>kw，无功功率为</w:t>
      </w:r>
      <w:r>
        <w:rPr>
          <w:rFonts w:hint="eastAsia" w:ascii="宋体" w:hAnsi="宋体" w:eastAsia="宋体" w:cs="宋体"/>
          <w:lang w:val="en-US" w:eastAsia="zh-CN"/>
        </w:rPr>
        <w:t>144.64</w:t>
      </w:r>
      <w:r>
        <w:rPr>
          <w:rFonts w:hint="eastAsia" w:ascii="宋体" w:hAnsi="宋体" w:eastAsia="宋体" w:cs="宋体"/>
        </w:rPr>
        <w:t>kw，视在功率为</w:t>
      </w:r>
      <w:r>
        <w:rPr>
          <w:rFonts w:hint="eastAsia" w:ascii="宋体" w:hAnsi="宋体" w:eastAsia="宋体" w:cs="宋体"/>
          <w:lang w:val="en-US" w:eastAsia="zh-CN"/>
        </w:rPr>
        <w:t>218.67</w:t>
      </w:r>
      <w:r>
        <w:rPr>
          <w:rFonts w:hint="eastAsia" w:ascii="宋体" w:hAnsi="宋体" w:eastAsia="宋体" w:cs="宋体"/>
        </w:rPr>
        <w:t>kw</w:t>
      </w:r>
      <w:r>
        <w:rPr>
          <w:rFonts w:hint="eastAsia" w:ascii="宋体" w:hAnsi="宋体" w:eastAsia="宋体" w:cs="宋体"/>
          <w:lang w:eastAsia="zh-CN"/>
        </w:rPr>
        <w:t>。</w:t>
      </w:r>
      <w:r>
        <w:rPr>
          <w:rFonts w:ascii="宋体" w:hAnsi="宋体" w:eastAsia="宋体" w:cs="宋体"/>
          <w:color w:val="auto"/>
          <w:sz w:val="28"/>
          <w:szCs w:val="28"/>
        </w:rPr>
        <w:t>年耗电量</w:t>
      </w:r>
      <w:r>
        <w:rPr>
          <w:rFonts w:hint="eastAsia" w:ascii="宋体" w:hAnsi="宋体" w:eastAsia="宋体" w:cs="宋体"/>
          <w:color w:val="auto"/>
          <w:sz w:val="28"/>
          <w:szCs w:val="28"/>
          <w:lang w:val="en-US" w:eastAsia="zh-CN"/>
        </w:rPr>
        <w:t>132.14</w:t>
      </w:r>
      <w:r>
        <w:rPr>
          <w:rFonts w:ascii="宋体" w:hAnsi="宋体" w:eastAsia="宋体" w:cs="宋体"/>
          <w:color w:val="auto"/>
          <w:sz w:val="28"/>
          <w:szCs w:val="28"/>
        </w:rPr>
        <w:t>万kwh</w:t>
      </w:r>
      <w:r>
        <w:rPr>
          <w:rFonts w:hint="eastAsia" w:ascii="宋体" w:hAnsi="宋体" w:cs="宋体"/>
          <w:color w:val="auto"/>
          <w:sz w:val="28"/>
          <w:szCs w:val="28"/>
          <w:lang w:eastAsia="zh-CN"/>
        </w:rPr>
        <w:t>。</w:t>
      </w:r>
    </w:p>
    <w:p w14:paraId="21EAE0CA">
      <w:pPr>
        <w:pStyle w:val="5"/>
        <w:bidi w:val="0"/>
        <w:rPr>
          <w:rFonts w:hint="eastAsia"/>
        </w:rPr>
      </w:pPr>
      <w:r>
        <w:rPr>
          <w:rFonts w:hint="eastAsia"/>
          <w:lang w:val="en-US" w:eastAsia="zh-CN"/>
        </w:rPr>
        <w:t>防雷与接地</w:t>
      </w:r>
    </w:p>
    <w:p w14:paraId="4CC27E5D">
      <w:pPr>
        <w:bidi w:val="0"/>
        <w:rPr>
          <w:rFonts w:hint="eastAsia" w:ascii="宋体" w:hAnsi="宋体" w:eastAsia="宋体" w:cs="宋体"/>
        </w:rPr>
      </w:pPr>
      <w:r>
        <w:rPr>
          <w:rFonts w:hint="eastAsia" w:ascii="宋体" w:hAnsi="宋体" w:eastAsia="宋体" w:cs="宋体"/>
        </w:rPr>
        <w:t>矿山建构筑物按三类防雷考虑，采场范围内适当设置避雷针，凡高度在15m及以上的建构筑物设避雷网、带，局部设避雷针保护。10</w:t>
      </w:r>
      <w:r>
        <w:rPr>
          <w:rFonts w:ascii="宋体" w:hAnsi="宋体" w:eastAsia="宋体" w:cs="宋体"/>
          <w:color w:val="auto"/>
          <w:sz w:val="28"/>
          <w:szCs w:val="28"/>
        </w:rPr>
        <w:t>k</w:t>
      </w:r>
      <w:r>
        <w:rPr>
          <w:rFonts w:hint="eastAsia" w:ascii="宋体" w:hAnsi="宋体" w:eastAsia="宋体" w:cs="宋体"/>
        </w:rPr>
        <w:t>V系统母线及电气室0.4</w:t>
      </w:r>
      <w:r>
        <w:rPr>
          <w:rFonts w:ascii="宋体" w:hAnsi="宋体" w:eastAsia="宋体" w:cs="宋体"/>
          <w:color w:val="auto"/>
          <w:sz w:val="28"/>
          <w:szCs w:val="28"/>
        </w:rPr>
        <w:t>k</w:t>
      </w:r>
      <w:r>
        <w:rPr>
          <w:rFonts w:hint="eastAsia" w:ascii="宋体" w:hAnsi="宋体" w:eastAsia="宋体" w:cs="宋体"/>
        </w:rPr>
        <w:t>V进线柜上装设电源避雷器，预防雷电波侵入及操作过电压。</w:t>
      </w:r>
    </w:p>
    <w:p w14:paraId="23A31B49">
      <w:pPr>
        <w:bidi w:val="0"/>
        <w:rPr>
          <w:rFonts w:hint="eastAsia" w:ascii="宋体" w:hAnsi="宋体" w:eastAsia="宋体" w:cs="宋体"/>
          <w:lang w:val="en-US" w:eastAsia="zh-CN"/>
        </w:rPr>
      </w:pPr>
      <w:r>
        <w:rPr>
          <w:rFonts w:hint="eastAsia" w:ascii="宋体" w:hAnsi="宋体" w:eastAsia="宋体" w:cs="宋体"/>
        </w:rPr>
        <w:t>10</w:t>
      </w:r>
      <w:r>
        <w:rPr>
          <w:rFonts w:ascii="宋体" w:hAnsi="宋体" w:eastAsia="宋体" w:cs="宋体"/>
          <w:color w:val="auto"/>
          <w:sz w:val="28"/>
          <w:szCs w:val="28"/>
        </w:rPr>
        <w:t>k</w:t>
      </w:r>
      <w:r>
        <w:rPr>
          <w:rFonts w:hint="eastAsia" w:ascii="宋体" w:hAnsi="宋体" w:eastAsia="宋体" w:cs="宋体"/>
        </w:rPr>
        <w:t>V供配电系统采用接地保护，0.4</w:t>
      </w:r>
      <w:r>
        <w:rPr>
          <w:rFonts w:ascii="宋体" w:hAnsi="宋体" w:eastAsia="宋体" w:cs="宋体"/>
          <w:color w:val="auto"/>
          <w:sz w:val="28"/>
          <w:szCs w:val="28"/>
        </w:rPr>
        <w:t>k</w:t>
      </w:r>
      <w:r>
        <w:rPr>
          <w:rFonts w:hint="eastAsia" w:ascii="宋体" w:hAnsi="宋体" w:eastAsia="宋体" w:cs="宋体"/>
        </w:rPr>
        <w:t>V配电系统采用接零保护，接地装置R≤4欧。接零保护系统按规范达标连接使用。</w:t>
      </w:r>
    </w:p>
    <w:p w14:paraId="0888EC37">
      <w:pPr>
        <w:pStyle w:val="4"/>
        <w:bidi w:val="0"/>
        <w:rPr>
          <w:rFonts w:hint="eastAsia"/>
        </w:rPr>
      </w:pPr>
      <w:bookmarkStart w:id="101" w:name="_Toc6127"/>
      <w:r>
        <w:rPr>
          <w:rFonts w:hint="eastAsia"/>
        </w:rPr>
        <w:t>防排水</w:t>
      </w:r>
      <w:r>
        <w:t>系统</w:t>
      </w:r>
      <w:bookmarkEnd w:id="101"/>
    </w:p>
    <w:p w14:paraId="799F4B20">
      <w:pPr>
        <w:bidi w:val="0"/>
        <w:rPr>
          <w:rFonts w:hint="eastAsia" w:ascii="宋体" w:hAnsi="宋体" w:eastAsia="宋体" w:cs="宋体"/>
        </w:rPr>
      </w:pPr>
      <w:r>
        <w:rPr>
          <w:rFonts w:hint="eastAsia" w:ascii="宋体" w:hAnsi="宋体" w:eastAsia="宋体" w:cs="宋体"/>
        </w:rPr>
        <w:t>该矿山为山坡型露天矿，底部开采标高</w:t>
      </w:r>
      <w:r>
        <w:rPr>
          <w:rFonts w:hint="eastAsia" w:ascii="宋体" w:hAnsi="宋体" w:eastAsia="宋体" w:cs="宋体"/>
          <w:lang w:val="en-US" w:eastAsia="zh-CN"/>
        </w:rPr>
        <w:t>1050</w:t>
      </w:r>
      <w:r>
        <w:rPr>
          <w:rFonts w:hint="eastAsia" w:ascii="宋体" w:hAnsi="宋体" w:eastAsia="宋体" w:cs="宋体"/>
        </w:rPr>
        <w:t>m，高于本区最低侵蚀基准面，有利于自流排水，矿区范围内也无地下水出露。但为了确保安全生产，应设置截排水沟。</w:t>
      </w:r>
    </w:p>
    <w:p w14:paraId="7BEC513D">
      <w:pPr>
        <w:pStyle w:val="5"/>
        <w:bidi w:val="0"/>
        <w:rPr>
          <w:rFonts w:hint="eastAsia"/>
        </w:rPr>
      </w:pPr>
      <w:r>
        <w:rPr>
          <w:rFonts w:hint="eastAsia"/>
        </w:rPr>
        <w:t>境界外截排水沟</w:t>
      </w:r>
    </w:p>
    <w:p w14:paraId="65D6FF12">
      <w:pPr>
        <w:bidi w:val="0"/>
        <w:rPr>
          <w:rFonts w:hint="eastAsia" w:ascii="宋体" w:hAnsi="宋体" w:eastAsia="宋体" w:cs="宋体"/>
        </w:rPr>
      </w:pPr>
      <w:bookmarkStart w:id="102" w:name="_Toc252348273"/>
      <w:bookmarkStart w:id="103" w:name="_Toc261521800"/>
      <w:bookmarkStart w:id="104" w:name="_Toc252459649"/>
      <w:bookmarkStart w:id="105" w:name="_Toc230098557"/>
      <w:bookmarkStart w:id="106" w:name="_Toc252460389"/>
      <w:bookmarkStart w:id="107" w:name="_Toc252432323"/>
      <w:bookmarkStart w:id="108" w:name="_Toc252456890"/>
      <w:r>
        <w:rPr>
          <w:rFonts w:hint="eastAsia" w:ascii="宋体" w:hAnsi="宋体" w:eastAsia="宋体" w:cs="宋体"/>
        </w:rPr>
        <w:t>根据矿山地形及开采境界外汇水情况，</w:t>
      </w:r>
      <w:r>
        <w:rPr>
          <w:rFonts w:hint="eastAsia" w:ascii="宋体" w:hAnsi="宋体" w:eastAsia="宋体" w:cs="宋体"/>
          <w:lang w:eastAsia="zh-CN"/>
        </w:rPr>
        <w:t>矿山开采境界外东北侧约</w:t>
      </w:r>
      <w:r>
        <w:rPr>
          <w:rFonts w:hint="eastAsia" w:ascii="宋体" w:hAnsi="宋体" w:eastAsia="宋体" w:cs="宋体"/>
          <w:lang w:val="en-US" w:eastAsia="zh-CN"/>
        </w:rPr>
        <w:t>60m处有一条森林防火道路已设置一条顶宽1.3m，底宽0.6m，深1m浆砌石结构梯形断面排水沟，结合境界外汇水面及森林防火道路设置排水沟现状可满足境界外截排水要求，本次设计</w:t>
      </w:r>
      <w:r>
        <w:rPr>
          <w:rFonts w:hint="eastAsia" w:ascii="宋体" w:hAnsi="宋体" w:eastAsia="宋体" w:cs="宋体"/>
        </w:rPr>
        <w:t>开采境界外不设排水沟。</w:t>
      </w:r>
    </w:p>
    <w:bookmarkEnd w:id="102"/>
    <w:bookmarkEnd w:id="103"/>
    <w:bookmarkEnd w:id="104"/>
    <w:bookmarkEnd w:id="105"/>
    <w:bookmarkEnd w:id="106"/>
    <w:bookmarkEnd w:id="107"/>
    <w:bookmarkEnd w:id="108"/>
    <w:p w14:paraId="32CCBC63">
      <w:pPr>
        <w:pStyle w:val="5"/>
        <w:bidi w:val="0"/>
        <w:rPr>
          <w:rFonts w:hint="eastAsia"/>
          <w:lang w:val="en-US" w:eastAsia="zh-CN"/>
        </w:rPr>
      </w:pPr>
      <w:r>
        <w:rPr>
          <w:rFonts w:hint="eastAsia"/>
        </w:rPr>
        <w:t>矿运公路排水沟</w:t>
      </w:r>
    </w:p>
    <w:p w14:paraId="4163EEE6">
      <w:pPr>
        <w:bidi w:val="0"/>
        <w:rPr>
          <w:rFonts w:hint="eastAsia" w:ascii="宋体" w:hAnsi="宋体" w:eastAsia="宋体" w:cs="宋体"/>
          <w:lang w:val="en-US" w:eastAsia="zh-CN"/>
        </w:rPr>
      </w:pPr>
      <w:r>
        <w:rPr>
          <w:rFonts w:hint="eastAsia" w:ascii="宋体" w:hAnsi="宋体" w:eastAsia="宋体" w:cs="宋体"/>
        </w:rPr>
        <w:t>为保证矿山运输公路路面不受</w:t>
      </w:r>
      <w:r>
        <w:rPr>
          <w:rFonts w:hint="eastAsia" w:ascii="宋体" w:hAnsi="宋体" w:eastAsia="宋体" w:cs="宋体"/>
          <w:lang w:eastAsia="zh-CN"/>
        </w:rPr>
        <w:t>地表径流</w:t>
      </w:r>
      <w:r>
        <w:rPr>
          <w:rFonts w:hint="eastAsia" w:ascii="宋体" w:hAnsi="宋体" w:eastAsia="宋体" w:cs="宋体"/>
        </w:rPr>
        <w:t>影响，应在公路内侧修筑排水沟，排水沟为土质沟，断面为梯形，顶宽0.5m，底宽0.3m，深0.4m，将雨水排至公路以外。在生活办公区、破碎站等建（构）筑物周围也要修筑适当的排水沟</w:t>
      </w:r>
      <w:r>
        <w:rPr>
          <w:rFonts w:hint="eastAsia" w:ascii="宋体" w:hAnsi="宋体" w:eastAsia="宋体" w:cs="宋体"/>
          <w:lang w:val="en-US" w:eastAsia="zh-CN"/>
        </w:rPr>
        <w:t>。</w:t>
      </w:r>
    </w:p>
    <w:p w14:paraId="565FC6F1">
      <w:pPr>
        <w:pStyle w:val="5"/>
        <w:bidi w:val="0"/>
        <w:rPr>
          <w:rFonts w:hint="eastAsia"/>
          <w:lang w:val="en-US" w:eastAsia="zh-CN"/>
        </w:rPr>
      </w:pPr>
      <w:r>
        <w:rPr>
          <w:rFonts w:hint="eastAsia"/>
        </w:rPr>
        <w:t>台阶排水沟</w:t>
      </w:r>
    </w:p>
    <w:p w14:paraId="7225E5F5">
      <w:pPr>
        <w:bidi w:val="0"/>
        <w:rPr>
          <w:rFonts w:hint="eastAsia" w:ascii="宋体" w:hAnsi="宋体" w:eastAsia="宋体" w:cs="宋体"/>
          <w:lang w:val="en-US" w:eastAsia="zh-CN"/>
        </w:rPr>
      </w:pPr>
      <w:bookmarkStart w:id="109" w:name="_Toc16516"/>
      <w:r>
        <w:rPr>
          <w:rFonts w:hint="eastAsia" w:ascii="宋体" w:hAnsi="宋体" w:eastAsia="宋体" w:cs="宋体"/>
        </w:rPr>
        <w:t>采场汇水面积不大，为山坡露天采场。为保证采场边坡稳定、内部不积水，可在各平台内侧设置排水沟自流排出场外。排水沟为土质沟，断面为梯形，顶宽0.5m，底宽0.3m，深0.4m。以防止采场充水及下渗，保护边坡的稳定。</w:t>
      </w:r>
    </w:p>
    <w:p w14:paraId="1DB8EAA8">
      <w:pPr>
        <w:pStyle w:val="5"/>
        <w:bidi w:val="0"/>
        <w:rPr>
          <w:rFonts w:hint="eastAsia"/>
          <w:lang w:val="en-US" w:eastAsia="zh-CN"/>
        </w:rPr>
      </w:pPr>
      <w:r>
        <w:rPr>
          <w:rFonts w:hint="eastAsia"/>
        </w:rPr>
        <w:t>排水设备设施</w:t>
      </w:r>
    </w:p>
    <w:p w14:paraId="7A705CD4">
      <w:pPr>
        <w:numPr>
          <w:ilvl w:val="0"/>
          <w:numId w:val="25"/>
        </w:numPr>
        <w:bidi w:val="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蓄水池</w:t>
      </w:r>
      <w:r>
        <w:rPr>
          <w:rFonts w:hint="eastAsia" w:ascii="宋体" w:hAnsi="宋体" w:cs="宋体"/>
          <w:sz w:val="28"/>
          <w:szCs w:val="28"/>
          <w:lang w:val="en-US" w:eastAsia="zh-CN"/>
        </w:rPr>
        <w:t>及沉淀池</w:t>
      </w:r>
    </w:p>
    <w:p w14:paraId="589587CC">
      <w:pPr>
        <w:bidi w:val="0"/>
        <w:rPr>
          <w:rFonts w:hint="eastAsia"/>
          <w:lang w:val="en-US" w:eastAsia="zh-CN"/>
        </w:rPr>
      </w:pPr>
      <w:r>
        <w:rPr>
          <w:rFonts w:hint="eastAsia"/>
        </w:rPr>
        <w:t>矿山沉淀池位于矿山生活区旁的蓄水池，沉淀池坝体结构为泥土坝，洗沙水经管道排至沉淀池内，循环利用，沉淀池内沉积的淤泥定期进行清理。沉淀池水域面积约985.05m</w:t>
      </w:r>
      <w:r>
        <w:rPr>
          <w:rFonts w:hint="eastAsia"/>
          <w:vertAlign w:val="superscript"/>
        </w:rPr>
        <w:t>2</w:t>
      </w:r>
      <w:r>
        <w:rPr>
          <w:rFonts w:hint="eastAsia"/>
        </w:rPr>
        <w:t>，蓄水量约2955.15m</w:t>
      </w:r>
      <w:r>
        <w:rPr>
          <w:rFonts w:hint="eastAsia"/>
          <w:vertAlign w:val="superscript"/>
        </w:rPr>
        <w:t>3</w:t>
      </w:r>
      <w:r>
        <w:rPr>
          <w:rFonts w:hint="eastAsia"/>
        </w:rPr>
        <w:t>，水深3m，正常蓄水标高1016m，目前坝体边坡现状较稳定，未发现有开裂等迹象</w:t>
      </w:r>
      <w:r>
        <w:rPr>
          <w:rFonts w:hint="eastAsia"/>
          <w:lang w:val="en-US" w:eastAsia="zh-CN"/>
        </w:rPr>
        <w:t>。</w:t>
      </w:r>
    </w:p>
    <w:p w14:paraId="1B0C5DEC">
      <w:pPr>
        <w:numPr>
          <w:ilvl w:val="0"/>
          <w:numId w:val="25"/>
        </w:numPr>
        <w:bidi w:val="0"/>
        <w:rPr>
          <w:rFonts w:hint="default" w:ascii="宋体" w:hAnsi="宋体" w:eastAsia="宋体" w:cs="宋体"/>
          <w:sz w:val="28"/>
          <w:szCs w:val="28"/>
          <w:lang w:val="en-US" w:eastAsia="zh-CN"/>
        </w:rPr>
      </w:pPr>
      <w:r>
        <w:rPr>
          <w:rFonts w:hint="eastAsia" w:ascii="宋体" w:hAnsi="宋体" w:cs="宋体"/>
          <w:sz w:val="28"/>
          <w:szCs w:val="28"/>
          <w:lang w:val="en-US" w:eastAsia="zh-CN"/>
        </w:rPr>
        <w:t>矿山供水</w:t>
      </w:r>
    </w:p>
    <w:p w14:paraId="2E989234">
      <w:pPr>
        <w:bidi w:val="0"/>
        <w:rPr>
          <w:rFonts w:hint="default"/>
          <w:lang w:val="en-US" w:eastAsia="zh-CN"/>
        </w:rPr>
      </w:pPr>
      <w:r>
        <w:rPr>
          <w:rFonts w:hint="eastAsia"/>
        </w:rPr>
        <w:t>矿山供水采用集中式供水，用水量不大，生产用</w:t>
      </w:r>
      <w:r>
        <w:rPr>
          <w:rFonts w:hint="eastAsia"/>
          <w:lang w:val="en-US" w:eastAsia="zh-CN"/>
        </w:rPr>
        <w:t>水</w:t>
      </w:r>
      <w:r>
        <w:rPr>
          <w:rFonts w:hint="eastAsia"/>
        </w:rPr>
        <w:t>从蓄水池中采用</w:t>
      </w:r>
      <w:bookmarkStart w:id="110" w:name="OLE_LINK2"/>
      <w:r>
        <w:rPr>
          <w:rFonts w:hint="eastAsia"/>
        </w:rPr>
        <w:t>D12-50×8型水泵抽</w:t>
      </w:r>
      <w:bookmarkEnd w:id="110"/>
      <w:r>
        <w:rPr>
          <w:rFonts w:hint="eastAsia"/>
        </w:rPr>
        <w:t>取循环利用，</w:t>
      </w:r>
      <w:r>
        <w:rPr>
          <w:rFonts w:hint="eastAsia" w:ascii="宋体" w:hAnsi="宋体" w:cs="宋体"/>
          <w:color w:val="auto"/>
          <w:sz w:val="28"/>
          <w:szCs w:val="28"/>
        </w:rPr>
        <w:t>生活用水铺设直径5cm无缝钢管从附近村庄直接引至生活区</w:t>
      </w:r>
      <w:r>
        <w:rPr>
          <w:rFonts w:hint="eastAsia"/>
        </w:rPr>
        <w:t>。</w:t>
      </w:r>
    </w:p>
    <w:p w14:paraId="46DE1CEC">
      <w:pPr>
        <w:numPr>
          <w:ilvl w:val="0"/>
          <w:numId w:val="25"/>
        </w:numPr>
        <w:bidi w:val="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排水设</w:t>
      </w:r>
      <w:r>
        <w:rPr>
          <w:rFonts w:hint="eastAsia" w:ascii="宋体" w:hAnsi="宋体" w:cs="宋体"/>
          <w:sz w:val="28"/>
          <w:szCs w:val="28"/>
          <w:lang w:val="en-US" w:eastAsia="zh-CN"/>
        </w:rPr>
        <w:t>备</w:t>
      </w:r>
    </w:p>
    <w:p w14:paraId="11436C55">
      <w:pPr>
        <w:bidi w:val="0"/>
        <w:rPr>
          <w:rFonts w:hint="eastAsia"/>
          <w:lang w:eastAsia="zh-CN"/>
        </w:rPr>
      </w:pPr>
      <w:r>
        <w:rPr>
          <w:rFonts w:hint="eastAsia"/>
        </w:rPr>
        <w:t>抽水系统</w:t>
      </w:r>
      <w:r>
        <w:rPr>
          <w:rFonts w:hint="eastAsia"/>
          <w:lang w:val="en-US" w:eastAsia="zh-CN"/>
        </w:rPr>
        <w:t>沿用原有</w:t>
      </w:r>
      <w:r>
        <w:rPr>
          <w:rFonts w:hint="eastAsia"/>
        </w:rPr>
        <w:t>配备</w:t>
      </w:r>
      <w:r>
        <w:rPr>
          <w:rFonts w:hint="eastAsia"/>
          <w:lang w:val="en-US" w:eastAsia="zh-CN"/>
        </w:rPr>
        <w:t>的</w:t>
      </w:r>
      <w:r>
        <w:rPr>
          <w:rFonts w:hint="eastAsia"/>
        </w:rPr>
        <w:t>抽水泵，</w:t>
      </w:r>
      <w:r>
        <w:rPr>
          <w:rFonts w:hint="eastAsia"/>
          <w:lang w:val="en-US" w:eastAsia="zh-CN"/>
        </w:rPr>
        <w:t>一台用于蓄水池补水，一台用于生产用水升压，</w:t>
      </w:r>
      <w:r>
        <w:rPr>
          <w:rFonts w:hint="eastAsia"/>
        </w:rPr>
        <w:t>两用一备。所需配置抽水泵参数见</w:t>
      </w:r>
      <w:r>
        <w:rPr>
          <w:rFonts w:hint="eastAsia"/>
          <w:lang w:val="en-US" w:eastAsia="zh-CN"/>
        </w:rPr>
        <w:t>下</w:t>
      </w:r>
      <w:r>
        <w:rPr>
          <w:rFonts w:hint="eastAsia"/>
        </w:rPr>
        <w:t>表</w:t>
      </w:r>
      <w:r>
        <w:rPr>
          <w:rFonts w:hint="eastAsia"/>
          <w:lang w:eastAsia="zh-CN"/>
        </w:rPr>
        <w:t>。</w:t>
      </w:r>
    </w:p>
    <w:p w14:paraId="06A9C55D">
      <w:pPr>
        <w:pStyle w:val="11"/>
        <w:ind w:left="0" w:leftChars="0" w:firstLine="0" w:firstLineChars="0"/>
        <w:jc w:val="center"/>
        <w:rPr>
          <w:rFonts w:hint="eastAsia" w:eastAsia="宋体"/>
          <w:lang w:eastAsia="zh-CN"/>
        </w:rPr>
      </w:pPr>
      <w:r>
        <w:t xml:space="preserve">表 </w:t>
      </w:r>
      <w:r>
        <w:fldChar w:fldCharType="begin"/>
      </w:r>
      <w:r>
        <w:instrText xml:space="preserve"> STYLEREF 1 \s </w:instrText>
      </w:r>
      <w:r>
        <w:fldChar w:fldCharType="separate"/>
      </w:r>
      <w:r>
        <w:t>2</w:t>
      </w:r>
      <w:r>
        <w:fldChar w:fldCharType="end"/>
      </w:r>
      <w:r>
        <w:rPr>
          <w:rFonts w:hint="eastAsia"/>
          <w:lang w:eastAsia="zh-CN"/>
        </w:rPr>
        <w:t>-</w:t>
      </w:r>
      <w:r>
        <w:fldChar w:fldCharType="begin"/>
      </w:r>
      <w:r>
        <w:instrText xml:space="preserve"> SEQ 表 \* ARABIC \s 1 </w:instrText>
      </w:r>
      <w:r>
        <w:fldChar w:fldCharType="separate"/>
      </w:r>
      <w:r>
        <w:t>7</w:t>
      </w:r>
      <w:r>
        <w:fldChar w:fldCharType="end"/>
      </w:r>
      <w:r>
        <w:rPr>
          <w:rFonts w:hint="eastAsia"/>
          <w:lang w:eastAsia="zh-CN"/>
        </w:rPr>
        <w:t xml:space="preserve"> 抽水泵参数</w:t>
      </w:r>
    </w:p>
    <w:tbl>
      <w:tblPr>
        <w:tblStyle w:val="2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6"/>
        <w:gridCol w:w="2783"/>
        <w:gridCol w:w="886"/>
        <w:gridCol w:w="1346"/>
        <w:gridCol w:w="888"/>
        <w:gridCol w:w="1475"/>
      </w:tblGrid>
      <w:tr w14:paraId="018B0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952" w:type="pct"/>
            <w:noWrap w:val="0"/>
            <w:vAlign w:val="center"/>
          </w:tcPr>
          <w:p w14:paraId="09A9A486">
            <w:pPr>
              <w:spacing w:line="240" w:lineRule="auto"/>
              <w:ind w:firstLine="0" w:firstLineChars="0"/>
              <w:jc w:val="center"/>
              <w:rPr>
                <w:rFonts w:ascii="宋体" w:hAnsi="宋体" w:cs="Times New Roman"/>
                <w:b/>
                <w:bCs/>
                <w:color w:val="auto"/>
                <w:sz w:val="24"/>
                <w:szCs w:val="24"/>
              </w:rPr>
            </w:pPr>
            <w:r>
              <w:rPr>
                <w:rFonts w:hint="eastAsia" w:ascii="宋体" w:hAnsi="宋体" w:cs="Times New Roman"/>
                <w:b/>
                <w:bCs/>
                <w:color w:val="auto"/>
                <w:sz w:val="24"/>
                <w:szCs w:val="24"/>
              </w:rPr>
              <w:t>用途</w:t>
            </w:r>
          </w:p>
        </w:tc>
        <w:tc>
          <w:tcPr>
            <w:tcW w:w="1526" w:type="pct"/>
            <w:noWrap w:val="0"/>
            <w:vAlign w:val="center"/>
          </w:tcPr>
          <w:p w14:paraId="0B681999">
            <w:pPr>
              <w:spacing w:line="240" w:lineRule="auto"/>
              <w:ind w:firstLine="0" w:firstLineChars="0"/>
              <w:jc w:val="center"/>
              <w:rPr>
                <w:rFonts w:ascii="宋体" w:hAnsi="宋体" w:cs="Times New Roman"/>
                <w:b/>
                <w:bCs/>
                <w:color w:val="auto"/>
                <w:sz w:val="24"/>
                <w:szCs w:val="24"/>
              </w:rPr>
            </w:pPr>
            <w:r>
              <w:rPr>
                <w:rFonts w:hint="eastAsia" w:ascii="宋体" w:hAnsi="宋体" w:cs="Times New Roman"/>
                <w:b/>
                <w:bCs/>
                <w:color w:val="auto"/>
                <w:sz w:val="24"/>
                <w:szCs w:val="24"/>
              </w:rPr>
              <w:t>设备</w:t>
            </w:r>
          </w:p>
        </w:tc>
        <w:tc>
          <w:tcPr>
            <w:tcW w:w="486" w:type="pct"/>
            <w:noWrap w:val="0"/>
            <w:vAlign w:val="center"/>
          </w:tcPr>
          <w:p w14:paraId="3403B4D2">
            <w:pPr>
              <w:spacing w:line="240" w:lineRule="auto"/>
              <w:ind w:firstLine="0" w:firstLineChars="0"/>
              <w:jc w:val="center"/>
              <w:rPr>
                <w:rFonts w:ascii="宋体" w:hAnsi="宋体" w:cs="Times New Roman"/>
                <w:b/>
                <w:bCs/>
                <w:color w:val="auto"/>
                <w:sz w:val="24"/>
                <w:szCs w:val="24"/>
              </w:rPr>
            </w:pPr>
            <w:r>
              <w:rPr>
                <w:rFonts w:hint="eastAsia" w:ascii="宋体" w:hAnsi="宋体" w:cs="Times New Roman"/>
                <w:b/>
                <w:bCs/>
                <w:color w:val="auto"/>
                <w:sz w:val="24"/>
                <w:szCs w:val="24"/>
              </w:rPr>
              <w:t>管径</w:t>
            </w:r>
          </w:p>
        </w:tc>
        <w:tc>
          <w:tcPr>
            <w:tcW w:w="738" w:type="pct"/>
            <w:noWrap w:val="0"/>
            <w:vAlign w:val="center"/>
          </w:tcPr>
          <w:p w14:paraId="111794FB">
            <w:pPr>
              <w:spacing w:line="240" w:lineRule="auto"/>
              <w:ind w:firstLine="0" w:firstLineChars="0"/>
              <w:jc w:val="center"/>
              <w:rPr>
                <w:rFonts w:ascii="宋体" w:hAnsi="宋体" w:cs="Times New Roman"/>
                <w:b/>
                <w:bCs/>
                <w:color w:val="auto"/>
                <w:sz w:val="24"/>
                <w:szCs w:val="24"/>
              </w:rPr>
            </w:pPr>
            <w:r>
              <w:rPr>
                <w:rFonts w:hint="eastAsia" w:ascii="宋体" w:hAnsi="宋体" w:cs="Times New Roman"/>
                <w:b/>
                <w:bCs/>
                <w:color w:val="auto"/>
                <w:sz w:val="24"/>
                <w:szCs w:val="24"/>
              </w:rPr>
              <w:t>流量</w:t>
            </w:r>
          </w:p>
        </w:tc>
        <w:tc>
          <w:tcPr>
            <w:tcW w:w="487" w:type="pct"/>
            <w:noWrap w:val="0"/>
            <w:vAlign w:val="center"/>
          </w:tcPr>
          <w:p w14:paraId="7C936880">
            <w:pPr>
              <w:spacing w:line="240" w:lineRule="auto"/>
              <w:ind w:firstLine="0" w:firstLineChars="0"/>
              <w:jc w:val="center"/>
              <w:rPr>
                <w:rFonts w:ascii="宋体" w:hAnsi="宋体" w:cs="Times New Roman"/>
                <w:b/>
                <w:bCs/>
                <w:color w:val="auto"/>
                <w:sz w:val="24"/>
                <w:szCs w:val="24"/>
              </w:rPr>
            </w:pPr>
            <w:r>
              <w:rPr>
                <w:rFonts w:hint="eastAsia" w:ascii="宋体" w:hAnsi="宋体" w:cs="Times New Roman"/>
                <w:b/>
                <w:bCs/>
                <w:color w:val="auto"/>
                <w:sz w:val="24"/>
                <w:szCs w:val="24"/>
              </w:rPr>
              <w:t>扬程</w:t>
            </w:r>
          </w:p>
        </w:tc>
        <w:tc>
          <w:tcPr>
            <w:tcW w:w="809" w:type="pct"/>
            <w:noWrap w:val="0"/>
            <w:vAlign w:val="center"/>
          </w:tcPr>
          <w:p w14:paraId="79D3689C">
            <w:pPr>
              <w:spacing w:line="240" w:lineRule="auto"/>
              <w:ind w:firstLine="0" w:firstLineChars="0"/>
              <w:jc w:val="center"/>
              <w:rPr>
                <w:rFonts w:ascii="宋体" w:hAnsi="宋体" w:cs="Times New Roman"/>
                <w:b/>
                <w:bCs/>
                <w:color w:val="auto"/>
                <w:sz w:val="24"/>
                <w:szCs w:val="24"/>
              </w:rPr>
            </w:pPr>
            <w:r>
              <w:rPr>
                <w:rFonts w:hint="eastAsia" w:ascii="宋体" w:hAnsi="宋体" w:cs="Times New Roman"/>
                <w:b/>
                <w:bCs/>
                <w:color w:val="auto"/>
                <w:sz w:val="24"/>
                <w:szCs w:val="24"/>
              </w:rPr>
              <w:t>电机功率</w:t>
            </w:r>
          </w:p>
        </w:tc>
      </w:tr>
      <w:tr w14:paraId="776CB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952" w:type="pct"/>
            <w:noWrap w:val="0"/>
            <w:vAlign w:val="center"/>
          </w:tcPr>
          <w:p w14:paraId="67A542BC">
            <w:pPr>
              <w:spacing w:line="240" w:lineRule="auto"/>
              <w:ind w:firstLine="0" w:firstLineChars="0"/>
              <w:jc w:val="center"/>
              <w:rPr>
                <w:rFonts w:ascii="宋体" w:hAnsi="宋体" w:cs="Times New Roman"/>
                <w:color w:val="auto"/>
                <w:sz w:val="24"/>
                <w:szCs w:val="24"/>
              </w:rPr>
            </w:pPr>
            <w:r>
              <w:rPr>
                <w:rFonts w:hint="eastAsia" w:ascii="宋体" w:hAnsi="宋体" w:cs="Times New Roman"/>
                <w:color w:val="auto"/>
                <w:sz w:val="24"/>
                <w:szCs w:val="24"/>
              </w:rPr>
              <w:t>供蓄水池</w:t>
            </w:r>
          </w:p>
        </w:tc>
        <w:tc>
          <w:tcPr>
            <w:tcW w:w="1526" w:type="pct"/>
            <w:noWrap w:val="0"/>
            <w:vAlign w:val="center"/>
          </w:tcPr>
          <w:p w14:paraId="2C1E9AE1">
            <w:pPr>
              <w:spacing w:line="240" w:lineRule="auto"/>
              <w:ind w:firstLine="0" w:firstLineChars="0"/>
              <w:jc w:val="center"/>
              <w:rPr>
                <w:rFonts w:ascii="宋体" w:hAnsi="宋体" w:cs="Times New Roman"/>
                <w:color w:val="auto"/>
                <w:sz w:val="24"/>
                <w:szCs w:val="24"/>
              </w:rPr>
            </w:pPr>
            <w:r>
              <w:rPr>
                <w:rFonts w:hint="eastAsia" w:ascii="宋体" w:hAnsi="宋体" w:cs="Times New Roman"/>
                <w:color w:val="auto"/>
                <w:sz w:val="24"/>
                <w:szCs w:val="24"/>
              </w:rPr>
              <w:t>多级泵</w:t>
            </w:r>
            <w:r>
              <w:rPr>
                <w:rFonts w:hint="eastAsia" w:ascii="宋体" w:hAnsi="宋体" w:cs="Times New Roman"/>
                <w:color w:val="auto"/>
                <w:kern w:val="0"/>
                <w:sz w:val="24"/>
                <w:szCs w:val="24"/>
              </w:rPr>
              <w:t>D12-50</w:t>
            </w:r>
            <w:r>
              <w:rPr>
                <w:rFonts w:hint="eastAsia" w:ascii="宋体" w:hAnsi="宋体" w:cs="Times New Roman"/>
                <w:color w:val="auto"/>
                <w:sz w:val="24"/>
                <w:szCs w:val="24"/>
              </w:rPr>
              <w:t>型</w:t>
            </w:r>
          </w:p>
        </w:tc>
        <w:tc>
          <w:tcPr>
            <w:tcW w:w="486" w:type="pct"/>
            <w:noWrap w:val="0"/>
            <w:vAlign w:val="center"/>
          </w:tcPr>
          <w:p w14:paraId="07CB12FC">
            <w:pPr>
              <w:spacing w:line="240" w:lineRule="auto"/>
              <w:ind w:firstLine="0" w:firstLineChars="0"/>
              <w:jc w:val="center"/>
              <w:rPr>
                <w:rFonts w:ascii="宋体" w:hAnsi="宋体" w:cs="Times New Roman"/>
                <w:color w:val="auto"/>
                <w:sz w:val="24"/>
                <w:szCs w:val="24"/>
              </w:rPr>
            </w:pPr>
            <w:r>
              <w:rPr>
                <w:rFonts w:hint="eastAsia" w:ascii="宋体" w:hAnsi="宋体" w:cs="Times New Roman"/>
                <w:color w:val="auto"/>
                <w:sz w:val="24"/>
                <w:szCs w:val="24"/>
              </w:rPr>
              <w:t>50mm</w:t>
            </w:r>
          </w:p>
        </w:tc>
        <w:tc>
          <w:tcPr>
            <w:tcW w:w="738" w:type="pct"/>
            <w:noWrap w:val="0"/>
            <w:vAlign w:val="center"/>
          </w:tcPr>
          <w:p w14:paraId="5B7CC9A6">
            <w:pPr>
              <w:spacing w:line="240" w:lineRule="auto"/>
              <w:ind w:firstLine="0" w:firstLineChars="0"/>
              <w:jc w:val="center"/>
              <w:rPr>
                <w:rFonts w:ascii="宋体" w:hAnsi="宋体" w:cs="Times New Roman"/>
                <w:color w:val="auto"/>
                <w:sz w:val="24"/>
                <w:szCs w:val="24"/>
              </w:rPr>
            </w:pPr>
            <w:r>
              <w:rPr>
                <w:rFonts w:hint="eastAsia" w:ascii="宋体" w:hAnsi="宋体" w:cs="Times New Roman"/>
                <w:color w:val="auto"/>
                <w:sz w:val="24"/>
                <w:szCs w:val="24"/>
              </w:rPr>
              <w:t>12.5m³/h</w:t>
            </w:r>
          </w:p>
        </w:tc>
        <w:tc>
          <w:tcPr>
            <w:tcW w:w="487" w:type="pct"/>
            <w:noWrap w:val="0"/>
            <w:vAlign w:val="center"/>
          </w:tcPr>
          <w:p w14:paraId="60F775BF">
            <w:pPr>
              <w:spacing w:line="240" w:lineRule="auto"/>
              <w:ind w:firstLine="0" w:firstLineChars="0"/>
              <w:jc w:val="center"/>
              <w:rPr>
                <w:rFonts w:ascii="宋体" w:hAnsi="宋体" w:cs="Times New Roman"/>
                <w:color w:val="auto"/>
                <w:sz w:val="24"/>
                <w:szCs w:val="24"/>
              </w:rPr>
            </w:pPr>
            <w:r>
              <w:rPr>
                <w:rFonts w:hint="eastAsia" w:ascii="宋体" w:hAnsi="宋体" w:cs="Times New Roman"/>
                <w:color w:val="auto"/>
                <w:sz w:val="24"/>
                <w:szCs w:val="24"/>
              </w:rPr>
              <w:t>400m</w:t>
            </w:r>
          </w:p>
        </w:tc>
        <w:tc>
          <w:tcPr>
            <w:tcW w:w="809" w:type="pct"/>
            <w:noWrap w:val="0"/>
            <w:vAlign w:val="center"/>
          </w:tcPr>
          <w:p w14:paraId="287E6B49">
            <w:pPr>
              <w:spacing w:line="240" w:lineRule="auto"/>
              <w:ind w:firstLine="0" w:firstLineChars="0"/>
              <w:jc w:val="center"/>
              <w:rPr>
                <w:rFonts w:ascii="宋体" w:hAnsi="宋体" w:cs="Times New Roman"/>
                <w:color w:val="auto"/>
                <w:sz w:val="24"/>
                <w:szCs w:val="24"/>
              </w:rPr>
            </w:pPr>
            <w:r>
              <w:rPr>
                <w:rFonts w:hint="eastAsia" w:ascii="宋体" w:hAnsi="宋体" w:cs="Times New Roman"/>
                <w:color w:val="auto"/>
                <w:sz w:val="24"/>
                <w:szCs w:val="24"/>
              </w:rPr>
              <w:t>45kw</w:t>
            </w:r>
          </w:p>
        </w:tc>
      </w:tr>
    </w:tbl>
    <w:p w14:paraId="759858D9">
      <w:pPr>
        <w:numPr>
          <w:ilvl w:val="0"/>
          <w:numId w:val="25"/>
        </w:numPr>
        <w:bidi w:val="0"/>
        <w:rPr>
          <w:rFonts w:hint="eastAsia" w:ascii="宋体" w:hAnsi="宋体" w:eastAsia="宋体" w:cs="宋体"/>
          <w:sz w:val="28"/>
          <w:szCs w:val="28"/>
          <w:lang w:val="en-US" w:eastAsia="zh-CN"/>
        </w:rPr>
      </w:pPr>
      <w:r>
        <w:rPr>
          <w:rFonts w:hint="eastAsia" w:ascii="宋体" w:hAnsi="宋体" w:cs="宋体"/>
          <w:color w:val="auto"/>
          <w:sz w:val="28"/>
        </w:rPr>
        <w:t>矿区排水</w:t>
      </w:r>
    </w:p>
    <w:p w14:paraId="3B1FD789">
      <w:pPr>
        <w:numPr>
          <w:ilvl w:val="0"/>
          <w:numId w:val="26"/>
        </w:numPr>
        <w:bidi w:val="0"/>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矿山开采中洒水降尘用水均直接蒸发于大气中。</w:t>
      </w:r>
    </w:p>
    <w:p w14:paraId="3B0356D3">
      <w:pPr>
        <w:numPr>
          <w:ilvl w:val="0"/>
          <w:numId w:val="26"/>
        </w:numPr>
        <w:bidi w:val="0"/>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生活废水澄清后作为绿化用水，泔水用于养殖。厕所使用旱厕，粪便集中于化粪池中发酵后用于农田用肥。</w:t>
      </w:r>
    </w:p>
    <w:p w14:paraId="64E37110">
      <w:pPr>
        <w:numPr>
          <w:ilvl w:val="0"/>
          <w:numId w:val="25"/>
        </w:numPr>
        <w:bidi w:val="0"/>
        <w:rPr>
          <w:rFonts w:hint="eastAsia" w:ascii="宋体" w:hAnsi="宋体" w:eastAsia="宋体" w:cs="宋体"/>
          <w:sz w:val="28"/>
          <w:szCs w:val="28"/>
          <w:lang w:val="en-US" w:eastAsia="zh-CN"/>
        </w:rPr>
      </w:pPr>
      <w:r>
        <w:rPr>
          <w:rFonts w:hint="eastAsia" w:ascii="宋体" w:hAnsi="宋体" w:eastAsia="宋体" w:cs="宋体"/>
          <w:sz w:val="28"/>
          <w:szCs w:val="28"/>
        </w:rPr>
        <w:t>矿山消防</w:t>
      </w:r>
    </w:p>
    <w:p w14:paraId="21C85C61">
      <w:pPr>
        <w:bidi w:val="0"/>
        <w:rPr>
          <w:rFonts w:hint="eastAsia" w:ascii="宋体" w:hAnsi="宋体" w:cs="宋体"/>
          <w:color w:val="auto"/>
          <w:sz w:val="28"/>
          <w:lang w:val="en-US" w:eastAsia="zh-CN"/>
        </w:rPr>
      </w:pPr>
      <w:r>
        <w:rPr>
          <w:rFonts w:hint="eastAsia" w:ascii="宋体" w:hAnsi="宋体" w:cs="宋体"/>
          <w:color w:val="auto"/>
          <w:sz w:val="28"/>
        </w:rPr>
        <w:t>根据《建筑灭火器配置设计规范》GB 50140-2005矿山建筑物少，不设消防供水系统，仅需在工业场地、生活区、配电室等位置处设置干粉灭火器或二氧化碳灭火器</w:t>
      </w:r>
      <w:r>
        <w:rPr>
          <w:rFonts w:hint="eastAsia" w:ascii="宋体" w:hAnsi="宋体" w:cs="宋体"/>
          <w:color w:val="auto"/>
          <w:sz w:val="28"/>
          <w:lang w:val="en-US" w:eastAsia="zh-CN"/>
        </w:rPr>
        <w:t>等</w:t>
      </w:r>
      <w:r>
        <w:rPr>
          <w:rFonts w:hint="eastAsia" w:ascii="宋体" w:hAnsi="宋体" w:cs="宋体"/>
          <w:color w:val="auto"/>
          <w:sz w:val="28"/>
        </w:rPr>
        <w:t>室外防火装置</w:t>
      </w:r>
      <w:r>
        <w:rPr>
          <w:rFonts w:hint="eastAsia" w:ascii="宋体" w:hAnsi="宋体" w:cs="宋体"/>
          <w:color w:val="auto"/>
          <w:sz w:val="28"/>
          <w:lang w:eastAsia="zh-CN"/>
        </w:rPr>
        <w:t>。</w:t>
      </w:r>
    </w:p>
    <w:p w14:paraId="43A95A8A">
      <w:pPr>
        <w:pStyle w:val="4"/>
        <w:bidi w:val="0"/>
        <w:rPr>
          <w:rFonts w:hint="eastAsia"/>
        </w:rPr>
      </w:pPr>
      <w:r>
        <w:rPr>
          <w:rFonts w:hint="eastAsia"/>
        </w:rPr>
        <w:t>排土场</w:t>
      </w:r>
      <w:bookmarkEnd w:id="109"/>
    </w:p>
    <w:p w14:paraId="7A61394F">
      <w:pPr>
        <w:pStyle w:val="5"/>
        <w:bidi w:val="0"/>
        <w:rPr>
          <w:rFonts w:hint="eastAsia"/>
          <w:lang w:val="en-US" w:eastAsia="zh-CN"/>
        </w:rPr>
      </w:pPr>
      <w:r>
        <w:t>排土场选址</w:t>
      </w:r>
    </w:p>
    <w:p w14:paraId="4733986D">
      <w:pPr>
        <w:bidi w:val="0"/>
        <w:rPr>
          <w:rFonts w:hint="eastAsia"/>
        </w:rPr>
      </w:pPr>
      <w:r>
        <w:rPr>
          <w:rFonts w:hint="eastAsia"/>
        </w:rPr>
        <w:t>根据矿山现状情况，因受地形条件及林地等因素限制，矿区周边不适合设置排土场。经企业与蔬菜基地协商，矿山生产过程中产生的废土石经由装载机铲装汽车运输至矿区西北侧复垦农田堆填区，作为蔬菜基地农田改造回填料，企业已和蔬菜基地签订堆填合同。</w:t>
      </w:r>
      <w:r>
        <w:rPr>
          <w:rFonts w:hint="eastAsia"/>
          <w:lang w:eastAsia="zh-CN"/>
        </w:rPr>
        <w:t>（</w:t>
      </w:r>
      <w:r>
        <w:rPr>
          <w:rFonts w:hint="eastAsia"/>
          <w:lang w:val="en-US" w:eastAsia="zh-CN"/>
        </w:rPr>
        <w:t>详见附件）</w:t>
      </w:r>
    </w:p>
    <w:p w14:paraId="4C405F03">
      <w:pPr>
        <w:pStyle w:val="5"/>
        <w:bidi w:val="0"/>
        <w:rPr>
          <w:rFonts w:hint="eastAsia"/>
        </w:rPr>
      </w:pPr>
      <w:bookmarkStart w:id="111" w:name="_Toc17157"/>
      <w:r>
        <w:rPr>
          <w:rFonts w:hint="eastAsia"/>
          <w:lang w:val="en-US" w:eastAsia="zh-CN"/>
        </w:rPr>
        <w:t>排土量估算</w:t>
      </w:r>
    </w:p>
    <w:p w14:paraId="65EC3F41">
      <w:pPr>
        <w:bidi w:val="0"/>
        <w:rPr>
          <w:rFonts w:hint="eastAsia" w:eastAsia="宋体"/>
        </w:rPr>
      </w:pPr>
      <w:r>
        <w:rPr>
          <w:rFonts w:hint="eastAsia" w:ascii="宋体" w:hAnsi="宋体" w:eastAsia="宋体" w:cs="宋体"/>
          <w:color w:val="auto"/>
          <w:kern w:val="28"/>
          <w:sz w:val="28"/>
          <w:szCs w:val="28"/>
        </w:rPr>
        <w:t>矿山矿体为全～强风化花岗岩，其上部为第四系覆土层，出泥量为6.3%，总体排(泥)土量不大，总排（泥）土量为4.21万m³，其中复土绿化需消耗1.11万m³，最终排（泥）土量为3.1万m³，复垦农田堆填区面积约6468m²可容纳3.43万m³排土，故矿区西北侧复垦农田堆填区可满足矿山排土需求</w:t>
      </w:r>
      <w:r>
        <w:rPr>
          <w:rFonts w:hint="eastAsia" w:eastAsia="宋体"/>
        </w:rPr>
        <w:t>。</w:t>
      </w:r>
    </w:p>
    <w:p w14:paraId="68AA727D">
      <w:pPr>
        <w:pStyle w:val="5"/>
        <w:bidi w:val="0"/>
        <w:rPr>
          <w:rFonts w:hint="eastAsia"/>
        </w:rPr>
      </w:pPr>
      <w:r>
        <w:rPr>
          <w:rFonts w:hint="eastAsia"/>
          <w:lang w:val="en-US" w:eastAsia="zh-CN"/>
        </w:rPr>
        <w:t>废土石回填的安全措施</w:t>
      </w:r>
    </w:p>
    <w:p w14:paraId="4BA6C0C8">
      <w:pPr>
        <w:bidi w:val="0"/>
        <w:rPr>
          <w:rFonts w:hint="default"/>
          <w:lang w:val="en-US" w:eastAsia="zh-CN"/>
        </w:rPr>
      </w:pPr>
      <w:r>
        <w:rPr>
          <w:rFonts w:hint="default"/>
          <w:lang w:val="en-US" w:eastAsia="zh-CN"/>
        </w:rPr>
        <w:t>在进行</w:t>
      </w:r>
      <w:r>
        <w:rPr>
          <w:rFonts w:hint="eastAsia"/>
          <w:lang w:val="en-US" w:eastAsia="zh-CN"/>
        </w:rPr>
        <w:t>废土</w:t>
      </w:r>
      <w:bookmarkStart w:id="284" w:name="_GoBack"/>
      <w:bookmarkEnd w:id="284"/>
      <w:r>
        <w:rPr>
          <w:rFonts w:hint="eastAsia"/>
          <w:lang w:val="en-US" w:eastAsia="zh-CN"/>
        </w:rPr>
        <w:t>石</w:t>
      </w:r>
      <w:r>
        <w:rPr>
          <w:rFonts w:hint="default"/>
          <w:lang w:val="en-US" w:eastAsia="zh-CN"/>
        </w:rPr>
        <w:t>回填作业时，应设立临时围挡，划定施工现场，并设置明显的警示标识。</w:t>
      </w:r>
    </w:p>
    <w:p w14:paraId="1D066F95">
      <w:pPr>
        <w:bidi w:val="0"/>
        <w:rPr>
          <w:rFonts w:hint="default"/>
          <w:lang w:val="en-US" w:eastAsia="zh-CN"/>
        </w:rPr>
      </w:pPr>
      <w:r>
        <w:rPr>
          <w:rFonts w:hint="eastAsia"/>
          <w:lang w:val="en-US" w:eastAsia="zh-CN"/>
        </w:rPr>
        <w:t>排土</w:t>
      </w:r>
      <w:r>
        <w:rPr>
          <w:rFonts w:hint="default"/>
          <w:lang w:val="en-US" w:eastAsia="zh-CN"/>
        </w:rPr>
        <w:t>场场地外设置排水沟，疏通场内积水、降雨汇水排出场外，减少其向场内地下渗透，设计排水沟断面尺寸为顶宽0.5m，底宽0.3m，深0.3m。局部地段断面根据实际地形情况而选择。</w:t>
      </w:r>
    </w:p>
    <w:p w14:paraId="7FADBE54">
      <w:pPr>
        <w:bidi w:val="0"/>
        <w:rPr>
          <w:rFonts w:hint="default"/>
          <w:lang w:val="en-US" w:eastAsia="zh-CN"/>
        </w:rPr>
      </w:pPr>
      <w:r>
        <w:rPr>
          <w:rFonts w:hint="eastAsia"/>
          <w:lang w:val="en-US" w:eastAsia="zh-CN"/>
        </w:rPr>
        <w:t>废土石</w:t>
      </w:r>
      <w:r>
        <w:rPr>
          <w:rFonts w:hint="default"/>
          <w:lang w:val="en-US" w:eastAsia="zh-CN"/>
        </w:rPr>
        <w:t>回填过程中，要加强监督，</w:t>
      </w:r>
      <w:r>
        <w:rPr>
          <w:rFonts w:hint="eastAsia"/>
          <w:lang w:val="en-US" w:eastAsia="zh-CN"/>
        </w:rPr>
        <w:t>保证回填废土石边坡</w:t>
      </w:r>
      <w:r>
        <w:rPr>
          <w:rFonts w:hint="default"/>
          <w:lang w:val="en-US" w:eastAsia="zh-CN"/>
        </w:rPr>
        <w:t>的稳定性。控制土方的坡度、倾斜度和坍塌角度，避免土方坍塌。如果发现土方存在不稳定的情况，应及时采取加固措施，如设置支撑结构或</w:t>
      </w:r>
      <w:r>
        <w:rPr>
          <w:rFonts w:hint="eastAsia"/>
          <w:lang w:val="en-US" w:eastAsia="zh-CN"/>
        </w:rPr>
        <w:t>设置围挡</w:t>
      </w:r>
      <w:r>
        <w:rPr>
          <w:rFonts w:hint="default"/>
          <w:lang w:val="en-US" w:eastAsia="zh-CN"/>
        </w:rPr>
        <w:t>等。</w:t>
      </w:r>
    </w:p>
    <w:p w14:paraId="56A2BF83">
      <w:pPr>
        <w:bidi w:val="0"/>
        <w:rPr>
          <w:rFonts w:hint="eastAsia"/>
          <w:lang w:val="en-US" w:eastAsia="zh-CN"/>
        </w:rPr>
      </w:pPr>
      <w:r>
        <w:rPr>
          <w:rFonts w:hint="default"/>
          <w:lang w:val="en-US" w:eastAsia="zh-CN"/>
        </w:rPr>
        <w:t>在</w:t>
      </w:r>
      <w:r>
        <w:rPr>
          <w:rFonts w:hint="eastAsia"/>
          <w:lang w:val="en-US" w:eastAsia="zh-CN"/>
        </w:rPr>
        <w:t>废土石</w:t>
      </w:r>
      <w:r>
        <w:rPr>
          <w:rFonts w:hint="default"/>
          <w:lang w:val="en-US" w:eastAsia="zh-CN"/>
        </w:rPr>
        <w:t>回填作业中，需要给施工人员配备符合标准的个人防护装备，如安全帽、防护眼镜、防护手套等。同时，要对施工人员进行培训，提高安全意识和应对突发情况的能力</w:t>
      </w:r>
      <w:r>
        <w:rPr>
          <w:rFonts w:hint="eastAsia"/>
          <w:lang w:val="en-US" w:eastAsia="zh-CN"/>
        </w:rPr>
        <w:t>。</w:t>
      </w:r>
    </w:p>
    <w:p w14:paraId="2358E96E">
      <w:pPr>
        <w:pStyle w:val="4"/>
        <w:bidi w:val="0"/>
        <w:rPr>
          <w:rFonts w:hint="eastAsia"/>
        </w:rPr>
      </w:pPr>
      <w:r>
        <w:t>安全管理及其他</w:t>
      </w:r>
      <w:bookmarkEnd w:id="111"/>
    </w:p>
    <w:p w14:paraId="347342AF">
      <w:pPr>
        <w:pStyle w:val="5"/>
        <w:bidi w:val="0"/>
        <w:rPr>
          <w:rFonts w:hint="eastAsia"/>
        </w:rPr>
      </w:pPr>
      <w:r>
        <w:t>安全管理机构</w:t>
      </w:r>
    </w:p>
    <w:p w14:paraId="2143780A">
      <w:pPr>
        <w:bidi w:val="0"/>
        <w:rPr>
          <w:rFonts w:hint="eastAsia"/>
          <w:lang w:val="en-US"/>
        </w:rPr>
      </w:pPr>
      <w:r>
        <w:rPr>
          <w:rFonts w:hint="eastAsia"/>
          <w:lang w:val="en-US"/>
        </w:rPr>
        <w:t>《</w:t>
      </w:r>
      <w:r>
        <w:rPr>
          <w:rFonts w:hint="eastAsia"/>
          <w:lang w:val="en-US" w:eastAsia="zh-CN"/>
        </w:rPr>
        <w:t>初步设计</w:t>
      </w:r>
      <w:r>
        <w:rPr>
          <w:rFonts w:hint="eastAsia"/>
          <w:lang w:val="en-US"/>
        </w:rPr>
        <w:t>》中对安全管理机构设置内容未</w:t>
      </w:r>
      <w:r>
        <w:rPr>
          <w:rFonts w:hint="eastAsia"/>
          <w:lang w:val="en-US" w:eastAsia="zh-CN"/>
        </w:rPr>
        <w:t>做</w:t>
      </w:r>
      <w:r>
        <w:rPr>
          <w:rFonts w:hint="eastAsia"/>
          <w:lang w:val="en-US"/>
        </w:rPr>
        <w:t>具体设计说明，建议下一步安全设施设计中补充完善。</w:t>
      </w:r>
    </w:p>
    <w:p w14:paraId="64EA3F45">
      <w:pPr>
        <w:pStyle w:val="5"/>
        <w:bidi w:val="0"/>
        <w:rPr>
          <w:rFonts w:hint="default"/>
          <w:lang w:val="en-US"/>
        </w:rPr>
      </w:pPr>
      <w:r>
        <w:rPr>
          <w:rFonts w:hint="eastAsia"/>
          <w:lang w:val="en-US" w:eastAsia="zh-CN"/>
        </w:rPr>
        <w:t>安</w:t>
      </w:r>
      <w:r>
        <w:t>全</w:t>
      </w:r>
      <w:r>
        <w:rPr>
          <w:rFonts w:hint="eastAsia"/>
          <w:lang w:eastAsia="zh-CN"/>
        </w:rPr>
        <w:t>管理</w:t>
      </w:r>
      <w:r>
        <w:t>人员配备</w:t>
      </w:r>
    </w:p>
    <w:p w14:paraId="377789E9">
      <w:pPr>
        <w:rPr>
          <w:rFonts w:hint="default"/>
          <w:lang w:val="en-US"/>
        </w:rPr>
      </w:pPr>
      <w:r>
        <w:rPr>
          <w:rFonts w:hint="eastAsia"/>
          <w:lang w:val="en-US"/>
        </w:rPr>
        <w:t>《</w:t>
      </w:r>
      <w:r>
        <w:rPr>
          <w:rFonts w:hint="eastAsia"/>
          <w:lang w:val="en-US" w:eastAsia="zh-CN"/>
        </w:rPr>
        <w:t>初步设计</w:t>
      </w:r>
      <w:r>
        <w:rPr>
          <w:rFonts w:hint="eastAsia"/>
          <w:lang w:val="en-US"/>
        </w:rPr>
        <w:t>》中对安全管理人员配备等内容未</w:t>
      </w:r>
      <w:r>
        <w:rPr>
          <w:rFonts w:hint="eastAsia"/>
          <w:lang w:val="en-US" w:eastAsia="zh-CN"/>
        </w:rPr>
        <w:t>做</w:t>
      </w:r>
      <w:r>
        <w:rPr>
          <w:rFonts w:hint="eastAsia"/>
          <w:lang w:val="en-US"/>
        </w:rPr>
        <w:t>具体设计说明，建议下一步安全设施设计中补充完善。</w:t>
      </w:r>
    </w:p>
    <w:p w14:paraId="69D543D6">
      <w:pPr>
        <w:pStyle w:val="5"/>
        <w:bidi w:val="0"/>
        <w:rPr>
          <w:rFonts w:hint="default"/>
          <w:lang w:val="en-US"/>
        </w:rPr>
      </w:pPr>
      <w:r>
        <w:rPr>
          <w:rFonts w:hint="eastAsia"/>
          <w:lang w:eastAsia="zh-CN"/>
        </w:rPr>
        <w:t>专用安全设施</w:t>
      </w:r>
      <w:r>
        <w:t>投资</w:t>
      </w:r>
    </w:p>
    <w:p w14:paraId="33D995FC">
      <w:pPr>
        <w:rPr>
          <w:rFonts w:hint="default"/>
          <w:lang w:val="en-US"/>
        </w:rPr>
      </w:pPr>
      <w:r>
        <w:rPr>
          <w:rFonts w:hint="eastAsia"/>
          <w:lang w:val="en-US"/>
        </w:rPr>
        <w:t>《</w:t>
      </w:r>
      <w:r>
        <w:rPr>
          <w:rFonts w:hint="eastAsia"/>
          <w:lang w:val="en-US" w:eastAsia="zh-CN"/>
        </w:rPr>
        <w:t>初步设计</w:t>
      </w:r>
      <w:r>
        <w:rPr>
          <w:rFonts w:hint="eastAsia"/>
          <w:lang w:val="en-US"/>
        </w:rPr>
        <w:t>》中对</w:t>
      </w:r>
      <w:r>
        <w:rPr>
          <w:rFonts w:hint="eastAsia"/>
          <w:lang w:eastAsia="zh-CN"/>
        </w:rPr>
        <w:t>专用安全设施</w:t>
      </w:r>
      <w:r>
        <w:t>投资</w:t>
      </w:r>
      <w:r>
        <w:rPr>
          <w:rFonts w:hint="eastAsia"/>
          <w:lang w:val="en-US"/>
        </w:rPr>
        <w:t>内容</w:t>
      </w:r>
      <w:r>
        <w:rPr>
          <w:rFonts w:hint="eastAsia"/>
          <w:lang w:val="en-US" w:eastAsia="zh-CN"/>
        </w:rPr>
        <w:t>和金额</w:t>
      </w:r>
      <w:r>
        <w:rPr>
          <w:rFonts w:hint="eastAsia"/>
          <w:lang w:val="en-US"/>
        </w:rPr>
        <w:t>未</w:t>
      </w:r>
      <w:r>
        <w:rPr>
          <w:rFonts w:hint="eastAsia"/>
          <w:lang w:val="en-US" w:eastAsia="zh-CN"/>
        </w:rPr>
        <w:t>做</w:t>
      </w:r>
      <w:r>
        <w:rPr>
          <w:rFonts w:hint="eastAsia"/>
          <w:lang w:val="en-US"/>
        </w:rPr>
        <w:t>具体设计说明，建议下一步安全设施设计中补充完善。</w:t>
      </w:r>
    </w:p>
    <w:p w14:paraId="2CECD392">
      <w:pPr>
        <w:pStyle w:val="5"/>
        <w:bidi w:val="0"/>
        <w:rPr>
          <w:rFonts w:hint="default"/>
          <w:lang w:val="en-US"/>
        </w:rPr>
      </w:pPr>
      <w:r>
        <w:rPr>
          <w:rFonts w:hint="eastAsia"/>
          <w:lang w:val="en-US" w:eastAsia="zh-CN"/>
        </w:rPr>
        <w:t>劳动定员</w:t>
      </w:r>
    </w:p>
    <w:p w14:paraId="3AA2B865">
      <w:pPr>
        <w:bidi w:val="0"/>
        <w:rPr>
          <w:rFonts w:hint="default"/>
          <w:lang w:val="en-US" w:eastAsia="zh-CN"/>
        </w:rPr>
      </w:pPr>
      <w:r>
        <w:rPr>
          <w:rFonts w:hint="eastAsia"/>
          <w:lang w:val="en-US"/>
        </w:rPr>
        <w:t>矿山年工作日300天，每天1班，每班8小时；根据项目的工作制度，项目在册职工10人。其中生产工人7人，管理及服务人员3人。</w:t>
      </w:r>
    </w:p>
    <w:p w14:paraId="4AC64045">
      <w:pPr>
        <w:pStyle w:val="5"/>
        <w:bidi w:val="0"/>
        <w:rPr>
          <w:rFonts w:hint="default"/>
          <w:lang w:val="en-US" w:eastAsia="zh-CN"/>
        </w:rPr>
      </w:pPr>
      <w:r>
        <w:rPr>
          <w:rFonts w:hint="eastAsia"/>
          <w:lang w:val="en-US" w:eastAsia="zh-CN"/>
        </w:rPr>
        <w:t>矿山安全教育培训</w:t>
      </w:r>
    </w:p>
    <w:p w14:paraId="66BE3C13">
      <w:pPr>
        <w:bidi w:val="0"/>
        <w:rPr>
          <w:rFonts w:hint="eastAsia" w:ascii="宋体" w:hAnsi="宋体" w:eastAsia="宋体" w:cs="宋体"/>
          <w:lang w:val="en-US" w:eastAsia="zh-CN"/>
        </w:rPr>
      </w:pPr>
      <w:r>
        <w:rPr>
          <w:rFonts w:hint="eastAsia"/>
          <w:lang w:val="en-US" w:eastAsia="zh-CN"/>
        </w:rPr>
        <w:t>《初步设计》中未对主要负责人、安全管理人员、特种作业人员、从业人员的安全教育培训做具体说明，建议下一步安全设施设计中补充完善。</w:t>
      </w:r>
    </w:p>
    <w:p w14:paraId="23C33D00">
      <w:pPr>
        <w:pStyle w:val="5"/>
        <w:bidi w:val="0"/>
        <w:rPr>
          <w:rFonts w:hint="default"/>
          <w:lang w:val="en-US" w:eastAsia="zh-CN"/>
        </w:rPr>
      </w:pPr>
      <w:r>
        <w:rPr>
          <w:rFonts w:hint="eastAsia"/>
          <w:lang w:val="en-US" w:eastAsia="zh-CN"/>
        </w:rPr>
        <w:t>应急预案</w:t>
      </w:r>
    </w:p>
    <w:p w14:paraId="459C5185">
      <w:pPr>
        <w:rPr>
          <w:rFonts w:hint="default"/>
          <w:lang w:val="en-US" w:eastAsia="zh-CN"/>
        </w:rPr>
      </w:pPr>
      <w:r>
        <w:rPr>
          <w:rFonts w:hint="eastAsia" w:ascii="宋体" w:hAnsi="宋体"/>
          <w:color w:val="000000" w:themeColor="text1"/>
          <w:sz w:val="28"/>
          <w:szCs w:val="28"/>
          <w14:textFill>
            <w14:solidFill>
              <w14:schemeClr w14:val="tx1"/>
            </w14:solidFill>
          </w14:textFill>
        </w:rPr>
        <w:t>《初步设计》中未对矿山的应急救援</w:t>
      </w:r>
      <w:r>
        <w:rPr>
          <w:rFonts w:hint="eastAsia" w:ascii="宋体" w:hAnsi="宋体"/>
          <w:color w:val="000000" w:themeColor="text1"/>
          <w:sz w:val="28"/>
          <w:szCs w:val="28"/>
          <w:lang w:val="en-US" w:eastAsia="zh-CN"/>
          <w14:textFill>
            <w14:solidFill>
              <w14:schemeClr w14:val="tx1"/>
            </w14:solidFill>
          </w14:textFill>
        </w:rPr>
        <w:t>预案的编制、评审、备案等内容</w:t>
      </w:r>
      <w:r>
        <w:rPr>
          <w:rFonts w:hint="eastAsia" w:ascii="宋体" w:hAnsi="宋体"/>
          <w:color w:val="000000" w:themeColor="text1"/>
          <w:sz w:val="28"/>
          <w:szCs w:val="28"/>
          <w14:textFill>
            <w14:solidFill>
              <w14:schemeClr w14:val="tx1"/>
            </w14:solidFill>
          </w14:textFill>
        </w:rPr>
        <w:t>提出要求</w:t>
      </w:r>
      <w:r>
        <w:rPr>
          <w:rFonts w:hint="eastAsia" w:ascii="宋体" w:hAnsi="宋体"/>
          <w:color w:val="000000" w:themeColor="text1"/>
          <w:sz w:val="28"/>
          <w:szCs w:val="28"/>
          <w:lang w:eastAsia="zh-CN"/>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建议在下一步安全设施设计中完善。</w:t>
      </w:r>
    </w:p>
    <w:p w14:paraId="72C7DEA4">
      <w:pPr>
        <w:pStyle w:val="5"/>
        <w:bidi w:val="0"/>
        <w:rPr>
          <w:rFonts w:hint="default"/>
          <w:lang w:val="en-US" w:eastAsia="zh-CN"/>
        </w:rPr>
      </w:pPr>
      <w:r>
        <w:rPr>
          <w:rFonts w:hint="eastAsia"/>
          <w:lang w:val="en-US" w:eastAsia="zh-CN"/>
        </w:rPr>
        <w:t>安全管理制度及其他</w:t>
      </w:r>
    </w:p>
    <w:p w14:paraId="53B2C4AD">
      <w:pPr>
        <w:rPr>
          <w:rFonts w:hint="default" w:ascii="宋体" w:hAnsi="宋体" w:eastAsia="宋体" w:cs="宋体"/>
          <w:lang w:val="en-US" w:eastAsia="zh-CN"/>
        </w:rPr>
      </w:pPr>
      <w:r>
        <w:rPr>
          <w:rFonts w:hint="eastAsia" w:ascii="宋体" w:hAnsi="宋体" w:eastAsia="宋体" w:cs="宋体"/>
          <w:lang w:val="en-US" w:eastAsia="zh-CN"/>
        </w:rPr>
        <w:t>《初步设计》中对矿山安全管理制度、安全生产责任制、岗位安全操作规程的建立健全和完善、购买工伤保险等内容未作具体设计说明，建议下一步安全设施设计中补充完善。</w:t>
      </w:r>
    </w:p>
    <w:p w14:paraId="15D3903D">
      <w:pPr>
        <w:pStyle w:val="3"/>
        <w:bidi w:val="0"/>
        <w:rPr>
          <w:rFonts w:hint="default"/>
          <w:lang w:val="en-US" w:eastAsia="zh-CN"/>
        </w:rPr>
      </w:pPr>
      <w:bookmarkStart w:id="112" w:name="_Toc14072"/>
      <w:r>
        <w:rPr>
          <w:rFonts w:hint="eastAsia"/>
          <w:lang w:val="en-US" w:eastAsia="zh-CN"/>
        </w:rPr>
        <w:t>典型案例</w:t>
      </w:r>
      <w:bookmarkEnd w:id="112"/>
    </w:p>
    <w:p w14:paraId="29E33ADF">
      <w:pPr>
        <w:pStyle w:val="4"/>
        <w:bidi w:val="0"/>
        <w:rPr>
          <w:rFonts w:hint="eastAsia"/>
          <w:lang w:val="en-US" w:eastAsia="zh-CN"/>
        </w:rPr>
      </w:pPr>
      <w:r>
        <w:rPr>
          <w:rFonts w:hint="eastAsia"/>
          <w:lang w:val="en-US" w:eastAsia="zh-CN"/>
        </w:rPr>
        <w:t>案例一：古城坑砂石料堆场“10．30”物体打击事故</w:t>
      </w:r>
    </w:p>
    <w:p w14:paraId="74F680A2">
      <w:pPr>
        <w:bidi w:val="0"/>
        <w:rPr>
          <w:rFonts w:hint="eastAsia" w:ascii="宋体" w:hAnsi="宋体" w:eastAsia="宋体" w:cs="宋体"/>
          <w:color w:val="auto"/>
          <w:lang w:val="en-US" w:eastAsia="zh-CN"/>
        </w:rPr>
      </w:pPr>
      <w:r>
        <w:rPr>
          <w:rFonts w:hint="eastAsia" w:ascii="宋体" w:hAnsi="宋体" w:eastAsia="宋体" w:cs="宋体"/>
          <w:color w:val="auto"/>
          <w:lang w:val="en-US" w:eastAsia="zh-CN"/>
        </w:rPr>
        <w:t>2019年10月30日，位于云安区都杨镇都友村委水口村古城坑李汇波砂石料堆场发生一起物体打击事故，造成1人受伤，送云浮市人民医院经抢救无效死亡，造成直接经济损失人民币89万。经调查认定，此次事故是一起物体打击的一般生产安全责任事故。</w:t>
      </w:r>
    </w:p>
    <w:p w14:paraId="154F688F">
      <w:pPr>
        <w:numPr>
          <w:ilvl w:val="0"/>
          <w:numId w:val="27"/>
        </w:numPr>
        <w:bidi w:val="0"/>
        <w:rPr>
          <w:rFonts w:hint="default"/>
          <w:color w:val="auto"/>
          <w:lang w:val="en-US" w:eastAsia="zh-CN"/>
        </w:rPr>
      </w:pPr>
      <w:r>
        <w:rPr>
          <w:rFonts w:hint="eastAsia"/>
          <w:color w:val="auto"/>
          <w:lang w:val="en-US" w:eastAsia="zh-CN"/>
        </w:rPr>
        <w:t>事故经过</w:t>
      </w:r>
    </w:p>
    <w:p w14:paraId="5ADCA837">
      <w:pPr>
        <w:bidi w:val="0"/>
        <w:rPr>
          <w:rFonts w:hint="default"/>
          <w:color w:val="auto"/>
          <w:lang w:val="en-US" w:eastAsia="zh-CN"/>
        </w:rPr>
      </w:pPr>
      <w:r>
        <w:rPr>
          <w:rFonts w:hint="default"/>
          <w:color w:val="auto"/>
          <w:lang w:val="en-US" w:eastAsia="zh-CN"/>
        </w:rPr>
        <w:t>2019年10月29日，古城坑李汇波砂石料堆场的铲车司机蓝某按照古城坑李汇波砂石料堆场安排上夜班，夜班时间为晚上10点至第二天早上6点。上班后，蓝某、陈某在堆场不同区域驾驶铲车进行铲装作业，铲车班长魏某在现场管理。到了2019年10月30日凌晨4时许，在附近工作的铲车班长魏某突然听到“砰"一声撞击声，迅速赶到事发现场，看到蓝某驾驶的铲车被石料掩埋了驾驶室。魏某立即通知在别处作业的陈某驾驶铲车进行救援，并打电话向李某、陈某等求救。经过约20分钟的救援，李某、魏某、陈某、陈某、李某、魏某等人合力将被埋的伤者蓝某救出，送往云浮市人民医院进行抢救，并打“110"电话报警处理。10月30日早上6点19分，蓝某被送达云浮市人民医院进行抢救，至8点36分，伤者蓝某经医生抢救无效死亡。</w:t>
      </w:r>
    </w:p>
    <w:p w14:paraId="25F01260">
      <w:pPr>
        <w:bidi w:val="0"/>
        <w:rPr>
          <w:rFonts w:hint="default"/>
          <w:color w:val="auto"/>
          <w:lang w:val="en-US" w:eastAsia="zh-CN"/>
        </w:rPr>
      </w:pPr>
      <w:r>
        <w:rPr>
          <w:rFonts w:hint="default"/>
          <w:color w:val="auto"/>
          <w:lang w:val="en-US" w:eastAsia="zh-CN"/>
        </w:rPr>
        <w:t>因事故现场无视频监控设备，事故发生的经过也无人看到，综合事故现场情况及有关人员的询问，经调查分析认为：10月30日凌晨4时许，蓝某驾驶铲车在铲装过程中，操作铲车不当不慎撞向堆场的石料堆，造成石料坍塌掩埋了驾驶室，蓝某受伤被困，导致事故的发生。</w:t>
      </w:r>
    </w:p>
    <w:p w14:paraId="0C09E97B">
      <w:pPr>
        <w:numPr>
          <w:ilvl w:val="0"/>
          <w:numId w:val="27"/>
        </w:numPr>
        <w:bidi w:val="0"/>
        <w:ind w:left="0" w:leftChars="0" w:firstLine="420"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事故原因分析</w:t>
      </w:r>
    </w:p>
    <w:p w14:paraId="5A08C827">
      <w:pPr>
        <w:numPr>
          <w:ilvl w:val="0"/>
          <w:numId w:val="28"/>
        </w:numPr>
        <w:bidi w:val="0"/>
        <w:ind w:left="0" w:leftChars="0" w:firstLine="56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事故直接原因</w:t>
      </w:r>
    </w:p>
    <w:p w14:paraId="6136040A">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蓝某安全意识淡薄，风险辨识不足，驾驶铲车在铲装过程中，操作铲车不当不慎撞向堆场的石料堆，造成石料坍塌掩埋了驾驶室，导致事故发生，是事故发生的直接原因。</w:t>
      </w:r>
    </w:p>
    <w:p w14:paraId="22DB1087">
      <w:pPr>
        <w:numPr>
          <w:ilvl w:val="0"/>
          <w:numId w:val="28"/>
        </w:numPr>
        <w:bidi w:val="0"/>
        <w:ind w:left="0" w:leftChars="0" w:firstLine="56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事故</w:t>
      </w:r>
      <w:r>
        <w:rPr>
          <w:rFonts w:hint="eastAsia" w:ascii="Times New Roman" w:hAnsi="Times New Roman" w:eastAsia="宋体" w:cs="Times New Roman"/>
          <w:color w:val="auto"/>
          <w:lang w:val="en-US" w:eastAsia="zh-CN"/>
        </w:rPr>
        <w:t>间</w:t>
      </w:r>
      <w:r>
        <w:rPr>
          <w:rFonts w:hint="default" w:ascii="Times New Roman" w:hAnsi="Times New Roman" w:eastAsia="宋体" w:cs="Times New Roman"/>
          <w:color w:val="auto"/>
          <w:lang w:val="en-US" w:eastAsia="zh-CN"/>
        </w:rPr>
        <w:t>接原因</w:t>
      </w:r>
    </w:p>
    <w:p w14:paraId="59E4F3D0">
      <w:pPr>
        <w:keepNext w:val="0"/>
        <w:keepLines w:val="0"/>
        <w:pageBreakBefore w:val="0"/>
        <w:widowControl w:val="0"/>
        <w:numPr>
          <w:ilvl w:val="0"/>
          <w:numId w:val="29"/>
        </w:numPr>
        <w:kinsoku/>
        <w:wordWrap/>
        <w:overflowPunct/>
        <w:topLinePunct w:val="0"/>
        <w:autoSpaceDE/>
        <w:autoSpaceDN/>
        <w:bidi w:val="0"/>
        <w:adjustRightInd/>
        <w:snapToGrid/>
        <w:ind w:left="0" w:leftChars="0" w:firstLine="560" w:firstLineChars="20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古城坑李汇波砂石料堆场未组织制定并实施本单位安全生产教育和培训计划，未如实记录安全生产教育和培训情况；未建立健全生产安全事故隐患排查治理制度，未采取技术、管理措施，及时发现并消除事故隐患。</w:t>
      </w:r>
    </w:p>
    <w:p w14:paraId="7BD4810F">
      <w:pPr>
        <w:keepNext w:val="0"/>
        <w:keepLines w:val="0"/>
        <w:pageBreakBefore w:val="0"/>
        <w:widowControl w:val="0"/>
        <w:numPr>
          <w:ilvl w:val="0"/>
          <w:numId w:val="29"/>
        </w:numPr>
        <w:kinsoku/>
        <w:wordWrap/>
        <w:overflowPunct/>
        <w:topLinePunct w:val="0"/>
        <w:autoSpaceDE/>
        <w:autoSpaceDN/>
        <w:bidi w:val="0"/>
        <w:adjustRightInd/>
        <w:snapToGrid/>
        <w:ind w:left="0" w:leftChars="0" w:firstLine="560" w:firstLineChars="20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李某未建立、健全本单位安全生产责任制，未组织制定并实施本单位安全生产教育和培训计划，未完全履行督促、检查本单位的安全生产工作，未及时消除生产安全事故隐患。</w:t>
      </w:r>
    </w:p>
    <w:p w14:paraId="21DC5667">
      <w:pPr>
        <w:keepNext w:val="0"/>
        <w:keepLines w:val="0"/>
        <w:pageBreakBefore w:val="0"/>
        <w:widowControl w:val="0"/>
        <w:numPr>
          <w:ilvl w:val="0"/>
          <w:numId w:val="29"/>
        </w:numPr>
        <w:kinsoku/>
        <w:wordWrap/>
        <w:overflowPunct/>
        <w:topLinePunct w:val="0"/>
        <w:autoSpaceDE/>
        <w:autoSpaceDN/>
        <w:bidi w:val="0"/>
        <w:adjustRightInd/>
        <w:snapToGrid/>
        <w:ind w:left="0" w:leftChars="0" w:firstLine="560" w:firstLineChars="20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魏某作为古城坑李汇波砂石料堆场铲车班长，负责管理堆场铲装工作，现场监督管理不到位。</w:t>
      </w:r>
    </w:p>
    <w:p w14:paraId="3E296E3D">
      <w:pPr>
        <w:numPr>
          <w:ilvl w:val="0"/>
          <w:numId w:val="27"/>
        </w:numPr>
        <w:bidi w:val="0"/>
        <w:ind w:left="0" w:leftChars="0" w:firstLine="420"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责任追究</w:t>
      </w:r>
    </w:p>
    <w:p w14:paraId="527BACC9">
      <w:pPr>
        <w:numPr>
          <w:ilvl w:val="0"/>
          <w:numId w:val="30"/>
        </w:numPr>
        <w:bidi w:val="0"/>
        <w:ind w:left="0" w:leftChars="0" w:firstLine="56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蓝某，作为铲车司机，安全意识淡薄，风险辨识不足，驾驶铲车在铲装过程中，操作不当不慎撞向堆场的石料堆，造成石料坍塌，掩埋了驾驶室，蓝某的行为是导致事故发生的直接原因，鉴于其在事故中死亡，建议不再</w:t>
      </w:r>
      <w:r>
        <w:rPr>
          <w:rFonts w:hint="eastAsia" w:cs="Times New Roman"/>
          <w:color w:val="auto"/>
          <w:lang w:val="en-US" w:eastAsia="zh-CN"/>
        </w:rPr>
        <w:t>追究</w:t>
      </w:r>
      <w:r>
        <w:rPr>
          <w:rFonts w:hint="default" w:ascii="Times New Roman" w:hAnsi="Times New Roman" w:eastAsia="宋体" w:cs="Times New Roman"/>
          <w:color w:val="auto"/>
          <w:lang w:val="en-US" w:eastAsia="zh-CN"/>
        </w:rPr>
        <w:t>其责任。</w:t>
      </w:r>
    </w:p>
    <w:p w14:paraId="76EA6856">
      <w:pPr>
        <w:numPr>
          <w:ilvl w:val="0"/>
          <w:numId w:val="30"/>
        </w:numPr>
        <w:bidi w:val="0"/>
        <w:ind w:left="0" w:leftChars="0" w:firstLine="56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云安区都杨镇都友村委水口村古城坑李汇波砂石料堆场，未组织制定并实施本单位安全生产教育和培训计划，未如实记录安全生产教育和培训情况；未建立健全生产安全事故隐患排查治理制度，未采取技术、管理措施，及时发现并消除事故隐患，其行为违反了《中华人民共和国安全生产法》第二十五条、第三十八条的规定，建议区应急管理部门依据《中华人民共和国安全生产法》第九十四条、第九十八条、第九十九条的规定对云安区都杨镇都友村委水口村古城坑李汇波砂石料堆场进行行政处罚。</w:t>
      </w:r>
    </w:p>
    <w:p w14:paraId="23D57366">
      <w:pPr>
        <w:numPr>
          <w:ilvl w:val="0"/>
          <w:numId w:val="30"/>
        </w:numPr>
        <w:bidi w:val="0"/>
        <w:ind w:left="0" w:leftChars="0" w:firstLine="56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李某，作为古城坑李汇波砂石料堆场的主要负责人，未建立、健全本单位安全生产责任制，未组织制定并实施本单位安全生产教育和培训计划，未完全履行督促、检查本单位的安全生产工作，未及时消除生产安全事故隐患；其行为违反了《中华人民共和国安全生产法》第十八条的规定，李某对事故发生负有管理责任。建议区应急管理部门依据《中华人民共和国安全生产法》第九十二条的规定对李汇波作出行政处罚。</w:t>
      </w:r>
    </w:p>
    <w:p w14:paraId="5E142FAA">
      <w:pPr>
        <w:numPr>
          <w:ilvl w:val="0"/>
          <w:numId w:val="30"/>
        </w:numPr>
        <w:bidi w:val="0"/>
        <w:ind w:left="0" w:leftChars="0" w:firstLine="56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魏某，作为古城坑李汇波砂石料堆场铲车班长，负责管理堆场铲装工作，现场监督管理不到位，建议古城坑李汇波砂石料堆场对魏某进行处理，并及时将处理情况报云浮市云安区应急管理局备</w:t>
      </w:r>
      <w:r>
        <w:rPr>
          <w:rFonts w:hint="eastAsia" w:ascii="Times New Roman" w:hAnsi="Times New Roman" w:eastAsia="宋体" w:cs="Times New Roman"/>
          <w:color w:val="auto"/>
          <w:lang w:val="en-US" w:eastAsia="zh-CN"/>
        </w:rPr>
        <w:t>案。</w:t>
      </w:r>
    </w:p>
    <w:p w14:paraId="028C53C4">
      <w:pPr>
        <w:numPr>
          <w:ilvl w:val="0"/>
          <w:numId w:val="27"/>
        </w:numPr>
        <w:bidi w:val="0"/>
        <w:ind w:left="0" w:leftChars="0" w:firstLine="420"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事故防范和整改措施</w:t>
      </w:r>
    </w:p>
    <w:p w14:paraId="50EA05C1">
      <w:pPr>
        <w:numPr>
          <w:ilvl w:val="0"/>
          <w:numId w:val="31"/>
        </w:numPr>
        <w:bidi w:val="0"/>
        <w:ind w:left="0" w:leftChars="0" w:firstLine="560" w:firstLineChars="200"/>
        <w:rPr>
          <w:rFonts w:hint="default"/>
          <w:color w:val="auto"/>
          <w:lang w:val="en-US" w:eastAsia="zh-CN"/>
        </w:rPr>
      </w:pPr>
      <w:r>
        <w:rPr>
          <w:rFonts w:hint="default"/>
          <w:color w:val="auto"/>
          <w:lang w:val="en-US" w:eastAsia="zh-CN"/>
        </w:rPr>
        <w:t>深刻吸取事故教训，严格落实企业安全生产主体责任，完善安全生产管理制度，开展安全生产教育和培训，加强作业现场的安全管理，开展安全生产大检查，及时整改生产安全事故隐患，依法办理经营手续。此外，古城坑李汇波砂石料堆场要重点加强以下工作：</w:t>
      </w:r>
    </w:p>
    <w:p w14:paraId="1700AEDA">
      <w:pPr>
        <w:keepNext w:val="0"/>
        <w:keepLines w:val="0"/>
        <w:pageBreakBefore w:val="0"/>
        <w:widowControl w:val="0"/>
        <w:numPr>
          <w:ilvl w:val="0"/>
          <w:numId w:val="32"/>
        </w:numPr>
        <w:kinsoku/>
        <w:wordWrap/>
        <w:overflowPunct/>
        <w:topLinePunct w:val="0"/>
        <w:autoSpaceDE/>
        <w:autoSpaceDN/>
        <w:bidi w:val="0"/>
        <w:adjustRightInd/>
        <w:snapToGrid/>
        <w:ind w:left="0" w:leftChars="0" w:firstLine="560" w:firstLineChars="20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一是堆场在生产作业时要控制堆放的物料高度，不能超过设备的安全铲装高度；</w:t>
      </w:r>
    </w:p>
    <w:p w14:paraId="2562EBD9">
      <w:pPr>
        <w:keepNext w:val="0"/>
        <w:keepLines w:val="0"/>
        <w:pageBreakBefore w:val="0"/>
        <w:widowControl w:val="0"/>
        <w:numPr>
          <w:ilvl w:val="0"/>
          <w:numId w:val="32"/>
        </w:numPr>
        <w:kinsoku/>
        <w:wordWrap/>
        <w:overflowPunct/>
        <w:topLinePunct w:val="0"/>
        <w:autoSpaceDE/>
        <w:autoSpaceDN/>
        <w:bidi w:val="0"/>
        <w:adjustRightInd/>
        <w:snapToGrid/>
        <w:ind w:left="0" w:leftChars="0" w:firstLine="560" w:firstLineChars="20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二是施工作业前要做好隐患排查工作，对顶部存在板结的高料堆进行铲装时，应制定专门的铲装安全措施；</w:t>
      </w:r>
    </w:p>
    <w:p w14:paraId="11A08F5F">
      <w:pPr>
        <w:keepNext w:val="0"/>
        <w:keepLines w:val="0"/>
        <w:pageBreakBefore w:val="0"/>
        <w:widowControl w:val="0"/>
        <w:numPr>
          <w:ilvl w:val="0"/>
          <w:numId w:val="32"/>
        </w:numPr>
        <w:kinsoku/>
        <w:wordWrap/>
        <w:overflowPunct/>
        <w:topLinePunct w:val="0"/>
        <w:autoSpaceDE/>
        <w:autoSpaceDN/>
        <w:bidi w:val="0"/>
        <w:adjustRightInd/>
        <w:snapToGrid/>
        <w:ind w:left="0" w:leftChars="0" w:firstLine="560" w:firstLineChars="20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三是合理划分堆场的运输道和堆放点的区域；</w:t>
      </w:r>
    </w:p>
    <w:p w14:paraId="34ADF170">
      <w:pPr>
        <w:keepNext w:val="0"/>
        <w:keepLines w:val="0"/>
        <w:pageBreakBefore w:val="0"/>
        <w:widowControl w:val="0"/>
        <w:numPr>
          <w:ilvl w:val="0"/>
          <w:numId w:val="32"/>
        </w:numPr>
        <w:kinsoku/>
        <w:wordWrap/>
        <w:overflowPunct/>
        <w:topLinePunct w:val="0"/>
        <w:autoSpaceDE/>
        <w:autoSpaceDN/>
        <w:bidi w:val="0"/>
        <w:adjustRightInd/>
        <w:snapToGrid/>
        <w:ind w:left="0" w:leftChars="0" w:firstLine="560" w:firstLineChars="20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四是增加堆场照明设施，确保作业场地照明充足；</w:t>
      </w:r>
    </w:p>
    <w:p w14:paraId="59EC9D27">
      <w:pPr>
        <w:keepNext w:val="0"/>
        <w:keepLines w:val="0"/>
        <w:pageBreakBefore w:val="0"/>
        <w:widowControl w:val="0"/>
        <w:numPr>
          <w:ilvl w:val="0"/>
          <w:numId w:val="32"/>
        </w:numPr>
        <w:kinsoku/>
        <w:wordWrap/>
        <w:overflowPunct/>
        <w:topLinePunct w:val="0"/>
        <w:autoSpaceDE/>
        <w:autoSpaceDN/>
        <w:bidi w:val="0"/>
        <w:adjustRightInd/>
        <w:snapToGrid/>
        <w:ind w:left="0" w:leftChars="0" w:firstLine="560" w:firstLineChars="20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五是增加堆场安全警示标识及现场警戒工作；</w:t>
      </w:r>
    </w:p>
    <w:p w14:paraId="4E12B386">
      <w:pPr>
        <w:keepNext w:val="0"/>
        <w:keepLines w:val="0"/>
        <w:pageBreakBefore w:val="0"/>
        <w:widowControl w:val="0"/>
        <w:numPr>
          <w:ilvl w:val="0"/>
          <w:numId w:val="32"/>
        </w:numPr>
        <w:kinsoku/>
        <w:wordWrap/>
        <w:overflowPunct/>
        <w:topLinePunct w:val="0"/>
        <w:autoSpaceDE/>
        <w:autoSpaceDN/>
        <w:bidi w:val="0"/>
        <w:adjustRightInd/>
        <w:snapToGrid/>
        <w:ind w:left="0" w:leftChars="0" w:firstLine="560" w:firstLineChars="20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六是合理安排作息时间、避免疲劳作业。</w:t>
      </w:r>
    </w:p>
    <w:p w14:paraId="7BE0726F">
      <w:pPr>
        <w:numPr>
          <w:ilvl w:val="0"/>
          <w:numId w:val="31"/>
        </w:numPr>
        <w:bidi w:val="0"/>
        <w:ind w:left="0" w:leftChars="0" w:firstLine="56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要求全区的相关企业吸取本次事故教训，开展安全生产自查工作，发现存在安全隐患的，立即落实整改，并加强对员工的安全教育培训工作，严防类似事故的再次发生。</w:t>
      </w:r>
    </w:p>
    <w:p w14:paraId="5619FA7A">
      <w:pPr>
        <w:numPr>
          <w:ilvl w:val="0"/>
          <w:numId w:val="31"/>
        </w:numPr>
        <w:bidi w:val="0"/>
        <w:ind w:left="0" w:leftChars="0" w:firstLine="560" w:firstLineChars="200"/>
        <w:rPr>
          <w:rFonts w:hint="default"/>
          <w:color w:val="auto"/>
          <w:lang w:val="en-US" w:eastAsia="zh-CN"/>
        </w:rPr>
      </w:pPr>
      <w:r>
        <w:rPr>
          <w:rFonts w:hint="default" w:ascii="Times New Roman" w:hAnsi="Times New Roman" w:eastAsia="宋体" w:cs="Times New Roman"/>
          <w:color w:val="auto"/>
          <w:lang w:val="en-US" w:eastAsia="zh-CN"/>
        </w:rPr>
        <w:t>坚持事故处理“四不放过"原则，要求相关单位对相关责任人员进行严肃处理，并做好宣传教育工作，吸取事故教训</w:t>
      </w:r>
      <w:r>
        <w:rPr>
          <w:rFonts w:hint="default"/>
          <w:color w:val="auto"/>
          <w:lang w:val="en-US" w:eastAsia="zh-CN"/>
        </w:rPr>
        <w:t>。</w:t>
      </w:r>
    </w:p>
    <w:p w14:paraId="3BA1A902">
      <w:pPr>
        <w:pStyle w:val="4"/>
        <w:bidi w:val="0"/>
        <w:rPr>
          <w:rFonts w:hint="eastAsia"/>
          <w:lang w:val="en-US" w:eastAsia="zh-CN"/>
        </w:rPr>
      </w:pPr>
      <w:r>
        <w:rPr>
          <w:rFonts w:hint="eastAsia"/>
          <w:lang w:val="en-US" w:eastAsia="zh-CN"/>
        </w:rPr>
        <w:t>案例二：韶关市曲江区“5．20”触电事故</w:t>
      </w:r>
    </w:p>
    <w:p w14:paraId="21868D8B">
      <w:pPr>
        <w:bidi w:val="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2021年5月20日下午17时左右，韶关市曲江区大塘镇红新村委会黄岭亭矿产品加工厂内，一名工人在拉接电线作业过程中发生一起触电事故，导致1人死亡，直接经济损失约120万元。经事故调查组各成员一致认为，该起事故是由于项目承租人黄继鹏安全生产主体责任不落实，现场安全管理混乱，特种作业人员未持证上岗所导致的一起一般生产安全责任事故。</w:t>
      </w:r>
    </w:p>
    <w:p w14:paraId="74A0136C">
      <w:pPr>
        <w:numPr>
          <w:ilvl w:val="0"/>
          <w:numId w:val="33"/>
        </w:numPr>
        <w:bidi w:val="0"/>
        <w:rPr>
          <w:rFonts w:hint="default"/>
          <w:color w:val="auto"/>
          <w:lang w:val="en-US" w:eastAsia="zh-CN"/>
        </w:rPr>
      </w:pPr>
      <w:r>
        <w:rPr>
          <w:rFonts w:hint="eastAsia"/>
          <w:color w:val="auto"/>
          <w:lang w:val="en-US" w:eastAsia="zh-CN"/>
        </w:rPr>
        <w:t>事故经过</w:t>
      </w:r>
    </w:p>
    <w:p w14:paraId="7C946846">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2021年5月20日下午，陈柏树、黄克余、谭绍青、刘乃祝等四名临时招聘人员在黄继鹏所承租的选矿厂厂内进行场地清洁、水管安装以及相关辅助设施安装施工作业。现场钢梯、水管等辅助设施要根据现场实际使用的长度进行安装，需要对原材料进行切割开料。由于原来设置在地面的电源开关损坏，切割机通不上电，无法进行开料。17点左右，陈柏树便利用厂房二层一处平台电源箱的另外一组380V的电源线准备接通切割机的电源，就在接线作业的过程中，陈柏树突然发出“哎哟"一声，现场附近的黄克余等三名工人闻声见状后立即跑过去，将陈柏树手中的电源线拉开，接着陈柏树倒在地面。</w:t>
      </w:r>
    </w:p>
    <w:p w14:paraId="5F5C5A3E">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17时04分，刘乃祝</w:t>
      </w:r>
      <w:r>
        <w:rPr>
          <w:rFonts w:hint="eastAsia" w:cs="Times New Roman"/>
          <w:color w:val="auto"/>
          <w:lang w:val="en-US" w:eastAsia="zh-CN"/>
        </w:rPr>
        <w:t>拨打</w:t>
      </w:r>
      <w:r>
        <w:rPr>
          <w:rFonts w:hint="default" w:ascii="Times New Roman" w:hAnsi="Times New Roman" w:eastAsia="宋体" w:cs="Times New Roman"/>
          <w:color w:val="auto"/>
          <w:lang w:val="en-US" w:eastAsia="zh-CN"/>
        </w:rPr>
        <w:t>120急救电话，医护人员在电话中教他们三人如何实施心脏复苏急救办法，黄克余和谭绍青立即对陈柏树采取了现场应急抢救措施。17时20分左右，120医护人员到达事故现场后，对陈柏树又经过20分钟左右的抢救后，医务人员当场宣布陈柏树抢救无效死亡。</w:t>
      </w:r>
    </w:p>
    <w:p w14:paraId="1F2E1B4E">
      <w:pPr>
        <w:numPr>
          <w:ilvl w:val="0"/>
          <w:numId w:val="33"/>
        </w:numPr>
        <w:bidi w:val="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事故原因分析</w:t>
      </w:r>
    </w:p>
    <w:p w14:paraId="71FD1F2F">
      <w:pPr>
        <w:numPr>
          <w:ilvl w:val="0"/>
          <w:numId w:val="34"/>
        </w:numPr>
        <w:bidi w:val="0"/>
        <w:ind w:left="0" w:leftChars="0" w:firstLine="56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事故直接原因</w:t>
      </w:r>
    </w:p>
    <w:p w14:paraId="24E6B894">
      <w:pPr>
        <w:bidi w:val="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作业人员陈柏树安全意识淡薄，在无任何防护措施且未确认电器线路是否带电的情况下，进行电线拉接作业，导致其本人当场触电身亡，是本次事故发生的直接原因。</w:t>
      </w:r>
    </w:p>
    <w:p w14:paraId="2075C1D5">
      <w:pPr>
        <w:numPr>
          <w:ilvl w:val="0"/>
          <w:numId w:val="34"/>
        </w:numPr>
        <w:bidi w:val="0"/>
        <w:ind w:left="0" w:leftChars="0" w:firstLine="56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事故</w:t>
      </w:r>
      <w:r>
        <w:rPr>
          <w:rFonts w:hint="eastAsia" w:ascii="Times New Roman" w:hAnsi="Times New Roman" w:eastAsia="宋体" w:cs="Times New Roman"/>
          <w:color w:val="auto"/>
          <w:lang w:val="en-US" w:eastAsia="zh-CN"/>
        </w:rPr>
        <w:t>间</w:t>
      </w:r>
      <w:r>
        <w:rPr>
          <w:rFonts w:hint="default" w:ascii="Times New Roman" w:hAnsi="Times New Roman" w:eastAsia="宋体" w:cs="Times New Roman"/>
          <w:color w:val="auto"/>
          <w:lang w:val="en-US" w:eastAsia="zh-CN"/>
        </w:rPr>
        <w:t>接原因</w:t>
      </w:r>
    </w:p>
    <w:p w14:paraId="00B052A5">
      <w:pPr>
        <w:keepNext w:val="0"/>
        <w:keepLines w:val="0"/>
        <w:pageBreakBefore w:val="0"/>
        <w:widowControl w:val="0"/>
        <w:numPr>
          <w:ilvl w:val="0"/>
          <w:numId w:val="35"/>
        </w:numPr>
        <w:kinsoku/>
        <w:wordWrap/>
        <w:overflowPunct/>
        <w:topLinePunct w:val="0"/>
        <w:autoSpaceDE/>
        <w:autoSpaceDN/>
        <w:bidi w:val="0"/>
        <w:adjustRightInd/>
        <w:snapToGrid/>
        <w:ind w:left="0" w:leftChars="0" w:firstLine="560" w:firstLineChars="200"/>
        <w:textAlignment w:val="auto"/>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项目投资人</w:t>
      </w:r>
      <w:r>
        <w:rPr>
          <w:rFonts w:hint="default" w:ascii="Times New Roman" w:hAnsi="Times New Roman" w:eastAsia="宋体" w:cs="Times New Roman"/>
          <w:color w:val="auto"/>
          <w:lang w:val="en-US" w:eastAsia="zh-CN"/>
        </w:rPr>
        <w:t>黄继鹏未认真履行安全生产主体责任，在组织厂房卫生清洁、设备检维护及辅助设施建设施工作业前，未有计划、有组织、有措施，逐项落实安全生产工作。</w:t>
      </w:r>
    </w:p>
    <w:p w14:paraId="0BB9EE27">
      <w:pPr>
        <w:keepNext w:val="0"/>
        <w:keepLines w:val="0"/>
        <w:pageBreakBefore w:val="0"/>
        <w:widowControl w:val="0"/>
        <w:numPr>
          <w:ilvl w:val="0"/>
          <w:numId w:val="35"/>
        </w:numPr>
        <w:kinsoku/>
        <w:wordWrap/>
        <w:overflowPunct/>
        <w:topLinePunct w:val="0"/>
        <w:autoSpaceDE/>
        <w:autoSpaceDN/>
        <w:bidi w:val="0"/>
        <w:adjustRightInd/>
        <w:snapToGrid/>
        <w:ind w:left="0" w:leftChars="0" w:firstLine="560" w:firstLineChars="200"/>
        <w:textAlignment w:val="auto"/>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项目投资人</w:t>
      </w:r>
      <w:r>
        <w:rPr>
          <w:rFonts w:hint="default" w:ascii="Times New Roman" w:hAnsi="Times New Roman" w:eastAsia="宋体" w:cs="Times New Roman"/>
          <w:color w:val="auto"/>
          <w:lang w:val="en-US" w:eastAsia="zh-CN"/>
        </w:rPr>
        <w:t>黄继鹏安全意识淡薄，</w:t>
      </w:r>
      <w:r>
        <w:rPr>
          <w:rFonts w:hint="eastAsia" w:cs="Times New Roman"/>
          <w:color w:val="auto"/>
          <w:lang w:val="en-US" w:eastAsia="zh-CN"/>
        </w:rPr>
        <w:t>法律法规</w:t>
      </w:r>
      <w:r>
        <w:rPr>
          <w:rFonts w:hint="default" w:ascii="Times New Roman" w:hAnsi="Times New Roman" w:eastAsia="宋体" w:cs="Times New Roman"/>
          <w:color w:val="auto"/>
          <w:lang w:val="en-US" w:eastAsia="zh-CN"/>
        </w:rPr>
        <w:t>意识薄弱。在未审查四名临聘人员是否持有特殊作业操作证的情况下，组织工人进行特种作业操作。</w:t>
      </w:r>
    </w:p>
    <w:p w14:paraId="45583654">
      <w:pPr>
        <w:keepNext w:val="0"/>
        <w:keepLines w:val="0"/>
        <w:pageBreakBefore w:val="0"/>
        <w:widowControl w:val="0"/>
        <w:numPr>
          <w:ilvl w:val="0"/>
          <w:numId w:val="35"/>
        </w:numPr>
        <w:kinsoku/>
        <w:wordWrap/>
        <w:overflowPunct/>
        <w:topLinePunct w:val="0"/>
        <w:autoSpaceDE/>
        <w:autoSpaceDN/>
        <w:bidi w:val="0"/>
        <w:adjustRightInd/>
        <w:snapToGrid/>
        <w:ind w:left="0" w:leftChars="0" w:firstLine="560" w:firstLineChars="200"/>
        <w:textAlignment w:val="auto"/>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项目投资人</w:t>
      </w:r>
      <w:r>
        <w:rPr>
          <w:rFonts w:hint="default" w:ascii="Times New Roman" w:hAnsi="Times New Roman" w:eastAsia="宋体" w:cs="Times New Roman"/>
          <w:color w:val="auto"/>
          <w:lang w:val="en-US" w:eastAsia="zh-CN"/>
        </w:rPr>
        <w:t>黄继鹏未针对现场施工作业的情况制订相应的岗位操作规程，导致工人无章可循、盲目施工、危险作业。</w:t>
      </w:r>
    </w:p>
    <w:p w14:paraId="534D381D">
      <w:pPr>
        <w:keepNext w:val="0"/>
        <w:keepLines w:val="0"/>
        <w:pageBreakBefore w:val="0"/>
        <w:widowControl w:val="0"/>
        <w:numPr>
          <w:ilvl w:val="0"/>
          <w:numId w:val="35"/>
        </w:numPr>
        <w:kinsoku/>
        <w:wordWrap/>
        <w:overflowPunct/>
        <w:topLinePunct w:val="0"/>
        <w:autoSpaceDE/>
        <w:autoSpaceDN/>
        <w:bidi w:val="0"/>
        <w:adjustRightInd/>
        <w:snapToGrid/>
        <w:ind w:left="0" w:leftChars="0" w:firstLine="560" w:firstLineChars="200"/>
        <w:textAlignment w:val="auto"/>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项目投资人</w:t>
      </w:r>
      <w:r>
        <w:rPr>
          <w:rFonts w:hint="default" w:ascii="Times New Roman" w:hAnsi="Times New Roman" w:eastAsia="宋体" w:cs="Times New Roman"/>
          <w:color w:val="auto"/>
          <w:lang w:val="en-US" w:eastAsia="zh-CN"/>
        </w:rPr>
        <w:t>黄继鹏未对现场进行风险辨识、管控，开展现场隐患排查治理，导致现场安全隐患较多，生产安全事故风险系数较大。</w:t>
      </w:r>
    </w:p>
    <w:p w14:paraId="65BBB49D">
      <w:pPr>
        <w:keepNext w:val="0"/>
        <w:keepLines w:val="0"/>
        <w:pageBreakBefore w:val="0"/>
        <w:widowControl w:val="0"/>
        <w:numPr>
          <w:ilvl w:val="0"/>
          <w:numId w:val="35"/>
        </w:numPr>
        <w:kinsoku/>
        <w:wordWrap/>
        <w:overflowPunct/>
        <w:topLinePunct w:val="0"/>
        <w:autoSpaceDE/>
        <w:autoSpaceDN/>
        <w:bidi w:val="0"/>
        <w:adjustRightInd/>
        <w:snapToGrid/>
        <w:ind w:left="0" w:leftChars="0" w:firstLine="560" w:firstLineChars="200"/>
        <w:textAlignment w:val="auto"/>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项目投资人</w:t>
      </w:r>
      <w:r>
        <w:rPr>
          <w:rFonts w:hint="default" w:ascii="Times New Roman" w:hAnsi="Times New Roman" w:eastAsia="宋体" w:cs="Times New Roman"/>
          <w:color w:val="auto"/>
          <w:lang w:val="en-US" w:eastAsia="zh-CN"/>
        </w:rPr>
        <w:t>黄继鹏聘请了四名临聘人员入厂内施工作业前未开展安全教育培训，现场存在的风险隐患未进行排查，导致未能告知并</w:t>
      </w:r>
      <w:r>
        <w:rPr>
          <w:rFonts w:hint="eastAsia" w:cs="Times New Roman"/>
          <w:color w:val="auto"/>
          <w:lang w:val="en-US" w:eastAsia="zh-CN"/>
        </w:rPr>
        <w:t>提醒</w:t>
      </w:r>
      <w:r>
        <w:rPr>
          <w:rFonts w:hint="default" w:ascii="Times New Roman" w:hAnsi="Times New Roman" w:eastAsia="宋体" w:cs="Times New Roman"/>
          <w:color w:val="auto"/>
          <w:lang w:val="en-US" w:eastAsia="zh-CN"/>
        </w:rPr>
        <w:t>作业人员现场安全注意事项，导致现场施工作业</w:t>
      </w:r>
      <w:r>
        <w:rPr>
          <w:rFonts w:hint="eastAsia" w:cs="Times New Roman"/>
          <w:color w:val="auto"/>
          <w:lang w:val="en-US" w:eastAsia="zh-CN"/>
        </w:rPr>
        <w:t>人员</w:t>
      </w:r>
      <w:r>
        <w:rPr>
          <w:rFonts w:hint="default" w:ascii="Times New Roman" w:hAnsi="Times New Roman" w:eastAsia="宋体" w:cs="Times New Roman"/>
          <w:color w:val="auto"/>
          <w:lang w:val="en-US" w:eastAsia="zh-CN"/>
        </w:rPr>
        <w:t>安全意识淡薄。</w:t>
      </w:r>
    </w:p>
    <w:p w14:paraId="7E627433">
      <w:pPr>
        <w:keepNext w:val="0"/>
        <w:keepLines w:val="0"/>
        <w:pageBreakBefore w:val="0"/>
        <w:widowControl w:val="0"/>
        <w:numPr>
          <w:ilvl w:val="0"/>
          <w:numId w:val="35"/>
        </w:numPr>
        <w:kinsoku/>
        <w:wordWrap/>
        <w:overflowPunct/>
        <w:topLinePunct w:val="0"/>
        <w:autoSpaceDE/>
        <w:autoSpaceDN/>
        <w:bidi w:val="0"/>
        <w:adjustRightInd/>
        <w:snapToGrid/>
        <w:ind w:left="0" w:leftChars="0" w:firstLine="560" w:firstLineChars="200"/>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现场安全管理混乱，</w:t>
      </w:r>
      <w:r>
        <w:rPr>
          <w:rFonts w:hint="eastAsia" w:ascii="Times New Roman" w:hAnsi="Times New Roman" w:eastAsia="宋体" w:cs="Times New Roman"/>
          <w:color w:val="auto"/>
          <w:lang w:val="en-US" w:eastAsia="zh-CN"/>
        </w:rPr>
        <w:t>项目投资人</w:t>
      </w:r>
      <w:r>
        <w:rPr>
          <w:rFonts w:hint="default" w:ascii="Times New Roman" w:hAnsi="Times New Roman" w:eastAsia="宋体" w:cs="Times New Roman"/>
          <w:color w:val="auto"/>
          <w:lang w:val="en-US" w:eastAsia="zh-CN"/>
        </w:rPr>
        <w:t>黄继鹏组织四名临聘人员开展厂房卫生清洁、设备检维护及辅助设施建设施工作业后，本人未亲自到现场进行管理，又未明确安排人员负责现场管理，现场安全管理严重缺失。</w:t>
      </w:r>
    </w:p>
    <w:p w14:paraId="0F5237F0">
      <w:pPr>
        <w:numPr>
          <w:ilvl w:val="0"/>
          <w:numId w:val="33"/>
        </w:numPr>
        <w:bidi w:val="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责任追究</w:t>
      </w:r>
    </w:p>
    <w:p w14:paraId="25A757F3">
      <w:pPr>
        <w:bidi w:val="0"/>
        <w:rPr>
          <w:rFonts w:hint="default"/>
          <w:color w:val="auto"/>
          <w:lang w:val="en-US" w:eastAsia="zh-CN"/>
        </w:rPr>
      </w:pPr>
      <w:r>
        <w:rPr>
          <w:rFonts w:hint="default"/>
          <w:color w:val="auto"/>
          <w:lang w:val="en-US" w:eastAsia="zh-CN"/>
        </w:rPr>
        <w:t>依照《中华人民共和国安全生产法》《生产安全事故报告和调查处理条例》及《生产安全事故罚款处罚规定》等有关法律法规，对该起事故相关责任人提出如下处理意见：</w:t>
      </w:r>
    </w:p>
    <w:p w14:paraId="65A8AFF4">
      <w:pPr>
        <w:numPr>
          <w:ilvl w:val="0"/>
          <w:numId w:val="36"/>
        </w:numPr>
        <w:bidi w:val="0"/>
        <w:ind w:left="0" w:leftChars="0" w:firstLine="56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黄继鹏，作为该项目的投资人，未严格落实安全生产主体责任，未对现场风险进行辨识，未开展隐患排查治理，未对临聘施工人员进行安全教育培训，安排未持有特种作业操作证的人员开展特种作业，安全管理工作严重失职，对本起事故负有主要的管理责任。由曲江区应急管理局根据《生产安全事故罚款处罚规定（试行）》（国家安监总局第13号，经第77号修正）“第十九条：个人经营的投资人未依照《安全生产法》的规定保证安全生产所必需的资金投入，致使生产经营单位不具备安全生产条件，导致发生生产安全事故的，依照下列规定对个人经营的投资人处以罚款：（一）发生一般事故的，处2万以上5万以下的罚款"的规定，对黄继鹏实施行政处罚。</w:t>
      </w:r>
    </w:p>
    <w:p w14:paraId="14B8F270">
      <w:pPr>
        <w:numPr>
          <w:ilvl w:val="0"/>
          <w:numId w:val="36"/>
        </w:numPr>
        <w:bidi w:val="0"/>
        <w:ind w:left="0" w:leftChars="0" w:firstLine="56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陈伯树，作为经营场所清扫及水管安装工人，安全生产意识淡薄，在自身不具备电工资质，在未确认电线是否带电的情况下，擅自盲目从事特种作业操作直接导致了事故的发生。鉴于陈柏树在本起事故中身亡，故此不再对其进行责</w:t>
      </w:r>
      <w:r>
        <w:rPr>
          <w:rFonts w:hint="eastAsia" w:ascii="Times New Roman" w:hAnsi="Times New Roman" w:eastAsia="宋体" w:cs="Times New Roman"/>
          <w:color w:val="auto"/>
          <w:lang w:val="en-US" w:eastAsia="zh-CN"/>
        </w:rPr>
        <w:t>任追究</w:t>
      </w:r>
      <w:r>
        <w:rPr>
          <w:rFonts w:hint="default" w:ascii="Times New Roman" w:hAnsi="Times New Roman" w:eastAsia="宋体" w:cs="Times New Roman"/>
          <w:color w:val="auto"/>
          <w:lang w:val="en-US" w:eastAsia="zh-CN"/>
        </w:rPr>
        <w:t>。</w:t>
      </w:r>
    </w:p>
    <w:p w14:paraId="156C2FAF">
      <w:pPr>
        <w:numPr>
          <w:ilvl w:val="0"/>
          <w:numId w:val="33"/>
        </w:numPr>
        <w:bidi w:val="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事故防范和整改措施</w:t>
      </w:r>
    </w:p>
    <w:p w14:paraId="10DAAA44">
      <w:pPr>
        <w:bidi w:val="0"/>
        <w:rPr>
          <w:rFonts w:hint="default"/>
          <w:color w:val="auto"/>
          <w:lang w:val="en-US" w:eastAsia="zh-CN"/>
        </w:rPr>
      </w:pPr>
      <w:r>
        <w:rPr>
          <w:rFonts w:hint="default"/>
          <w:color w:val="auto"/>
          <w:lang w:val="en-US" w:eastAsia="zh-CN"/>
        </w:rPr>
        <w:t>为深刻总结并吸取事故教训，有针对性地制定和落实防范措施，切实加强和改进生产安全工作，杜绝类似事故的发生，提出如下建议：</w:t>
      </w:r>
    </w:p>
    <w:p w14:paraId="6C093CCF">
      <w:pPr>
        <w:numPr>
          <w:ilvl w:val="0"/>
          <w:numId w:val="37"/>
        </w:numPr>
        <w:bidi w:val="0"/>
        <w:ind w:left="0" w:leftChars="0" w:firstLine="560" w:firstLineChars="200"/>
        <w:rPr>
          <w:rFonts w:hint="default"/>
          <w:color w:val="auto"/>
          <w:lang w:val="en-US" w:eastAsia="zh-CN"/>
        </w:rPr>
      </w:pPr>
      <w:r>
        <w:rPr>
          <w:rFonts w:hint="default"/>
          <w:color w:val="auto"/>
          <w:lang w:val="en-US" w:eastAsia="zh-CN"/>
        </w:rPr>
        <w:t>本项目投资人黄继鹏必须深刻吸取本次“5，20"事故教训，严格执行国家安全生产各项法律法规，建立健全安全生产责任体系，切实落实安全生产主体责任。</w:t>
      </w:r>
    </w:p>
    <w:p w14:paraId="03AC1B74">
      <w:pPr>
        <w:numPr>
          <w:ilvl w:val="0"/>
          <w:numId w:val="37"/>
        </w:numPr>
        <w:bidi w:val="0"/>
        <w:ind w:left="0" w:leftChars="0" w:firstLine="560" w:firstLineChars="200"/>
        <w:rPr>
          <w:rFonts w:hint="default"/>
          <w:color w:val="auto"/>
          <w:lang w:val="en-US" w:eastAsia="zh-CN"/>
        </w:rPr>
      </w:pPr>
      <w:r>
        <w:rPr>
          <w:rFonts w:hint="default"/>
          <w:color w:val="auto"/>
          <w:lang w:val="en-US" w:eastAsia="zh-CN"/>
        </w:rPr>
        <w:t>全面开展风险辨识管控，加大隐患排查治理力度，切实落实风险管控措施，消除各类事故隐</w:t>
      </w:r>
      <w:r>
        <w:rPr>
          <w:rFonts w:hint="eastAsia"/>
          <w:color w:val="auto"/>
          <w:lang w:val="en-US" w:eastAsia="zh-CN"/>
        </w:rPr>
        <w:t>患</w:t>
      </w:r>
      <w:r>
        <w:rPr>
          <w:rFonts w:hint="default"/>
          <w:color w:val="auto"/>
          <w:lang w:val="en-US" w:eastAsia="zh-CN"/>
        </w:rPr>
        <w:t>，确保安全生产。</w:t>
      </w:r>
    </w:p>
    <w:p w14:paraId="41685F4F">
      <w:pPr>
        <w:numPr>
          <w:ilvl w:val="0"/>
          <w:numId w:val="37"/>
        </w:numPr>
        <w:bidi w:val="0"/>
        <w:ind w:left="0" w:leftChars="0" w:firstLine="560" w:firstLineChars="200"/>
        <w:rPr>
          <w:rFonts w:hint="default"/>
          <w:color w:val="auto"/>
          <w:lang w:val="en-US" w:eastAsia="zh-CN"/>
        </w:rPr>
      </w:pPr>
      <w:r>
        <w:rPr>
          <w:rFonts w:hint="default"/>
          <w:color w:val="auto"/>
          <w:lang w:val="en-US" w:eastAsia="zh-CN"/>
        </w:rPr>
        <w:t>加强作业现场安全管理，做好作业现场进行人的不安全行为与物的不安全状态的控制，确保不安全不生产。</w:t>
      </w:r>
    </w:p>
    <w:p w14:paraId="43D206E7">
      <w:pPr>
        <w:numPr>
          <w:ilvl w:val="0"/>
          <w:numId w:val="37"/>
        </w:numPr>
        <w:bidi w:val="0"/>
        <w:ind w:left="0" w:leftChars="0" w:firstLine="560" w:firstLineChars="200"/>
        <w:rPr>
          <w:rFonts w:hint="eastAsia"/>
          <w:color w:val="auto"/>
          <w:lang w:val="en-US" w:eastAsia="zh-CN"/>
        </w:rPr>
      </w:pPr>
      <w:r>
        <w:rPr>
          <w:rFonts w:hint="default"/>
          <w:color w:val="auto"/>
          <w:lang w:val="en-US" w:eastAsia="zh-CN"/>
        </w:rPr>
        <w:t>加强从业人员安全教育培训，</w:t>
      </w:r>
      <w:r>
        <w:rPr>
          <w:rFonts w:hint="eastAsia"/>
          <w:color w:val="auto"/>
          <w:lang w:val="en-US" w:eastAsia="zh-CN"/>
        </w:rPr>
        <w:t>增强</w:t>
      </w:r>
      <w:r>
        <w:rPr>
          <w:rFonts w:hint="default"/>
          <w:color w:val="auto"/>
          <w:lang w:val="en-US" w:eastAsia="zh-CN"/>
        </w:rPr>
        <w:t>作业人员的安全意识，特别是特种作业等高风险作业人员安全教育培训，杜绝无证上岗。坚决落实全员培训制度，着力</w:t>
      </w:r>
      <w:r>
        <w:rPr>
          <w:rFonts w:hint="eastAsia"/>
          <w:color w:val="auto"/>
          <w:lang w:val="en-US" w:eastAsia="zh-CN"/>
        </w:rPr>
        <w:t>增强</w:t>
      </w:r>
      <w:r>
        <w:rPr>
          <w:rFonts w:hint="default"/>
          <w:color w:val="auto"/>
          <w:lang w:val="en-US" w:eastAsia="zh-CN"/>
        </w:rPr>
        <w:t>员工安全意识和辨识风险的安全防范</w:t>
      </w:r>
      <w:r>
        <w:rPr>
          <w:rFonts w:hint="eastAsia"/>
          <w:color w:val="auto"/>
          <w:lang w:val="en-US" w:eastAsia="zh-CN"/>
        </w:rPr>
        <w:t>意识。</w:t>
      </w:r>
    </w:p>
    <w:p w14:paraId="670F5351">
      <w:pPr>
        <w:bidi w:val="0"/>
        <w:rPr>
          <w:rFonts w:hint="eastAsia" w:ascii="宋体" w:hAnsi="宋体" w:eastAsia="宋体" w:cs="宋体"/>
          <w:lang w:val="en-US" w:eastAsia="zh-CN"/>
        </w:rPr>
      </w:pPr>
      <w:r>
        <w:rPr>
          <w:rFonts w:hint="eastAsia" w:ascii="宋体" w:hAnsi="宋体" w:eastAsia="宋体" w:cs="宋体"/>
          <w:lang w:val="en-US" w:eastAsia="zh-CN"/>
        </w:rPr>
        <w:br w:type="page"/>
      </w:r>
    </w:p>
    <w:p w14:paraId="078078FF">
      <w:pPr>
        <w:pStyle w:val="2"/>
        <w:bidi w:val="0"/>
      </w:pPr>
      <w:r>
        <w:rPr>
          <w:rFonts w:hint="eastAsia"/>
          <w:lang w:val="en-US" w:eastAsia="zh-CN"/>
        </w:rPr>
        <w:t xml:space="preserve"> </w:t>
      </w:r>
      <w:bookmarkStart w:id="113" w:name="_Toc22576"/>
      <w:r>
        <w:t>定性定量评价</w:t>
      </w:r>
      <w:bookmarkEnd w:id="113"/>
    </w:p>
    <w:p w14:paraId="4494142B">
      <w:pPr>
        <w:pStyle w:val="3"/>
        <w:bidi w:val="0"/>
        <w:rPr>
          <w:lang w:val="en-US"/>
        </w:rPr>
      </w:pPr>
      <w:bookmarkStart w:id="114" w:name="_Toc89665720"/>
      <w:bookmarkStart w:id="115" w:name="_Toc28421"/>
      <w:bookmarkStart w:id="116" w:name="_Toc37507760"/>
      <w:bookmarkStart w:id="117" w:name="_Toc27914"/>
      <w:bookmarkStart w:id="118" w:name="_Toc86631532"/>
      <w:bookmarkStart w:id="119" w:name="_Toc369582834"/>
      <w:bookmarkStart w:id="120" w:name="_Toc42791944"/>
      <w:bookmarkStart w:id="121" w:name="_Toc364268944"/>
      <w:bookmarkStart w:id="122" w:name="_Toc88296805"/>
      <w:bookmarkStart w:id="123" w:name="_Toc42791819"/>
      <w:bookmarkStart w:id="124" w:name="_Toc32649"/>
      <w:bookmarkStart w:id="125" w:name="_Toc88941927"/>
      <w:bookmarkStart w:id="126" w:name="_Toc87589417"/>
      <w:bookmarkStart w:id="127" w:name="_Toc37508378"/>
      <w:bookmarkStart w:id="128" w:name="_Toc12913"/>
      <w:r>
        <w:rPr>
          <w:lang w:val="en-US"/>
        </w:rPr>
        <w:t>预评价单元划分</w:t>
      </w:r>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p>
    <w:p w14:paraId="7BAEC8C4">
      <w:pPr>
        <w:pStyle w:val="4"/>
        <w:bidi w:val="0"/>
        <w:rPr>
          <w:lang w:val="en-US"/>
        </w:rPr>
      </w:pPr>
      <w:bookmarkStart w:id="129" w:name="_Toc42791945"/>
      <w:bookmarkStart w:id="130" w:name="_Toc9723"/>
      <w:bookmarkStart w:id="131" w:name="_Toc37508379"/>
      <w:bookmarkStart w:id="132" w:name="_Toc29697"/>
      <w:bookmarkStart w:id="133" w:name="_Toc364268945"/>
      <w:bookmarkStart w:id="134" w:name="_Toc369582835"/>
      <w:bookmarkStart w:id="135" w:name="_Toc42791820"/>
      <w:bookmarkStart w:id="136" w:name="_Toc37507761"/>
      <w:bookmarkStart w:id="137" w:name="_Toc5858"/>
      <w:r>
        <w:rPr>
          <w:lang w:val="en-US"/>
        </w:rPr>
        <w:t>预评价单元划分的原则</w:t>
      </w:r>
      <w:bookmarkEnd w:id="129"/>
      <w:bookmarkEnd w:id="130"/>
      <w:bookmarkEnd w:id="131"/>
      <w:bookmarkEnd w:id="132"/>
      <w:bookmarkEnd w:id="133"/>
      <w:bookmarkEnd w:id="134"/>
      <w:bookmarkEnd w:id="135"/>
      <w:bookmarkEnd w:id="136"/>
      <w:bookmarkEnd w:id="137"/>
    </w:p>
    <w:p w14:paraId="4794C835">
      <w:pPr>
        <w:bidi w:val="0"/>
      </w:pPr>
      <w:r>
        <w:t>评价单元的划分是在对危险、有害因素进行辨识分析的基础上，根据评价目的和评价方法的需要，将系统分成若干有限的范围，确定需要评价的单元，以提高评价的客观性和准确性。</w:t>
      </w:r>
    </w:p>
    <w:p w14:paraId="2379DDF6">
      <w:pPr>
        <w:bidi w:val="0"/>
      </w:pPr>
      <w:r>
        <w:t>评价单元一般以生产工艺，物料的特性及危险、有害因素的类别、分布状况综合考虑进行划分。</w:t>
      </w:r>
    </w:p>
    <w:p w14:paraId="7C0F743B">
      <w:pPr>
        <w:pStyle w:val="4"/>
        <w:bidi w:val="0"/>
        <w:rPr>
          <w:lang w:val="en-US"/>
        </w:rPr>
      </w:pPr>
      <w:bookmarkStart w:id="138" w:name="_Toc37507762"/>
      <w:bookmarkStart w:id="139" w:name="_Toc3559"/>
      <w:bookmarkStart w:id="140" w:name="_Toc42791821"/>
      <w:bookmarkStart w:id="141" w:name="_Toc37508380"/>
      <w:bookmarkStart w:id="142" w:name="_Toc369582836"/>
      <w:bookmarkStart w:id="143" w:name="_Toc42791946"/>
      <w:bookmarkStart w:id="144" w:name="_Toc17177"/>
      <w:bookmarkStart w:id="145" w:name="_Toc364268946"/>
      <w:bookmarkStart w:id="146" w:name="_Toc23785"/>
      <w:r>
        <w:rPr>
          <w:lang w:val="en-US"/>
        </w:rPr>
        <w:t>评价单元的确定</w:t>
      </w:r>
      <w:bookmarkEnd w:id="138"/>
      <w:bookmarkEnd w:id="139"/>
      <w:bookmarkEnd w:id="140"/>
      <w:bookmarkEnd w:id="141"/>
      <w:bookmarkEnd w:id="142"/>
      <w:bookmarkEnd w:id="143"/>
      <w:bookmarkEnd w:id="144"/>
      <w:bookmarkEnd w:id="145"/>
      <w:bookmarkEnd w:id="146"/>
    </w:p>
    <w:p w14:paraId="0F0F55B1">
      <w:pPr>
        <w:bidi w:val="0"/>
      </w:pPr>
      <w:r>
        <w:t>在危险评价过程中，为了方便评价工作的具体实施，确定正确的评价方法，往往需要把评价对象按照一定的原则进行分解，把一个复杂的系统划分为数个相对独立，便于评价操作、灾害控制、安全管理的单元，分别进行评价后，再合成各单元的评价结果，这种对评价对象的分解，叫做评价单元划分。划分评价单元的方法主要有两类，一是以危险、有害因素的类别为主来划分；二是以生产工艺装置或场所为主来划分。</w:t>
      </w:r>
    </w:p>
    <w:p w14:paraId="07FF1061">
      <w:pPr>
        <w:bidi w:val="0"/>
      </w:pPr>
      <w:r>
        <w:t>常用的评价单元划分方法有：</w:t>
      </w:r>
    </w:p>
    <w:p w14:paraId="5E40FF45">
      <w:pPr>
        <w:numPr>
          <w:ilvl w:val="0"/>
          <w:numId w:val="38"/>
        </w:numPr>
        <w:bidi w:val="0"/>
        <w:ind w:left="0" w:leftChars="0" w:firstLine="560" w:firstLineChars="200"/>
        <w:rPr>
          <w:rFonts w:hint="eastAsia" w:ascii="宋体" w:hAnsi="宋体" w:eastAsia="宋体" w:cs="宋体"/>
        </w:rPr>
      </w:pPr>
      <w:r>
        <w:rPr>
          <w:rFonts w:hint="eastAsia" w:ascii="宋体" w:hAnsi="宋体" w:eastAsia="宋体" w:cs="宋体"/>
        </w:rPr>
        <w:t>以危险、有害因素的类别为主划分评价单元。</w:t>
      </w:r>
    </w:p>
    <w:p w14:paraId="35AF6352">
      <w:pPr>
        <w:keepNext w:val="0"/>
        <w:keepLines w:val="0"/>
        <w:pageBreakBefore w:val="0"/>
        <w:widowControl w:val="0"/>
        <w:numPr>
          <w:ilvl w:val="0"/>
          <w:numId w:val="39"/>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对工艺方案、总体布置及自然条件、环境对系统影响等综合方面的危险、有害因素的分析和评价，可将整个系统作为一个评价单元；</w:t>
      </w:r>
    </w:p>
    <w:p w14:paraId="257021F3">
      <w:pPr>
        <w:keepNext w:val="0"/>
        <w:keepLines w:val="0"/>
        <w:pageBreakBefore w:val="0"/>
        <w:widowControl w:val="0"/>
        <w:numPr>
          <w:ilvl w:val="0"/>
          <w:numId w:val="39"/>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将具有共性危险因素、有害因素的场所和装置划为一个单元。</w:t>
      </w:r>
    </w:p>
    <w:p w14:paraId="057797E2">
      <w:pPr>
        <w:numPr>
          <w:ilvl w:val="0"/>
          <w:numId w:val="38"/>
        </w:numPr>
        <w:bidi w:val="0"/>
        <w:ind w:left="0" w:leftChars="0" w:firstLine="560" w:firstLineChars="200"/>
        <w:rPr>
          <w:rFonts w:hint="eastAsia" w:ascii="宋体" w:hAnsi="宋体" w:eastAsia="宋体" w:cs="宋体"/>
        </w:rPr>
      </w:pPr>
      <w:r>
        <w:rPr>
          <w:rFonts w:hint="eastAsia" w:ascii="宋体" w:hAnsi="宋体" w:eastAsia="宋体" w:cs="宋体"/>
        </w:rPr>
        <w:t>以装置和物质特征划分评价单元。</w:t>
      </w:r>
    </w:p>
    <w:p w14:paraId="6BB97758">
      <w:pPr>
        <w:keepNext w:val="0"/>
        <w:keepLines w:val="0"/>
        <w:pageBreakBefore w:val="0"/>
        <w:widowControl w:val="0"/>
        <w:numPr>
          <w:ilvl w:val="0"/>
          <w:numId w:val="40"/>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按装置工艺功能划分；</w:t>
      </w:r>
    </w:p>
    <w:p w14:paraId="6F07F243">
      <w:pPr>
        <w:keepNext w:val="0"/>
        <w:keepLines w:val="0"/>
        <w:pageBreakBefore w:val="0"/>
        <w:widowControl w:val="0"/>
        <w:numPr>
          <w:ilvl w:val="0"/>
          <w:numId w:val="40"/>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按布置的相对独立性划分；</w:t>
      </w:r>
    </w:p>
    <w:p w14:paraId="51BB229D">
      <w:pPr>
        <w:keepNext w:val="0"/>
        <w:keepLines w:val="0"/>
        <w:pageBreakBefore w:val="0"/>
        <w:widowControl w:val="0"/>
        <w:numPr>
          <w:ilvl w:val="0"/>
          <w:numId w:val="40"/>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按工艺条件划分评价单元；</w:t>
      </w:r>
    </w:p>
    <w:p w14:paraId="479321BE">
      <w:pPr>
        <w:keepNext w:val="0"/>
        <w:keepLines w:val="0"/>
        <w:pageBreakBefore w:val="0"/>
        <w:widowControl w:val="0"/>
        <w:numPr>
          <w:ilvl w:val="0"/>
          <w:numId w:val="40"/>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按贮存、处理危险物品的潜在化学能、毒性和危险物品的数量划分评价单元；</w:t>
      </w:r>
    </w:p>
    <w:p w14:paraId="62AFB059">
      <w:pPr>
        <w:keepNext w:val="0"/>
        <w:keepLines w:val="0"/>
        <w:pageBreakBefore w:val="0"/>
        <w:widowControl w:val="0"/>
        <w:numPr>
          <w:ilvl w:val="0"/>
          <w:numId w:val="40"/>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根据以往事故资料，将发生事故能导致停产、波及范围大、造成巨大损失和伤害的关键设备作为一个单元；</w:t>
      </w:r>
    </w:p>
    <w:p w14:paraId="69BABC0D">
      <w:pPr>
        <w:keepNext w:val="0"/>
        <w:keepLines w:val="0"/>
        <w:pageBreakBefore w:val="0"/>
        <w:widowControl w:val="0"/>
        <w:numPr>
          <w:ilvl w:val="0"/>
          <w:numId w:val="40"/>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将危险性大且资金密度大的区域作为一个评价单元；</w:t>
      </w:r>
    </w:p>
    <w:p w14:paraId="4DB66B79">
      <w:pPr>
        <w:keepNext w:val="0"/>
        <w:keepLines w:val="0"/>
        <w:pageBreakBefore w:val="0"/>
        <w:widowControl w:val="0"/>
        <w:numPr>
          <w:ilvl w:val="0"/>
          <w:numId w:val="40"/>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将危险性特别大的区域、装置作为一个评价单元；</w:t>
      </w:r>
    </w:p>
    <w:p w14:paraId="5B8CF8FD">
      <w:pPr>
        <w:keepNext w:val="0"/>
        <w:keepLines w:val="0"/>
        <w:pageBreakBefore w:val="0"/>
        <w:widowControl w:val="0"/>
        <w:numPr>
          <w:ilvl w:val="0"/>
          <w:numId w:val="40"/>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将具有类似危险性潜能的单元合并为一个大单元</w:t>
      </w:r>
      <w:r>
        <w:rPr>
          <w:rFonts w:hint="eastAsia" w:ascii="宋体" w:hAnsi="宋体" w:cs="宋体"/>
          <w:lang w:eastAsia="zh-CN"/>
        </w:rPr>
        <w:t>。</w:t>
      </w:r>
    </w:p>
    <w:p w14:paraId="76AE1B11">
      <w:pPr>
        <w:bidi w:val="0"/>
        <w:rPr>
          <w:rFonts w:hint="eastAsia" w:ascii="宋体" w:hAnsi="宋体" w:eastAsia="宋体" w:cs="宋体"/>
        </w:rPr>
      </w:pPr>
      <w:r>
        <w:rPr>
          <w:rFonts w:hint="eastAsia" w:ascii="宋体" w:hAnsi="宋体" w:eastAsia="宋体" w:cs="宋体"/>
        </w:rPr>
        <w:t>根据《国家安全监管总局关于印发金属非金属矿山建设项目安全评价报告编写提纲的通知》（安监总管一〔2016〕49号）附件</w:t>
      </w:r>
      <w:r>
        <w:rPr>
          <w:rFonts w:hint="eastAsia" w:ascii="宋体" w:hAnsi="宋体" w:eastAsia="宋体" w:cs="宋体"/>
          <w:lang w:val="en-US" w:eastAsia="zh-CN"/>
        </w:rPr>
        <w:t>2</w:t>
      </w:r>
      <w:r>
        <w:rPr>
          <w:rFonts w:hint="eastAsia" w:ascii="宋体" w:hAnsi="宋体" w:eastAsia="宋体" w:cs="宋体"/>
        </w:rPr>
        <w:t>：</w:t>
      </w:r>
      <w:r>
        <w:rPr>
          <w:rFonts w:hint="eastAsia" w:ascii="宋体" w:hAnsi="宋体" w:eastAsia="宋体" w:cs="宋体"/>
          <w:lang w:val="en-US"/>
        </w:rPr>
        <w:t>金属非金属露天矿山建设项目安全预评价报告编写提纲</w:t>
      </w:r>
      <w:r>
        <w:rPr>
          <w:rFonts w:hint="eastAsia" w:ascii="宋体" w:hAnsi="宋体" w:eastAsia="宋体" w:cs="宋体"/>
        </w:rPr>
        <w:t>，结合本项目建设特点：该矿山建设项目安全预评价单元划分为</w:t>
      </w:r>
      <w:r>
        <w:rPr>
          <w:rFonts w:hint="eastAsia" w:ascii="宋体" w:hAnsi="宋体" w:eastAsia="宋体" w:cs="宋体"/>
          <w:lang w:val="en-US" w:eastAsia="zh-CN"/>
        </w:rPr>
        <w:t>7</w:t>
      </w:r>
      <w:r>
        <w:rPr>
          <w:rFonts w:hint="eastAsia" w:ascii="宋体" w:hAnsi="宋体" w:eastAsia="宋体" w:cs="宋体"/>
        </w:rPr>
        <w:t>个评价单元：</w:t>
      </w:r>
    </w:p>
    <w:bookmarkEnd w:id="128"/>
    <w:p w14:paraId="19E54D65">
      <w:pPr>
        <w:pStyle w:val="11"/>
        <w:ind w:left="0" w:leftChars="0" w:firstLine="0" w:firstLineChars="0"/>
        <w:jc w:val="center"/>
        <w:rPr>
          <w:rFonts w:hint="eastAsia" w:eastAsia="宋体"/>
          <w:lang w:eastAsia="zh-CN"/>
        </w:rPr>
      </w:pPr>
      <w:r>
        <w:t xml:space="preserve">表 </w:t>
      </w:r>
      <w:r>
        <w:fldChar w:fldCharType="begin"/>
      </w:r>
      <w:r>
        <w:instrText xml:space="preserve"> STYLEREF 1 \s </w:instrText>
      </w:r>
      <w:r>
        <w:fldChar w:fldCharType="separate"/>
      </w:r>
      <w:r>
        <w:t>3</w:t>
      </w:r>
      <w:r>
        <w:fldChar w:fldCharType="end"/>
      </w:r>
      <w:r>
        <w:rPr>
          <w:rFonts w:hint="eastAsia"/>
          <w:lang w:eastAsia="zh-CN"/>
        </w:rPr>
        <w:t>-</w:t>
      </w:r>
      <w:r>
        <w:fldChar w:fldCharType="begin"/>
      </w:r>
      <w:r>
        <w:instrText xml:space="preserve"> SEQ 表 \* ARABIC \s 1 </w:instrText>
      </w:r>
      <w:r>
        <w:fldChar w:fldCharType="separate"/>
      </w:r>
      <w:r>
        <w:t>1</w:t>
      </w:r>
      <w:r>
        <w:fldChar w:fldCharType="end"/>
      </w:r>
      <w:r>
        <w:rPr>
          <w:rFonts w:hint="eastAsia"/>
          <w:lang w:eastAsia="zh-CN"/>
        </w:rPr>
        <w:t xml:space="preserve"> 评价单元划分表</w:t>
      </w:r>
    </w:p>
    <w:tbl>
      <w:tblPr>
        <w:tblStyle w:val="29"/>
        <w:tblW w:w="4998"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754"/>
        <w:gridCol w:w="3386"/>
        <w:gridCol w:w="994"/>
        <w:gridCol w:w="3980"/>
      </w:tblGrid>
      <w:tr w14:paraId="36CD57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40" w:hRule="atLeast"/>
          <w:tblHeader/>
        </w:trPr>
        <w:tc>
          <w:tcPr>
            <w:tcW w:w="414" w:type="pct"/>
            <w:tcBorders>
              <w:tl2br w:val="nil"/>
              <w:tr2bl w:val="nil"/>
            </w:tcBorders>
            <w:noWrap w:val="0"/>
            <w:vAlign w:val="center"/>
          </w:tcPr>
          <w:p w14:paraId="1DD8C5A1">
            <w:pPr>
              <w:spacing w:line="240" w:lineRule="auto"/>
              <w:ind w:left="0" w:leftChars="0" w:right="0" w:rightChars="0" w:firstLine="0" w:firstLineChars="0"/>
              <w:jc w:val="center"/>
              <w:rPr>
                <w:rFonts w:ascii="宋体" w:hAnsi="宋体"/>
                <w:b/>
                <w:color w:val="000000"/>
                <w:sz w:val="24"/>
                <w:szCs w:val="24"/>
              </w:rPr>
            </w:pPr>
            <w:r>
              <w:rPr>
                <w:rFonts w:hint="eastAsia" w:ascii="宋体" w:hAnsi="宋体"/>
                <w:b/>
                <w:color w:val="000000"/>
                <w:sz w:val="24"/>
                <w:szCs w:val="24"/>
              </w:rPr>
              <w:t>序号</w:t>
            </w:r>
          </w:p>
        </w:tc>
        <w:tc>
          <w:tcPr>
            <w:tcW w:w="1857" w:type="pct"/>
            <w:tcBorders>
              <w:tl2br w:val="nil"/>
              <w:tr2bl w:val="nil"/>
            </w:tcBorders>
            <w:noWrap w:val="0"/>
            <w:vAlign w:val="center"/>
          </w:tcPr>
          <w:p w14:paraId="6415BC5C">
            <w:pPr>
              <w:spacing w:line="240" w:lineRule="auto"/>
              <w:ind w:left="0" w:leftChars="0" w:right="0" w:rightChars="0" w:firstLine="0" w:firstLineChars="0"/>
              <w:jc w:val="center"/>
              <w:rPr>
                <w:rFonts w:hint="eastAsia" w:ascii="宋体" w:hAnsi="宋体" w:eastAsia="宋体"/>
                <w:b/>
                <w:color w:val="000000"/>
                <w:sz w:val="24"/>
                <w:szCs w:val="24"/>
                <w:lang w:eastAsia="zh-CN"/>
              </w:rPr>
            </w:pPr>
            <w:r>
              <w:rPr>
                <w:rFonts w:hint="eastAsia" w:ascii="宋体" w:hAnsi="宋体"/>
                <w:b/>
                <w:color w:val="000000"/>
                <w:sz w:val="24"/>
                <w:szCs w:val="24"/>
                <w:lang w:val="en-US" w:eastAsia="zh-CN"/>
              </w:rPr>
              <w:t>单元名称</w:t>
            </w:r>
          </w:p>
        </w:tc>
        <w:tc>
          <w:tcPr>
            <w:tcW w:w="2728" w:type="pct"/>
            <w:gridSpan w:val="2"/>
            <w:tcBorders>
              <w:tl2br w:val="nil"/>
              <w:tr2bl w:val="nil"/>
            </w:tcBorders>
            <w:noWrap w:val="0"/>
            <w:vAlign w:val="center"/>
          </w:tcPr>
          <w:p w14:paraId="5E0EA944">
            <w:pPr>
              <w:spacing w:line="240" w:lineRule="auto"/>
              <w:ind w:left="0" w:leftChars="0" w:right="0" w:rightChars="0" w:firstLine="0" w:firstLineChars="0"/>
              <w:jc w:val="center"/>
              <w:rPr>
                <w:rFonts w:hint="eastAsia" w:ascii="宋体" w:hAnsi="宋体" w:eastAsia="宋体"/>
                <w:b/>
                <w:color w:val="000000"/>
                <w:sz w:val="24"/>
                <w:szCs w:val="24"/>
                <w:lang w:eastAsia="zh-CN"/>
              </w:rPr>
            </w:pPr>
            <w:r>
              <w:rPr>
                <w:rFonts w:hint="eastAsia" w:ascii="宋体" w:hAnsi="宋体"/>
                <w:b/>
                <w:color w:val="000000"/>
                <w:sz w:val="24"/>
                <w:szCs w:val="24"/>
                <w:lang w:val="en-US" w:eastAsia="zh-CN"/>
              </w:rPr>
              <w:t>子单元</w:t>
            </w:r>
          </w:p>
        </w:tc>
      </w:tr>
      <w:tr w14:paraId="177FDA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14" w:type="pct"/>
            <w:vMerge w:val="restart"/>
            <w:tcBorders>
              <w:tl2br w:val="nil"/>
              <w:tr2bl w:val="nil"/>
            </w:tcBorders>
            <w:noWrap w:val="0"/>
            <w:vAlign w:val="center"/>
          </w:tcPr>
          <w:p w14:paraId="1B1F2379">
            <w:pPr>
              <w:numPr>
                <w:ilvl w:val="0"/>
                <w:numId w:val="41"/>
              </w:numPr>
              <w:spacing w:line="240" w:lineRule="auto"/>
              <w:ind w:left="0" w:leftChars="0" w:right="0" w:rightChars="0" w:firstLine="0" w:firstLineChars="0"/>
              <w:jc w:val="center"/>
              <w:rPr>
                <w:rFonts w:ascii="宋体" w:hAnsi="宋体"/>
                <w:color w:val="000000"/>
                <w:sz w:val="24"/>
                <w:szCs w:val="24"/>
              </w:rPr>
            </w:pPr>
          </w:p>
        </w:tc>
        <w:tc>
          <w:tcPr>
            <w:tcW w:w="1857" w:type="pct"/>
            <w:vMerge w:val="restart"/>
            <w:tcBorders>
              <w:tl2br w:val="nil"/>
              <w:tr2bl w:val="nil"/>
            </w:tcBorders>
            <w:noWrap w:val="0"/>
            <w:vAlign w:val="center"/>
          </w:tcPr>
          <w:p w14:paraId="01BC2FBA">
            <w:pPr>
              <w:spacing w:line="240" w:lineRule="auto"/>
              <w:ind w:left="0" w:leftChars="0" w:right="0" w:rightChars="0" w:firstLine="0" w:firstLineChars="0"/>
              <w:jc w:val="center"/>
              <w:rPr>
                <w:rFonts w:hint="eastAsia" w:ascii="宋体" w:hAnsi="宋体" w:eastAsia="宋体"/>
                <w:color w:val="000000"/>
                <w:sz w:val="24"/>
                <w:szCs w:val="24"/>
                <w:lang w:val="en-US" w:eastAsia="zh-CN"/>
              </w:rPr>
            </w:pPr>
            <w:r>
              <w:rPr>
                <w:rFonts w:hint="eastAsia" w:ascii="宋体" w:hAnsi="宋体"/>
                <w:color w:val="000000"/>
                <w:sz w:val="24"/>
                <w:szCs w:val="24"/>
              </w:rPr>
              <w:t>总平面布置</w:t>
            </w:r>
            <w:r>
              <w:rPr>
                <w:rFonts w:hint="eastAsia" w:ascii="宋体" w:hAnsi="宋体"/>
                <w:color w:val="000000"/>
                <w:sz w:val="24"/>
                <w:szCs w:val="24"/>
                <w:lang w:val="en-US" w:eastAsia="zh-CN"/>
              </w:rPr>
              <w:t>单元</w:t>
            </w:r>
          </w:p>
        </w:tc>
        <w:tc>
          <w:tcPr>
            <w:tcW w:w="545" w:type="pct"/>
            <w:tcBorders>
              <w:tl2br w:val="nil"/>
              <w:tr2bl w:val="nil"/>
            </w:tcBorders>
            <w:noWrap w:val="0"/>
            <w:vAlign w:val="center"/>
          </w:tcPr>
          <w:p w14:paraId="6220FCA5">
            <w:pPr>
              <w:spacing w:line="240" w:lineRule="auto"/>
              <w:ind w:left="0" w:leftChars="0" w:right="0" w:rightChars="0" w:firstLine="0" w:firstLineChars="0"/>
              <w:jc w:val="center"/>
              <w:rPr>
                <w:rFonts w:hint="eastAsia" w:ascii="宋体" w:hAnsi="宋体" w:eastAsia="宋体"/>
                <w:color w:val="000000"/>
                <w:sz w:val="24"/>
                <w:szCs w:val="24"/>
                <w:lang w:eastAsia="zh-CN"/>
              </w:rPr>
            </w:pPr>
            <w:r>
              <w:rPr>
                <w:rFonts w:hint="eastAsia" w:ascii="宋体" w:hAnsi="宋体"/>
                <w:color w:val="000000"/>
                <w:sz w:val="24"/>
                <w:szCs w:val="24"/>
                <w:lang w:eastAsia="zh-CN"/>
              </w:rPr>
              <w:t>（</w:t>
            </w:r>
            <w:r>
              <w:rPr>
                <w:rFonts w:hint="eastAsia" w:ascii="宋体" w:hAnsi="宋体"/>
                <w:color w:val="000000"/>
                <w:sz w:val="24"/>
                <w:szCs w:val="24"/>
                <w:lang w:val="en-US" w:eastAsia="zh-CN"/>
              </w:rPr>
              <w:t>1</w:t>
            </w:r>
            <w:r>
              <w:rPr>
                <w:rFonts w:hint="eastAsia" w:ascii="宋体" w:hAnsi="宋体"/>
                <w:color w:val="000000"/>
                <w:sz w:val="24"/>
                <w:szCs w:val="24"/>
                <w:lang w:eastAsia="zh-CN"/>
              </w:rPr>
              <w:t>）</w:t>
            </w:r>
          </w:p>
        </w:tc>
        <w:tc>
          <w:tcPr>
            <w:tcW w:w="2182" w:type="pct"/>
            <w:tcBorders>
              <w:tl2br w:val="nil"/>
              <w:tr2bl w:val="nil"/>
            </w:tcBorders>
            <w:noWrap w:val="0"/>
            <w:vAlign w:val="center"/>
          </w:tcPr>
          <w:p w14:paraId="19263F1C">
            <w:pPr>
              <w:spacing w:line="240" w:lineRule="auto"/>
              <w:ind w:left="0" w:leftChars="0" w:right="0" w:rightChars="0" w:firstLine="0" w:firstLineChars="0"/>
              <w:jc w:val="center"/>
              <w:rPr>
                <w:rFonts w:ascii="宋体" w:hAnsi="宋体"/>
                <w:color w:val="000000"/>
                <w:sz w:val="24"/>
                <w:szCs w:val="24"/>
              </w:rPr>
            </w:pPr>
            <w:r>
              <w:rPr>
                <w:rFonts w:hint="eastAsia" w:ascii="宋体" w:hAnsi="宋体"/>
                <w:color w:val="000000"/>
                <w:sz w:val="24"/>
                <w:szCs w:val="24"/>
                <w:lang w:val="en-US" w:eastAsia="zh-CN"/>
              </w:rPr>
              <w:t>厂址选择</w:t>
            </w:r>
            <w:r>
              <w:rPr>
                <w:rFonts w:hint="eastAsia" w:ascii="宋体" w:hAnsi="宋体"/>
                <w:color w:val="000000"/>
                <w:sz w:val="24"/>
                <w:szCs w:val="24"/>
              </w:rPr>
              <w:t>子单元</w:t>
            </w:r>
          </w:p>
        </w:tc>
      </w:tr>
      <w:tr w14:paraId="204A81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14" w:type="pct"/>
            <w:vMerge w:val="continue"/>
            <w:tcBorders>
              <w:tl2br w:val="nil"/>
              <w:tr2bl w:val="nil"/>
            </w:tcBorders>
            <w:noWrap w:val="0"/>
            <w:vAlign w:val="center"/>
          </w:tcPr>
          <w:p w14:paraId="78B8C7FB">
            <w:pPr>
              <w:spacing w:line="240" w:lineRule="auto"/>
              <w:ind w:left="0" w:leftChars="0" w:right="0" w:rightChars="0" w:firstLine="0" w:firstLineChars="0"/>
              <w:jc w:val="center"/>
              <w:rPr>
                <w:rFonts w:ascii="宋体" w:hAnsi="宋体"/>
                <w:color w:val="000000"/>
                <w:sz w:val="24"/>
                <w:szCs w:val="24"/>
              </w:rPr>
            </w:pPr>
          </w:p>
        </w:tc>
        <w:tc>
          <w:tcPr>
            <w:tcW w:w="1857" w:type="pct"/>
            <w:vMerge w:val="continue"/>
            <w:tcBorders>
              <w:tl2br w:val="nil"/>
              <w:tr2bl w:val="nil"/>
            </w:tcBorders>
            <w:noWrap w:val="0"/>
            <w:vAlign w:val="center"/>
          </w:tcPr>
          <w:p w14:paraId="1B1DE45D">
            <w:pPr>
              <w:spacing w:line="240" w:lineRule="auto"/>
              <w:ind w:left="0" w:leftChars="0" w:right="0" w:rightChars="0" w:firstLine="0" w:firstLineChars="0"/>
              <w:jc w:val="center"/>
              <w:rPr>
                <w:rFonts w:hint="eastAsia" w:ascii="宋体" w:hAnsi="宋体"/>
                <w:color w:val="000000"/>
                <w:sz w:val="24"/>
                <w:szCs w:val="24"/>
              </w:rPr>
            </w:pPr>
          </w:p>
        </w:tc>
        <w:tc>
          <w:tcPr>
            <w:tcW w:w="545" w:type="pct"/>
            <w:tcBorders>
              <w:tl2br w:val="nil"/>
              <w:tr2bl w:val="nil"/>
            </w:tcBorders>
            <w:noWrap w:val="0"/>
            <w:vAlign w:val="center"/>
          </w:tcPr>
          <w:p w14:paraId="63D382BC">
            <w:pPr>
              <w:spacing w:line="240" w:lineRule="auto"/>
              <w:ind w:left="0" w:leftChars="0" w:right="0" w:rightChars="0" w:firstLine="0" w:firstLineChars="0"/>
              <w:jc w:val="center"/>
              <w:rPr>
                <w:rFonts w:ascii="宋体" w:hAnsi="宋体" w:eastAsia="宋体" w:cs="Times New Roman"/>
                <w:color w:val="000000"/>
                <w:kern w:val="2"/>
                <w:sz w:val="24"/>
                <w:szCs w:val="24"/>
                <w:lang w:val="en-US" w:eastAsia="zh-CN" w:bidi="ar-SA"/>
              </w:rPr>
            </w:pPr>
            <w:r>
              <w:rPr>
                <w:rFonts w:hint="eastAsia" w:ascii="宋体" w:hAnsi="宋体" w:cs="Times New Roman"/>
                <w:color w:val="000000"/>
                <w:kern w:val="2"/>
                <w:sz w:val="24"/>
                <w:szCs w:val="24"/>
                <w:lang w:val="en-US" w:eastAsia="zh-CN" w:bidi="ar-SA"/>
              </w:rPr>
              <w:t>（2）</w:t>
            </w:r>
          </w:p>
        </w:tc>
        <w:tc>
          <w:tcPr>
            <w:tcW w:w="2182" w:type="pct"/>
            <w:tcBorders>
              <w:tl2br w:val="nil"/>
              <w:tr2bl w:val="nil"/>
            </w:tcBorders>
            <w:noWrap w:val="0"/>
            <w:vAlign w:val="center"/>
          </w:tcPr>
          <w:p w14:paraId="03EA345D">
            <w:pPr>
              <w:spacing w:line="240" w:lineRule="auto"/>
              <w:ind w:left="0" w:leftChars="0" w:right="0" w:rightChars="0" w:firstLine="0" w:firstLineChars="0"/>
              <w:jc w:val="center"/>
              <w:rPr>
                <w:rFonts w:hint="eastAsia" w:ascii="宋体" w:hAnsi="宋体"/>
                <w:color w:val="000000"/>
                <w:sz w:val="24"/>
                <w:szCs w:val="24"/>
                <w:lang w:val="en-US" w:eastAsia="zh-CN"/>
              </w:rPr>
            </w:pPr>
            <w:r>
              <w:rPr>
                <w:rFonts w:hint="eastAsia" w:ascii="宋体" w:hAnsi="宋体"/>
                <w:color w:val="000000"/>
                <w:sz w:val="24"/>
                <w:szCs w:val="24"/>
              </w:rPr>
              <w:t>总平面布置子单元</w:t>
            </w:r>
          </w:p>
        </w:tc>
      </w:tr>
      <w:tr w14:paraId="187E83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14" w:type="pct"/>
            <w:tcBorders>
              <w:tl2br w:val="nil"/>
              <w:tr2bl w:val="nil"/>
            </w:tcBorders>
            <w:noWrap w:val="0"/>
            <w:vAlign w:val="center"/>
          </w:tcPr>
          <w:p w14:paraId="51869358">
            <w:pPr>
              <w:numPr>
                <w:ilvl w:val="0"/>
                <w:numId w:val="41"/>
              </w:numPr>
              <w:spacing w:line="240" w:lineRule="auto"/>
              <w:ind w:left="0" w:leftChars="0" w:right="0" w:rightChars="0" w:firstLine="0" w:firstLineChars="0"/>
              <w:jc w:val="center"/>
              <w:rPr>
                <w:rFonts w:ascii="宋体" w:hAnsi="宋体"/>
                <w:color w:val="000000"/>
                <w:sz w:val="24"/>
                <w:szCs w:val="24"/>
              </w:rPr>
            </w:pPr>
          </w:p>
        </w:tc>
        <w:tc>
          <w:tcPr>
            <w:tcW w:w="1857" w:type="pct"/>
            <w:tcBorders>
              <w:tl2br w:val="nil"/>
              <w:tr2bl w:val="nil"/>
            </w:tcBorders>
            <w:noWrap w:val="0"/>
            <w:vAlign w:val="center"/>
          </w:tcPr>
          <w:p w14:paraId="051CC449">
            <w:pPr>
              <w:spacing w:line="240" w:lineRule="auto"/>
              <w:ind w:left="0" w:leftChars="0" w:right="0" w:rightChars="0" w:firstLine="0" w:firstLineChars="0"/>
              <w:jc w:val="center"/>
              <w:rPr>
                <w:rFonts w:hint="eastAsia" w:ascii="宋体" w:hAnsi="宋体" w:eastAsia="宋体"/>
                <w:color w:val="000000"/>
                <w:sz w:val="24"/>
                <w:szCs w:val="24"/>
                <w:lang w:val="en-US" w:eastAsia="zh-CN"/>
              </w:rPr>
            </w:pPr>
            <w:r>
              <w:rPr>
                <w:rFonts w:hint="eastAsia" w:ascii="宋体" w:hAnsi="宋体"/>
                <w:color w:val="000000"/>
                <w:sz w:val="24"/>
                <w:szCs w:val="24"/>
              </w:rPr>
              <w:t>开拓运输</w:t>
            </w:r>
            <w:r>
              <w:rPr>
                <w:rFonts w:hint="eastAsia" w:ascii="宋体" w:hAnsi="宋体"/>
                <w:color w:val="000000"/>
                <w:sz w:val="24"/>
                <w:szCs w:val="24"/>
                <w:lang w:val="en-US" w:eastAsia="zh-CN"/>
              </w:rPr>
              <w:t>单元</w:t>
            </w:r>
          </w:p>
        </w:tc>
        <w:tc>
          <w:tcPr>
            <w:tcW w:w="545" w:type="pct"/>
            <w:tcBorders>
              <w:tl2br w:val="nil"/>
              <w:tr2bl w:val="nil"/>
            </w:tcBorders>
            <w:noWrap w:val="0"/>
            <w:vAlign w:val="center"/>
          </w:tcPr>
          <w:p w14:paraId="3928667C">
            <w:pPr>
              <w:spacing w:line="240" w:lineRule="auto"/>
              <w:ind w:left="0" w:leftChars="0" w:right="0" w:rightChars="0" w:firstLine="0" w:firstLineChars="0"/>
              <w:jc w:val="center"/>
              <w:rPr>
                <w:rFonts w:ascii="宋体" w:hAnsi="宋体" w:eastAsia="宋体" w:cs="Times New Roman"/>
                <w:color w:val="000000"/>
                <w:kern w:val="2"/>
                <w:sz w:val="24"/>
                <w:szCs w:val="24"/>
                <w:lang w:val="en-US" w:eastAsia="zh-CN" w:bidi="ar-SA"/>
              </w:rPr>
            </w:pPr>
          </w:p>
        </w:tc>
        <w:tc>
          <w:tcPr>
            <w:tcW w:w="2182" w:type="pct"/>
            <w:tcBorders>
              <w:tl2br w:val="nil"/>
              <w:tr2bl w:val="nil"/>
            </w:tcBorders>
            <w:noWrap w:val="0"/>
            <w:vAlign w:val="center"/>
          </w:tcPr>
          <w:p w14:paraId="7705DA56">
            <w:pPr>
              <w:spacing w:line="240" w:lineRule="auto"/>
              <w:ind w:left="0" w:leftChars="0" w:right="0" w:rightChars="0" w:firstLine="0" w:firstLineChars="0"/>
              <w:jc w:val="center"/>
              <w:rPr>
                <w:rFonts w:ascii="宋体" w:hAnsi="宋体"/>
                <w:color w:val="000000"/>
                <w:sz w:val="24"/>
                <w:szCs w:val="24"/>
              </w:rPr>
            </w:pPr>
            <w:r>
              <w:rPr>
                <w:rFonts w:hint="eastAsia" w:ascii="宋体" w:hAnsi="宋体" w:eastAsia="宋体" w:cs="宋体"/>
                <w:color w:val="000000"/>
                <w:sz w:val="24"/>
                <w:szCs w:val="24"/>
                <w:lang w:val="en-US" w:eastAsia="zh-CN"/>
              </w:rPr>
              <w:t>/</w:t>
            </w:r>
          </w:p>
        </w:tc>
      </w:tr>
      <w:tr w14:paraId="7C6389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14" w:type="pct"/>
            <w:tcBorders>
              <w:tl2br w:val="nil"/>
              <w:tr2bl w:val="nil"/>
            </w:tcBorders>
            <w:noWrap w:val="0"/>
            <w:vAlign w:val="center"/>
          </w:tcPr>
          <w:p w14:paraId="6BFDD061">
            <w:pPr>
              <w:numPr>
                <w:ilvl w:val="0"/>
                <w:numId w:val="41"/>
              </w:numPr>
              <w:spacing w:line="240" w:lineRule="auto"/>
              <w:ind w:left="0" w:leftChars="0" w:right="0" w:rightChars="0" w:firstLine="0" w:firstLineChars="0"/>
              <w:jc w:val="center"/>
              <w:rPr>
                <w:rFonts w:ascii="宋体" w:hAnsi="宋体"/>
                <w:color w:val="000000"/>
                <w:sz w:val="24"/>
                <w:szCs w:val="24"/>
              </w:rPr>
            </w:pPr>
          </w:p>
        </w:tc>
        <w:tc>
          <w:tcPr>
            <w:tcW w:w="1857" w:type="pct"/>
            <w:tcBorders>
              <w:tl2br w:val="nil"/>
              <w:tr2bl w:val="nil"/>
            </w:tcBorders>
            <w:noWrap w:val="0"/>
            <w:vAlign w:val="center"/>
          </w:tcPr>
          <w:p w14:paraId="7A79BD43">
            <w:pPr>
              <w:spacing w:line="240" w:lineRule="auto"/>
              <w:ind w:left="0" w:leftChars="0" w:right="0" w:rightChars="0" w:firstLine="0" w:firstLineChars="0"/>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采剥单元</w:t>
            </w:r>
          </w:p>
        </w:tc>
        <w:tc>
          <w:tcPr>
            <w:tcW w:w="545" w:type="pct"/>
            <w:tcBorders>
              <w:tl2br w:val="nil"/>
              <w:tr2bl w:val="nil"/>
            </w:tcBorders>
            <w:noWrap w:val="0"/>
            <w:vAlign w:val="center"/>
          </w:tcPr>
          <w:p w14:paraId="36972687">
            <w:pPr>
              <w:spacing w:line="240" w:lineRule="auto"/>
              <w:ind w:left="0" w:leftChars="0" w:right="0" w:rightChars="0" w:firstLine="0" w:firstLineChars="0"/>
              <w:jc w:val="center"/>
              <w:rPr>
                <w:rFonts w:hint="eastAsia" w:ascii="宋体" w:hAnsi="宋体" w:eastAsia="宋体" w:cs="Times New Roman"/>
                <w:color w:val="000000"/>
                <w:kern w:val="2"/>
                <w:sz w:val="24"/>
                <w:szCs w:val="24"/>
                <w:lang w:val="en-US" w:eastAsia="zh-CN" w:bidi="ar-SA"/>
              </w:rPr>
            </w:pPr>
          </w:p>
        </w:tc>
        <w:tc>
          <w:tcPr>
            <w:tcW w:w="2182" w:type="pct"/>
            <w:tcBorders>
              <w:tl2br w:val="nil"/>
              <w:tr2bl w:val="nil"/>
            </w:tcBorders>
            <w:noWrap w:val="0"/>
            <w:vAlign w:val="center"/>
          </w:tcPr>
          <w:p w14:paraId="348A3EBA">
            <w:pPr>
              <w:spacing w:line="240" w:lineRule="auto"/>
              <w:ind w:left="0" w:leftChars="0" w:right="0" w:rightChars="0" w:firstLine="0" w:firstLineChars="0"/>
              <w:jc w:val="center"/>
              <w:rPr>
                <w:rFonts w:hint="eastAsia" w:ascii="宋体" w:hAnsi="宋体"/>
                <w:color w:val="000000"/>
                <w:sz w:val="24"/>
                <w:szCs w:val="24"/>
              </w:rPr>
            </w:pPr>
            <w:r>
              <w:rPr>
                <w:rFonts w:hint="eastAsia" w:ascii="宋体" w:hAnsi="宋体" w:eastAsia="宋体" w:cs="宋体"/>
                <w:color w:val="000000"/>
                <w:sz w:val="24"/>
                <w:szCs w:val="24"/>
                <w:lang w:val="en-US" w:eastAsia="zh-CN"/>
              </w:rPr>
              <w:t>/</w:t>
            </w:r>
          </w:p>
        </w:tc>
      </w:tr>
      <w:tr w14:paraId="713F84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14" w:type="pct"/>
            <w:tcBorders>
              <w:tl2br w:val="nil"/>
              <w:tr2bl w:val="nil"/>
            </w:tcBorders>
            <w:noWrap w:val="0"/>
            <w:vAlign w:val="center"/>
          </w:tcPr>
          <w:p w14:paraId="3E4768AE">
            <w:pPr>
              <w:numPr>
                <w:ilvl w:val="0"/>
                <w:numId w:val="41"/>
              </w:numPr>
              <w:spacing w:line="240" w:lineRule="auto"/>
              <w:ind w:left="0" w:leftChars="0" w:right="0" w:rightChars="0" w:firstLine="0" w:firstLineChars="0"/>
              <w:jc w:val="center"/>
              <w:rPr>
                <w:rFonts w:hint="eastAsia" w:ascii="宋体" w:hAnsi="宋体" w:eastAsia="宋体" w:cs="Times New Roman"/>
                <w:color w:val="000000"/>
                <w:kern w:val="2"/>
                <w:sz w:val="24"/>
                <w:szCs w:val="24"/>
                <w:lang w:val="en-US" w:eastAsia="zh-CN" w:bidi="ar-SA"/>
              </w:rPr>
            </w:pPr>
          </w:p>
        </w:tc>
        <w:tc>
          <w:tcPr>
            <w:tcW w:w="1857" w:type="pct"/>
            <w:tcBorders>
              <w:tl2br w:val="nil"/>
              <w:tr2bl w:val="nil"/>
            </w:tcBorders>
            <w:noWrap w:val="0"/>
            <w:vAlign w:val="center"/>
          </w:tcPr>
          <w:p w14:paraId="398E20C6">
            <w:pPr>
              <w:spacing w:line="240" w:lineRule="auto"/>
              <w:ind w:left="0" w:leftChars="0" w:right="0" w:rightChars="0" w:firstLine="0" w:firstLineChars="0"/>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矿山供配电设施单元</w:t>
            </w:r>
          </w:p>
        </w:tc>
        <w:tc>
          <w:tcPr>
            <w:tcW w:w="545" w:type="pct"/>
            <w:tcBorders>
              <w:tl2br w:val="nil"/>
              <w:tr2bl w:val="nil"/>
            </w:tcBorders>
            <w:noWrap w:val="0"/>
            <w:vAlign w:val="center"/>
          </w:tcPr>
          <w:p w14:paraId="0960A61C">
            <w:pPr>
              <w:spacing w:line="240" w:lineRule="auto"/>
              <w:ind w:left="0" w:leftChars="0" w:right="0" w:rightChars="0" w:firstLine="0" w:firstLineChars="0"/>
              <w:jc w:val="center"/>
              <w:rPr>
                <w:rFonts w:hint="eastAsia" w:ascii="宋体" w:hAnsi="宋体" w:eastAsia="宋体" w:cs="Times New Roman"/>
                <w:color w:val="000000"/>
                <w:kern w:val="2"/>
                <w:sz w:val="24"/>
                <w:szCs w:val="24"/>
                <w:lang w:val="en-US" w:eastAsia="zh-CN" w:bidi="ar-SA"/>
              </w:rPr>
            </w:pPr>
          </w:p>
        </w:tc>
        <w:tc>
          <w:tcPr>
            <w:tcW w:w="2182" w:type="pct"/>
            <w:tcBorders>
              <w:tl2br w:val="nil"/>
              <w:tr2bl w:val="nil"/>
            </w:tcBorders>
            <w:noWrap w:val="0"/>
            <w:vAlign w:val="center"/>
          </w:tcPr>
          <w:p w14:paraId="5E3B7EF2">
            <w:pPr>
              <w:spacing w:line="240" w:lineRule="auto"/>
              <w:ind w:left="0" w:leftChars="0" w:right="0" w:rightChars="0" w:firstLine="0" w:firstLineChars="0"/>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w:t>
            </w:r>
          </w:p>
        </w:tc>
      </w:tr>
      <w:tr w14:paraId="3B01BC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14" w:type="pct"/>
            <w:tcBorders>
              <w:tl2br w:val="nil"/>
              <w:tr2bl w:val="nil"/>
            </w:tcBorders>
            <w:noWrap w:val="0"/>
            <w:vAlign w:val="center"/>
          </w:tcPr>
          <w:p w14:paraId="40953B2C">
            <w:pPr>
              <w:numPr>
                <w:ilvl w:val="0"/>
                <w:numId w:val="41"/>
              </w:numPr>
              <w:spacing w:line="240" w:lineRule="auto"/>
              <w:ind w:left="0" w:leftChars="0" w:right="0" w:rightChars="0" w:firstLine="0" w:firstLineChars="0"/>
              <w:jc w:val="center"/>
              <w:rPr>
                <w:rFonts w:hint="eastAsia" w:ascii="宋体" w:hAnsi="宋体" w:eastAsia="宋体" w:cs="Times New Roman"/>
                <w:color w:val="000000"/>
                <w:kern w:val="2"/>
                <w:sz w:val="24"/>
                <w:szCs w:val="24"/>
                <w:lang w:val="en-US" w:eastAsia="zh-CN" w:bidi="ar-SA"/>
              </w:rPr>
            </w:pPr>
          </w:p>
        </w:tc>
        <w:tc>
          <w:tcPr>
            <w:tcW w:w="1857" w:type="pct"/>
            <w:tcBorders>
              <w:tl2br w:val="nil"/>
              <w:tr2bl w:val="nil"/>
            </w:tcBorders>
            <w:noWrap w:val="0"/>
            <w:vAlign w:val="center"/>
          </w:tcPr>
          <w:p w14:paraId="79FB2E5E">
            <w:pPr>
              <w:spacing w:line="240" w:lineRule="auto"/>
              <w:ind w:left="0" w:leftChars="0" w:right="0" w:rightChars="0" w:firstLine="0" w:firstLineChars="0"/>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防排水单元</w:t>
            </w:r>
          </w:p>
        </w:tc>
        <w:tc>
          <w:tcPr>
            <w:tcW w:w="545" w:type="pct"/>
            <w:tcBorders>
              <w:tl2br w:val="nil"/>
              <w:tr2bl w:val="nil"/>
            </w:tcBorders>
            <w:noWrap w:val="0"/>
            <w:vAlign w:val="center"/>
          </w:tcPr>
          <w:p w14:paraId="0A6B043E">
            <w:pPr>
              <w:spacing w:line="240" w:lineRule="auto"/>
              <w:ind w:left="0" w:leftChars="0" w:right="0" w:rightChars="0" w:firstLine="0" w:firstLineChars="0"/>
              <w:jc w:val="center"/>
              <w:rPr>
                <w:rFonts w:hint="eastAsia" w:ascii="宋体" w:hAnsi="宋体" w:eastAsia="宋体" w:cs="Times New Roman"/>
                <w:color w:val="000000"/>
                <w:kern w:val="2"/>
                <w:sz w:val="24"/>
                <w:szCs w:val="24"/>
                <w:lang w:val="en-US" w:eastAsia="zh-CN" w:bidi="ar-SA"/>
              </w:rPr>
            </w:pPr>
          </w:p>
        </w:tc>
        <w:tc>
          <w:tcPr>
            <w:tcW w:w="2182" w:type="pct"/>
            <w:tcBorders>
              <w:tl2br w:val="nil"/>
              <w:tr2bl w:val="nil"/>
            </w:tcBorders>
            <w:noWrap w:val="0"/>
            <w:vAlign w:val="center"/>
          </w:tcPr>
          <w:p w14:paraId="5A003A5A">
            <w:pPr>
              <w:spacing w:line="240" w:lineRule="auto"/>
              <w:ind w:left="0" w:leftChars="0" w:right="0" w:rightChars="0" w:firstLine="0" w:firstLineChars="0"/>
              <w:jc w:val="center"/>
              <w:rPr>
                <w:rFonts w:hint="default" w:ascii="宋体" w:hAnsi="宋体" w:eastAsia="宋体" w:cs="Times New Roman"/>
                <w:color w:val="000000"/>
                <w:kern w:val="2"/>
                <w:sz w:val="24"/>
                <w:szCs w:val="24"/>
                <w:lang w:val="en-US" w:eastAsia="zh-CN" w:bidi="ar-SA"/>
              </w:rPr>
            </w:pPr>
            <w:r>
              <w:rPr>
                <w:rFonts w:hint="eastAsia" w:ascii="宋体" w:hAnsi="宋体" w:eastAsia="宋体" w:cs="宋体"/>
                <w:color w:val="000000"/>
                <w:sz w:val="24"/>
                <w:szCs w:val="24"/>
                <w:lang w:val="en-US" w:eastAsia="zh-CN"/>
              </w:rPr>
              <w:t>/</w:t>
            </w:r>
          </w:p>
        </w:tc>
      </w:tr>
      <w:tr w14:paraId="097425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14" w:type="pct"/>
            <w:tcBorders>
              <w:tl2br w:val="nil"/>
              <w:tr2bl w:val="nil"/>
            </w:tcBorders>
            <w:noWrap w:val="0"/>
            <w:vAlign w:val="center"/>
          </w:tcPr>
          <w:p w14:paraId="4E4D5013">
            <w:pPr>
              <w:numPr>
                <w:ilvl w:val="0"/>
                <w:numId w:val="41"/>
              </w:numPr>
              <w:spacing w:line="240" w:lineRule="auto"/>
              <w:ind w:left="0" w:leftChars="0" w:right="0" w:rightChars="0" w:firstLine="0" w:firstLineChars="0"/>
              <w:jc w:val="center"/>
              <w:rPr>
                <w:rFonts w:hint="default" w:ascii="宋体" w:hAnsi="宋体" w:eastAsia="宋体" w:cs="Times New Roman"/>
                <w:color w:val="000000"/>
                <w:kern w:val="2"/>
                <w:sz w:val="24"/>
                <w:szCs w:val="24"/>
                <w:lang w:val="en-US" w:eastAsia="zh-CN" w:bidi="ar-SA"/>
              </w:rPr>
            </w:pPr>
          </w:p>
        </w:tc>
        <w:tc>
          <w:tcPr>
            <w:tcW w:w="1857" w:type="pct"/>
            <w:tcBorders>
              <w:tl2br w:val="nil"/>
              <w:tr2bl w:val="nil"/>
            </w:tcBorders>
            <w:noWrap w:val="0"/>
            <w:vAlign w:val="center"/>
          </w:tcPr>
          <w:p w14:paraId="5186E24F">
            <w:pPr>
              <w:spacing w:line="240" w:lineRule="auto"/>
              <w:ind w:left="0" w:leftChars="0" w:right="0" w:rightChars="0" w:firstLine="0" w:firstLineChars="0"/>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安全管理及其他单元</w:t>
            </w:r>
          </w:p>
        </w:tc>
        <w:tc>
          <w:tcPr>
            <w:tcW w:w="545" w:type="pct"/>
            <w:tcBorders>
              <w:tl2br w:val="nil"/>
              <w:tr2bl w:val="nil"/>
            </w:tcBorders>
            <w:noWrap w:val="0"/>
            <w:vAlign w:val="center"/>
          </w:tcPr>
          <w:p w14:paraId="7E6CE9B3">
            <w:pPr>
              <w:spacing w:line="240" w:lineRule="auto"/>
              <w:ind w:left="0" w:leftChars="0" w:right="0" w:rightChars="0" w:firstLine="0" w:firstLineChars="0"/>
              <w:jc w:val="center"/>
              <w:rPr>
                <w:rFonts w:hint="default" w:ascii="宋体" w:hAnsi="宋体" w:eastAsia="宋体" w:cs="Times New Roman"/>
                <w:color w:val="000000"/>
                <w:kern w:val="2"/>
                <w:sz w:val="24"/>
                <w:szCs w:val="24"/>
                <w:lang w:val="en-US" w:eastAsia="zh-CN" w:bidi="ar-SA"/>
              </w:rPr>
            </w:pPr>
          </w:p>
        </w:tc>
        <w:tc>
          <w:tcPr>
            <w:tcW w:w="2182" w:type="pct"/>
            <w:tcBorders>
              <w:tl2br w:val="nil"/>
              <w:tr2bl w:val="nil"/>
            </w:tcBorders>
            <w:noWrap w:val="0"/>
            <w:vAlign w:val="center"/>
          </w:tcPr>
          <w:p w14:paraId="71488FC2">
            <w:pPr>
              <w:spacing w:line="240" w:lineRule="auto"/>
              <w:ind w:left="0" w:leftChars="0" w:right="0" w:rightChars="0" w:firstLine="0" w:firstLineChars="0"/>
              <w:jc w:val="center"/>
              <w:rPr>
                <w:rFonts w:hint="eastAsia" w:ascii="宋体" w:hAnsi="宋体" w:cs="Times New Roman"/>
                <w:color w:val="000000"/>
                <w:sz w:val="24"/>
                <w:szCs w:val="24"/>
              </w:rPr>
            </w:pPr>
            <w:r>
              <w:rPr>
                <w:rFonts w:hint="eastAsia" w:ascii="宋体" w:hAnsi="宋体" w:eastAsia="宋体" w:cs="宋体"/>
                <w:color w:val="000000"/>
                <w:sz w:val="24"/>
                <w:szCs w:val="24"/>
                <w:lang w:val="en-US" w:eastAsia="zh-CN"/>
              </w:rPr>
              <w:t>/</w:t>
            </w:r>
          </w:p>
        </w:tc>
      </w:tr>
      <w:tr w14:paraId="5867F1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40" w:hRule="atLeast"/>
        </w:trPr>
        <w:tc>
          <w:tcPr>
            <w:tcW w:w="414" w:type="pct"/>
            <w:tcBorders>
              <w:tl2br w:val="nil"/>
              <w:tr2bl w:val="nil"/>
            </w:tcBorders>
            <w:noWrap w:val="0"/>
            <w:vAlign w:val="center"/>
          </w:tcPr>
          <w:p w14:paraId="6396C334">
            <w:pPr>
              <w:numPr>
                <w:ilvl w:val="0"/>
                <w:numId w:val="41"/>
              </w:numPr>
              <w:spacing w:line="240" w:lineRule="auto"/>
              <w:ind w:left="0" w:leftChars="0" w:right="0" w:rightChars="0" w:firstLine="0" w:firstLineChars="0"/>
              <w:jc w:val="center"/>
              <w:rPr>
                <w:rFonts w:hint="default" w:ascii="宋体" w:hAnsi="宋体" w:cs="Times New Roman"/>
                <w:color w:val="000000"/>
                <w:sz w:val="24"/>
                <w:szCs w:val="24"/>
                <w:lang w:val="en-US" w:eastAsia="zh-CN"/>
              </w:rPr>
            </w:pPr>
            <w:bookmarkStart w:id="147" w:name="_Toc23526"/>
            <w:bookmarkStart w:id="148" w:name="_Toc469561276"/>
          </w:p>
        </w:tc>
        <w:tc>
          <w:tcPr>
            <w:tcW w:w="1857" w:type="pct"/>
            <w:tcBorders>
              <w:tl2br w:val="nil"/>
              <w:tr2bl w:val="nil"/>
            </w:tcBorders>
            <w:noWrap w:val="0"/>
            <w:vAlign w:val="center"/>
          </w:tcPr>
          <w:p w14:paraId="26B87185">
            <w:pPr>
              <w:spacing w:line="240" w:lineRule="auto"/>
              <w:ind w:left="0" w:leftChars="0" w:right="0" w:rightChars="0" w:firstLine="0" w:firstLineChars="0"/>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重大危险源辨识单元</w:t>
            </w:r>
          </w:p>
        </w:tc>
        <w:tc>
          <w:tcPr>
            <w:tcW w:w="545" w:type="pct"/>
            <w:tcBorders>
              <w:tl2br w:val="nil"/>
              <w:tr2bl w:val="nil"/>
            </w:tcBorders>
            <w:noWrap w:val="0"/>
            <w:vAlign w:val="center"/>
          </w:tcPr>
          <w:p w14:paraId="066AD509">
            <w:pPr>
              <w:spacing w:line="240" w:lineRule="auto"/>
              <w:ind w:left="0" w:leftChars="0" w:right="0" w:rightChars="0" w:firstLine="0" w:firstLineChars="0"/>
              <w:jc w:val="center"/>
              <w:rPr>
                <w:rFonts w:hint="default" w:ascii="宋体" w:hAnsi="宋体" w:cs="Times New Roman"/>
                <w:color w:val="000000"/>
                <w:sz w:val="24"/>
                <w:szCs w:val="24"/>
                <w:lang w:val="en-US" w:eastAsia="zh-CN"/>
              </w:rPr>
            </w:pPr>
          </w:p>
        </w:tc>
        <w:tc>
          <w:tcPr>
            <w:tcW w:w="2182" w:type="pct"/>
            <w:tcBorders>
              <w:tl2br w:val="nil"/>
              <w:tr2bl w:val="nil"/>
            </w:tcBorders>
            <w:noWrap w:val="0"/>
            <w:vAlign w:val="center"/>
          </w:tcPr>
          <w:p w14:paraId="6D1DF6AD">
            <w:pPr>
              <w:spacing w:line="240" w:lineRule="auto"/>
              <w:ind w:left="0" w:leftChars="0" w:right="0" w:rightChars="0" w:firstLine="0" w:firstLineChars="0"/>
              <w:jc w:val="center"/>
              <w:rPr>
                <w:rFonts w:hint="eastAsia" w:ascii="宋体" w:hAnsi="宋体" w:cs="Times New Roman"/>
                <w:color w:val="000000"/>
                <w:sz w:val="24"/>
                <w:szCs w:val="24"/>
                <w:lang w:val="en-US" w:eastAsia="zh-CN"/>
              </w:rPr>
            </w:pPr>
            <w:r>
              <w:rPr>
                <w:rFonts w:hint="eastAsia" w:ascii="宋体" w:hAnsi="宋体" w:eastAsia="宋体" w:cs="宋体"/>
                <w:color w:val="000000"/>
                <w:sz w:val="24"/>
                <w:szCs w:val="24"/>
                <w:lang w:val="en-US" w:eastAsia="zh-CN"/>
              </w:rPr>
              <w:t>/</w:t>
            </w:r>
          </w:p>
        </w:tc>
      </w:tr>
      <w:bookmarkEnd w:id="147"/>
      <w:bookmarkEnd w:id="148"/>
    </w:tbl>
    <w:p w14:paraId="7843944A">
      <w:pPr>
        <w:pStyle w:val="3"/>
        <w:bidi w:val="0"/>
      </w:pPr>
      <w:bookmarkStart w:id="149" w:name="_Toc29224"/>
      <w:r>
        <w:rPr>
          <w:lang w:val="en-US"/>
        </w:rPr>
        <w:t>预评价方法的选择</w:t>
      </w:r>
      <w:bookmarkEnd w:id="149"/>
    </w:p>
    <w:p w14:paraId="0E92AC8A">
      <w:pPr>
        <w:pStyle w:val="4"/>
        <w:bidi w:val="0"/>
        <w:rPr>
          <w:lang w:val="en-US"/>
        </w:rPr>
      </w:pPr>
      <w:bookmarkStart w:id="150" w:name="_Toc27139"/>
      <w:r>
        <w:rPr>
          <w:lang w:val="en-US"/>
        </w:rPr>
        <w:t>预评价方法的选择原则</w:t>
      </w:r>
      <w:bookmarkEnd w:id="150"/>
    </w:p>
    <w:p w14:paraId="35674E52">
      <w:pPr>
        <w:bidi w:val="0"/>
      </w:pPr>
      <w:r>
        <w:t>建设项目安全预评价方法选择的原则是：主要考虑评价结果是否达到安全评价所要求的目的，还要考虑进行评价所需信息是否收集齐全。</w:t>
      </w:r>
    </w:p>
    <w:p w14:paraId="49C314A4">
      <w:pPr>
        <w:pStyle w:val="4"/>
        <w:bidi w:val="0"/>
        <w:rPr>
          <w:lang w:val="en-US"/>
        </w:rPr>
      </w:pPr>
      <w:bookmarkStart w:id="151" w:name="_Toc37508383"/>
      <w:bookmarkStart w:id="152" w:name="_Toc42791824"/>
      <w:bookmarkStart w:id="153" w:name="_Toc4479"/>
      <w:bookmarkStart w:id="154" w:name="_Toc369582839"/>
      <w:bookmarkStart w:id="155" w:name="_Toc37507765"/>
      <w:bookmarkStart w:id="156" w:name="_Toc27276"/>
      <w:bookmarkStart w:id="157" w:name="_Toc26499"/>
      <w:bookmarkStart w:id="158" w:name="_Toc42791949"/>
      <w:bookmarkStart w:id="159" w:name="_Toc364268949"/>
      <w:r>
        <w:rPr>
          <w:lang w:val="en-US"/>
        </w:rPr>
        <w:t>各单元采用的评价方法</w:t>
      </w:r>
      <w:bookmarkEnd w:id="151"/>
      <w:bookmarkEnd w:id="152"/>
      <w:bookmarkEnd w:id="153"/>
      <w:bookmarkEnd w:id="154"/>
      <w:bookmarkEnd w:id="155"/>
      <w:bookmarkEnd w:id="156"/>
      <w:bookmarkEnd w:id="157"/>
      <w:bookmarkEnd w:id="158"/>
      <w:bookmarkEnd w:id="159"/>
    </w:p>
    <w:p w14:paraId="62FD2D72">
      <w:pPr>
        <w:bidi w:val="0"/>
      </w:pPr>
      <w:r>
        <w:t>安全系统工程的内容主要包括事故成因理论、系统安全分析、安全评价和安全措施四个方面。安全评价是对系统存在的危险性进行定性或定量分析，得出系统存在的危险点与发生危险的可能性及其程度，以预测出被评价系统的安全状况。正确的安全评价必须有科学的安全理论做指导，使之能真正揭示安全状况变化的规律并予以</w:t>
      </w:r>
      <w:r>
        <w:rPr>
          <w:rFonts w:hint="eastAsia"/>
          <w:lang w:eastAsia="zh-CN"/>
        </w:rPr>
        <w:t>准确</w:t>
      </w:r>
      <w:r>
        <w:t>描述，并以一种可辨识度量的信息显示出来。安全评价方法就是以安全理论、系统科学理论、现代数学和控制理论等作为理论基础，用来分析、评价系统危险危害因素的工具，根据评价目的或采用的基本理论的不同，评价方法有数十种，各有优缺点。</w:t>
      </w:r>
    </w:p>
    <w:p w14:paraId="3A948572">
      <w:pPr>
        <w:bidi w:val="0"/>
        <w:rPr>
          <w:rFonts w:hint="default" w:ascii="宋体" w:hAnsi="宋体" w:eastAsia="宋体" w:cs="宋体"/>
          <w:color w:val="000000"/>
          <w:lang w:val="en-US" w:eastAsia="zh-CN"/>
        </w:rPr>
      </w:pPr>
      <w:r>
        <w:rPr>
          <w:rFonts w:hint="eastAsia" w:ascii="宋体" w:hAnsi="宋体" w:eastAsia="宋体" w:cs="宋体"/>
          <w:color w:val="000000"/>
        </w:rPr>
        <w:t>本次安全预评价采用的评价方法</w:t>
      </w:r>
      <w:r>
        <w:rPr>
          <w:rFonts w:hint="eastAsia" w:ascii="宋体" w:hAnsi="宋体" w:eastAsia="宋体" w:cs="宋体"/>
          <w:color w:val="000000"/>
          <w:lang w:val="en-US" w:eastAsia="zh-CN"/>
        </w:rPr>
        <w:t>为</w:t>
      </w:r>
      <w:r>
        <w:rPr>
          <w:rFonts w:hint="eastAsia" w:ascii="宋体" w:hAnsi="宋体" w:eastAsia="宋体" w:cs="宋体"/>
          <w:color w:val="000000"/>
          <w:lang w:eastAsia="zh-CN"/>
        </w:rPr>
        <w:t>：</w:t>
      </w:r>
      <w:r>
        <w:rPr>
          <w:rFonts w:hint="eastAsia" w:ascii="宋体" w:hAnsi="宋体" w:eastAsia="宋体" w:cs="宋体"/>
          <w:color w:val="000000"/>
        </w:rPr>
        <w:t>预先危险性分析法（PHA）、安全检查表法</w:t>
      </w:r>
      <w:r>
        <w:rPr>
          <w:rFonts w:hint="eastAsia" w:ascii="宋体" w:hAnsi="宋体" w:cs="宋体"/>
          <w:color w:val="000000"/>
          <w:lang w:eastAsia="zh-CN"/>
        </w:rPr>
        <w:t>（</w:t>
      </w:r>
      <w:r>
        <w:rPr>
          <w:rFonts w:hint="eastAsia" w:ascii="宋体" w:hAnsi="宋体" w:eastAsia="宋体" w:cs="宋体"/>
          <w:color w:val="000000"/>
        </w:rPr>
        <w:t>SCL</w:t>
      </w:r>
      <w:r>
        <w:rPr>
          <w:rFonts w:hint="eastAsia" w:ascii="宋体" w:hAnsi="宋体" w:cs="宋体"/>
          <w:color w:val="000000"/>
          <w:lang w:eastAsia="zh-CN"/>
        </w:rPr>
        <w:t>）</w:t>
      </w:r>
      <w:r>
        <w:rPr>
          <w:rFonts w:hint="eastAsia" w:ascii="宋体" w:hAnsi="宋体" w:eastAsia="宋体" w:cs="宋体"/>
          <w:color w:val="000000"/>
        </w:rPr>
        <w:t>、作业条件危险性评价法（LEC）进行分析评价</w:t>
      </w:r>
      <w:r>
        <w:rPr>
          <w:rFonts w:hint="eastAsia" w:ascii="宋体" w:hAnsi="宋体" w:eastAsia="宋体" w:cs="宋体"/>
          <w:color w:val="000000"/>
          <w:lang w:val="en-US" w:eastAsia="zh-CN"/>
        </w:rPr>
        <w:t>。</w:t>
      </w:r>
    </w:p>
    <w:p w14:paraId="0163A361">
      <w:pPr>
        <w:pStyle w:val="11"/>
        <w:ind w:left="0" w:leftChars="0" w:firstLine="0" w:firstLineChars="0"/>
        <w:jc w:val="center"/>
        <w:rPr>
          <w:rFonts w:hint="eastAsia" w:eastAsia="宋体"/>
          <w:lang w:eastAsia="zh-CN"/>
        </w:rPr>
      </w:pPr>
      <w:r>
        <w:t xml:space="preserve">表 </w:t>
      </w:r>
      <w:r>
        <w:fldChar w:fldCharType="begin"/>
      </w:r>
      <w:r>
        <w:instrText xml:space="preserve"> STYLEREF 1 \s </w:instrText>
      </w:r>
      <w:r>
        <w:fldChar w:fldCharType="separate"/>
      </w:r>
      <w:r>
        <w:t>3</w:t>
      </w:r>
      <w:r>
        <w:fldChar w:fldCharType="end"/>
      </w:r>
      <w:r>
        <w:rPr>
          <w:rFonts w:hint="eastAsia"/>
          <w:lang w:eastAsia="zh-CN"/>
        </w:rPr>
        <w:t>-</w:t>
      </w:r>
      <w:r>
        <w:fldChar w:fldCharType="begin"/>
      </w:r>
      <w:r>
        <w:instrText xml:space="preserve"> SEQ 表 \* ARABIC \s 1 </w:instrText>
      </w:r>
      <w:r>
        <w:fldChar w:fldCharType="separate"/>
      </w:r>
      <w:r>
        <w:t>2</w:t>
      </w:r>
      <w:r>
        <w:fldChar w:fldCharType="end"/>
      </w:r>
      <w:r>
        <w:rPr>
          <w:rFonts w:hint="eastAsia"/>
          <w:lang w:eastAsia="zh-CN"/>
        </w:rPr>
        <w:t xml:space="preserve"> 评价方法汇总表</w:t>
      </w:r>
    </w:p>
    <w:tbl>
      <w:tblPr>
        <w:tblStyle w:val="29"/>
        <w:tblW w:w="4999"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891"/>
        <w:gridCol w:w="2696"/>
        <w:gridCol w:w="5329"/>
      </w:tblGrid>
      <w:tr w14:paraId="001151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00" w:type="pct"/>
            <w:tcBorders>
              <w:tl2br w:val="nil"/>
              <w:tr2bl w:val="nil"/>
            </w:tcBorders>
            <w:noWrap w:val="0"/>
            <w:vAlign w:val="center"/>
          </w:tcPr>
          <w:p w14:paraId="76F5ED42">
            <w:pPr>
              <w:autoSpaceDE w:val="0"/>
              <w:autoSpaceDN w:val="0"/>
              <w:spacing w:line="240" w:lineRule="auto"/>
              <w:ind w:left="0" w:leftChars="0" w:right="0" w:rightChars="0" w:firstLine="0" w:firstLineChars="0"/>
              <w:jc w:val="center"/>
              <w:rPr>
                <w:rFonts w:hint="eastAsia" w:ascii="宋体" w:hAnsi="宋体" w:eastAsia="宋体" w:cs="宋体"/>
                <w:b/>
                <w:color w:val="000000"/>
                <w:kern w:val="0"/>
                <w:sz w:val="24"/>
                <w:szCs w:val="24"/>
              </w:rPr>
            </w:pPr>
            <w:r>
              <w:rPr>
                <w:rFonts w:hint="eastAsia" w:ascii="宋体" w:hAnsi="宋体" w:eastAsia="宋体" w:cs="宋体"/>
                <w:b/>
                <w:color w:val="000000"/>
                <w:kern w:val="0"/>
                <w:sz w:val="24"/>
                <w:szCs w:val="24"/>
              </w:rPr>
              <w:t>序号</w:t>
            </w:r>
          </w:p>
        </w:tc>
        <w:tc>
          <w:tcPr>
            <w:tcW w:w="1511" w:type="pct"/>
            <w:tcBorders>
              <w:tl2br w:val="nil"/>
              <w:tr2bl w:val="nil"/>
            </w:tcBorders>
            <w:noWrap w:val="0"/>
            <w:vAlign w:val="center"/>
          </w:tcPr>
          <w:p w14:paraId="5931322D">
            <w:pPr>
              <w:autoSpaceDE w:val="0"/>
              <w:autoSpaceDN w:val="0"/>
              <w:spacing w:line="240" w:lineRule="auto"/>
              <w:ind w:left="0" w:leftChars="0" w:right="0" w:rightChars="0" w:firstLine="0" w:firstLineChars="0"/>
              <w:jc w:val="center"/>
              <w:rPr>
                <w:rFonts w:hint="eastAsia" w:ascii="宋体" w:hAnsi="宋体" w:eastAsia="宋体" w:cs="宋体"/>
                <w:b/>
                <w:color w:val="000000"/>
                <w:kern w:val="0"/>
                <w:sz w:val="24"/>
                <w:szCs w:val="24"/>
              </w:rPr>
            </w:pPr>
            <w:r>
              <w:rPr>
                <w:rFonts w:hint="eastAsia" w:ascii="宋体" w:hAnsi="宋体" w:eastAsia="宋体" w:cs="宋体"/>
                <w:b/>
                <w:color w:val="000000"/>
                <w:kern w:val="0"/>
                <w:sz w:val="24"/>
                <w:szCs w:val="24"/>
              </w:rPr>
              <w:t>评价单元</w:t>
            </w:r>
          </w:p>
        </w:tc>
        <w:tc>
          <w:tcPr>
            <w:tcW w:w="2987" w:type="pct"/>
            <w:tcBorders>
              <w:tl2br w:val="nil"/>
              <w:tr2bl w:val="nil"/>
            </w:tcBorders>
            <w:noWrap w:val="0"/>
            <w:vAlign w:val="center"/>
          </w:tcPr>
          <w:p w14:paraId="6FD021DD">
            <w:pPr>
              <w:autoSpaceDE w:val="0"/>
              <w:autoSpaceDN w:val="0"/>
              <w:spacing w:line="240" w:lineRule="auto"/>
              <w:ind w:left="0" w:leftChars="0" w:right="0" w:rightChars="0" w:firstLine="0" w:firstLineChars="0"/>
              <w:jc w:val="center"/>
              <w:rPr>
                <w:rFonts w:hint="eastAsia" w:ascii="宋体" w:hAnsi="宋体" w:eastAsia="宋体" w:cs="宋体"/>
                <w:b/>
                <w:color w:val="FF0000"/>
                <w:kern w:val="0"/>
                <w:sz w:val="24"/>
                <w:szCs w:val="24"/>
              </w:rPr>
            </w:pPr>
            <w:r>
              <w:rPr>
                <w:rFonts w:hint="eastAsia" w:ascii="宋体" w:hAnsi="宋体" w:eastAsia="宋体" w:cs="宋体"/>
                <w:b/>
                <w:bCs/>
                <w:caps/>
                <w:snapToGrid w:val="0"/>
                <w:color w:val="000000"/>
                <w:kern w:val="0"/>
                <w:sz w:val="24"/>
                <w:szCs w:val="24"/>
              </w:rPr>
              <w:t>采用的评价方法</w:t>
            </w:r>
          </w:p>
        </w:tc>
      </w:tr>
      <w:tr w14:paraId="2B3125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00" w:type="pct"/>
            <w:tcBorders>
              <w:tl2br w:val="nil"/>
              <w:tr2bl w:val="nil"/>
            </w:tcBorders>
            <w:noWrap w:val="0"/>
            <w:vAlign w:val="center"/>
          </w:tcPr>
          <w:p w14:paraId="01B5BF1E">
            <w:pPr>
              <w:numPr>
                <w:ilvl w:val="0"/>
                <w:numId w:val="42"/>
              </w:numPr>
              <w:autoSpaceDE w:val="0"/>
              <w:autoSpaceDN w:val="0"/>
              <w:spacing w:line="240" w:lineRule="auto"/>
              <w:ind w:left="0" w:leftChars="0" w:right="0" w:rightChars="0" w:firstLine="0" w:firstLineChars="0"/>
              <w:jc w:val="center"/>
              <w:rPr>
                <w:rFonts w:hint="eastAsia" w:ascii="宋体" w:hAnsi="宋体" w:eastAsia="宋体" w:cs="宋体"/>
                <w:color w:val="000000"/>
                <w:kern w:val="0"/>
                <w:sz w:val="24"/>
                <w:szCs w:val="24"/>
              </w:rPr>
            </w:pPr>
          </w:p>
        </w:tc>
        <w:tc>
          <w:tcPr>
            <w:tcW w:w="1511" w:type="pct"/>
            <w:tcBorders>
              <w:tl2br w:val="nil"/>
              <w:tr2bl w:val="nil"/>
            </w:tcBorders>
            <w:noWrap w:val="0"/>
            <w:vAlign w:val="center"/>
          </w:tcPr>
          <w:p w14:paraId="5293C855">
            <w:pPr>
              <w:widowControl/>
              <w:spacing w:line="240" w:lineRule="auto"/>
              <w:ind w:left="0" w:leftChars="0" w:right="0" w:rightChars="0" w:firstLine="0" w:firstLineChars="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总平面布置单元</w:t>
            </w:r>
          </w:p>
        </w:tc>
        <w:tc>
          <w:tcPr>
            <w:tcW w:w="2987" w:type="pct"/>
            <w:tcBorders>
              <w:tl2br w:val="nil"/>
              <w:tr2bl w:val="nil"/>
            </w:tcBorders>
            <w:noWrap w:val="0"/>
            <w:vAlign w:val="center"/>
          </w:tcPr>
          <w:p w14:paraId="7A8BE0F3">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rPr>
              <w:t>作业条件危险性评价法（LEC）</w:t>
            </w:r>
          </w:p>
          <w:p w14:paraId="5C5EF8F6">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rPr>
              <w:t>安全检查表分析法</w:t>
            </w:r>
            <w:r>
              <w:rPr>
                <w:rFonts w:hint="eastAsia" w:ascii="宋体" w:hAnsi="宋体" w:cs="宋体"/>
                <w:sz w:val="24"/>
                <w:szCs w:val="24"/>
                <w:lang w:eastAsia="zh-CN"/>
              </w:rPr>
              <w:t>（</w:t>
            </w:r>
            <w:r>
              <w:rPr>
                <w:rFonts w:hint="eastAsia" w:ascii="宋体" w:hAnsi="宋体" w:eastAsia="宋体" w:cs="宋体"/>
                <w:sz w:val="24"/>
                <w:szCs w:val="24"/>
              </w:rPr>
              <w:t>SCL</w:t>
            </w:r>
            <w:r>
              <w:rPr>
                <w:rFonts w:hint="eastAsia" w:ascii="宋体" w:hAnsi="宋体" w:cs="宋体"/>
                <w:sz w:val="24"/>
                <w:szCs w:val="24"/>
                <w:lang w:eastAsia="zh-CN"/>
              </w:rPr>
              <w:t>）</w:t>
            </w:r>
          </w:p>
        </w:tc>
      </w:tr>
      <w:tr w14:paraId="3949BA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00" w:type="pct"/>
            <w:tcBorders>
              <w:tl2br w:val="nil"/>
              <w:tr2bl w:val="nil"/>
            </w:tcBorders>
            <w:noWrap w:val="0"/>
            <w:vAlign w:val="center"/>
          </w:tcPr>
          <w:p w14:paraId="569D7A53">
            <w:pPr>
              <w:numPr>
                <w:ilvl w:val="0"/>
                <w:numId w:val="42"/>
              </w:numPr>
              <w:autoSpaceDE w:val="0"/>
              <w:autoSpaceDN w:val="0"/>
              <w:spacing w:line="240" w:lineRule="auto"/>
              <w:ind w:left="0" w:leftChars="0" w:right="0" w:rightChars="0" w:firstLine="0" w:firstLineChars="0"/>
              <w:jc w:val="center"/>
              <w:rPr>
                <w:rFonts w:hint="eastAsia" w:ascii="宋体" w:hAnsi="宋体" w:eastAsia="宋体" w:cs="宋体"/>
                <w:color w:val="000000"/>
                <w:kern w:val="0"/>
                <w:sz w:val="24"/>
                <w:szCs w:val="24"/>
              </w:rPr>
            </w:pPr>
          </w:p>
        </w:tc>
        <w:tc>
          <w:tcPr>
            <w:tcW w:w="1511" w:type="pct"/>
            <w:tcBorders>
              <w:tl2br w:val="nil"/>
              <w:tr2bl w:val="nil"/>
            </w:tcBorders>
            <w:noWrap w:val="0"/>
            <w:vAlign w:val="center"/>
          </w:tcPr>
          <w:p w14:paraId="0A0F80C3">
            <w:pPr>
              <w:widowControl/>
              <w:spacing w:line="240" w:lineRule="auto"/>
              <w:ind w:left="0" w:leftChars="0" w:right="0" w:rightChars="0" w:firstLine="0" w:firstLineChars="0"/>
              <w:jc w:val="center"/>
              <w:rPr>
                <w:rFonts w:hint="eastAsia" w:ascii="宋体" w:hAnsi="宋体" w:eastAsia="宋体" w:cs="宋体"/>
                <w:color w:val="000000"/>
                <w:kern w:val="0"/>
                <w:sz w:val="24"/>
                <w:szCs w:val="24"/>
              </w:rPr>
            </w:pPr>
            <w:r>
              <w:rPr>
                <w:rFonts w:hint="eastAsia" w:ascii="宋体" w:hAnsi="宋体" w:eastAsia="宋体" w:cs="宋体"/>
                <w:color w:val="000000"/>
                <w:sz w:val="24"/>
                <w:szCs w:val="24"/>
              </w:rPr>
              <w:t>开拓运输</w:t>
            </w:r>
            <w:r>
              <w:rPr>
                <w:rFonts w:hint="eastAsia" w:ascii="宋体" w:hAnsi="宋体" w:eastAsia="宋体" w:cs="宋体"/>
                <w:color w:val="000000"/>
                <w:sz w:val="24"/>
                <w:szCs w:val="24"/>
                <w:lang w:val="en-US" w:eastAsia="zh-CN"/>
              </w:rPr>
              <w:t>单元</w:t>
            </w:r>
          </w:p>
        </w:tc>
        <w:tc>
          <w:tcPr>
            <w:tcW w:w="2987" w:type="pct"/>
            <w:vMerge w:val="restart"/>
            <w:tcBorders>
              <w:tl2br w:val="nil"/>
              <w:tr2bl w:val="nil"/>
            </w:tcBorders>
            <w:noWrap w:val="0"/>
            <w:vAlign w:val="center"/>
          </w:tcPr>
          <w:p w14:paraId="4F121F62">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rPr>
              <w:t>作业条件危险性评价法（LEC）</w:t>
            </w:r>
          </w:p>
          <w:p w14:paraId="202D0513">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rPr>
              <w:t>预先危险性分析法（PHA）</w:t>
            </w:r>
          </w:p>
          <w:p w14:paraId="4D5A7F12">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rPr>
              <w:t>安全检查表分析法</w:t>
            </w:r>
            <w:r>
              <w:rPr>
                <w:rFonts w:hint="eastAsia" w:ascii="宋体" w:hAnsi="宋体" w:cs="宋体"/>
                <w:sz w:val="24"/>
                <w:szCs w:val="24"/>
                <w:lang w:eastAsia="zh-CN"/>
              </w:rPr>
              <w:t>（</w:t>
            </w:r>
            <w:r>
              <w:rPr>
                <w:rFonts w:hint="eastAsia" w:ascii="宋体" w:hAnsi="宋体" w:eastAsia="宋体" w:cs="宋体"/>
                <w:sz w:val="24"/>
                <w:szCs w:val="24"/>
              </w:rPr>
              <w:t>SCL</w:t>
            </w:r>
            <w:r>
              <w:rPr>
                <w:rFonts w:hint="eastAsia" w:ascii="宋体" w:hAnsi="宋体" w:cs="宋体"/>
                <w:sz w:val="24"/>
                <w:szCs w:val="24"/>
                <w:lang w:eastAsia="zh-CN"/>
              </w:rPr>
              <w:t>）</w:t>
            </w:r>
          </w:p>
        </w:tc>
      </w:tr>
      <w:tr w14:paraId="19BFF4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00" w:type="pct"/>
            <w:tcBorders>
              <w:tl2br w:val="nil"/>
              <w:tr2bl w:val="nil"/>
            </w:tcBorders>
            <w:noWrap w:val="0"/>
            <w:vAlign w:val="center"/>
          </w:tcPr>
          <w:p w14:paraId="336F37C6">
            <w:pPr>
              <w:numPr>
                <w:ilvl w:val="0"/>
                <w:numId w:val="42"/>
              </w:numPr>
              <w:autoSpaceDE w:val="0"/>
              <w:autoSpaceDN w:val="0"/>
              <w:spacing w:line="240" w:lineRule="auto"/>
              <w:ind w:left="0" w:leftChars="0" w:right="0" w:rightChars="0" w:firstLine="0" w:firstLineChars="0"/>
              <w:jc w:val="center"/>
              <w:rPr>
                <w:rFonts w:hint="eastAsia" w:ascii="宋体" w:hAnsi="宋体" w:eastAsia="宋体" w:cs="宋体"/>
                <w:color w:val="000000"/>
                <w:kern w:val="0"/>
                <w:sz w:val="24"/>
                <w:szCs w:val="24"/>
              </w:rPr>
            </w:pPr>
          </w:p>
        </w:tc>
        <w:tc>
          <w:tcPr>
            <w:tcW w:w="1511" w:type="pct"/>
            <w:tcBorders>
              <w:tl2br w:val="nil"/>
              <w:tr2bl w:val="nil"/>
            </w:tcBorders>
            <w:noWrap w:val="0"/>
            <w:vAlign w:val="center"/>
          </w:tcPr>
          <w:p w14:paraId="34E0BD42">
            <w:pPr>
              <w:widowControl/>
              <w:spacing w:line="240" w:lineRule="auto"/>
              <w:ind w:left="0" w:leftChars="0" w:right="0" w:rightChars="0" w:firstLine="0" w:firstLineChars="0"/>
              <w:jc w:val="center"/>
              <w:rPr>
                <w:rFonts w:hint="eastAsia" w:ascii="宋体" w:hAnsi="宋体" w:eastAsia="宋体" w:cs="宋体"/>
                <w:color w:val="000000"/>
                <w:kern w:val="0"/>
                <w:sz w:val="24"/>
                <w:szCs w:val="24"/>
              </w:rPr>
            </w:pPr>
            <w:r>
              <w:rPr>
                <w:rFonts w:hint="eastAsia" w:ascii="宋体" w:hAnsi="宋体" w:eastAsia="宋体" w:cs="宋体"/>
                <w:color w:val="000000"/>
                <w:sz w:val="24"/>
                <w:szCs w:val="24"/>
                <w:lang w:val="en-US" w:eastAsia="zh-CN"/>
              </w:rPr>
              <w:t>采剥单元</w:t>
            </w:r>
          </w:p>
        </w:tc>
        <w:tc>
          <w:tcPr>
            <w:tcW w:w="2987" w:type="pct"/>
            <w:vMerge w:val="continue"/>
            <w:tcBorders>
              <w:tl2br w:val="nil"/>
              <w:tr2bl w:val="nil"/>
            </w:tcBorders>
            <w:noWrap w:val="0"/>
            <w:vAlign w:val="center"/>
          </w:tcPr>
          <w:p w14:paraId="76E37C25">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rPr>
            </w:pPr>
          </w:p>
        </w:tc>
      </w:tr>
      <w:tr w14:paraId="1F68F0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00" w:type="pct"/>
            <w:tcBorders>
              <w:tl2br w:val="nil"/>
              <w:tr2bl w:val="nil"/>
            </w:tcBorders>
            <w:noWrap w:val="0"/>
            <w:vAlign w:val="center"/>
          </w:tcPr>
          <w:p w14:paraId="355397EA">
            <w:pPr>
              <w:numPr>
                <w:ilvl w:val="0"/>
                <w:numId w:val="42"/>
              </w:numPr>
              <w:autoSpaceDE w:val="0"/>
              <w:autoSpaceDN w:val="0"/>
              <w:spacing w:line="240" w:lineRule="auto"/>
              <w:ind w:left="0" w:leftChars="0" w:right="0" w:rightChars="0" w:firstLine="0" w:firstLineChars="0"/>
              <w:jc w:val="center"/>
              <w:rPr>
                <w:rFonts w:hint="eastAsia" w:ascii="宋体" w:hAnsi="宋体" w:eastAsia="宋体" w:cs="宋体"/>
                <w:color w:val="000000"/>
                <w:kern w:val="0"/>
                <w:sz w:val="24"/>
                <w:szCs w:val="24"/>
              </w:rPr>
            </w:pPr>
          </w:p>
        </w:tc>
        <w:tc>
          <w:tcPr>
            <w:tcW w:w="1511" w:type="pct"/>
            <w:tcBorders>
              <w:tl2br w:val="nil"/>
              <w:tr2bl w:val="nil"/>
            </w:tcBorders>
            <w:noWrap w:val="0"/>
            <w:vAlign w:val="center"/>
          </w:tcPr>
          <w:p w14:paraId="34FEA337">
            <w:pPr>
              <w:widowControl/>
              <w:spacing w:line="240" w:lineRule="auto"/>
              <w:ind w:left="0" w:leftChars="0" w:right="0" w:rightChars="0" w:firstLine="0" w:firstLineChars="0"/>
              <w:jc w:val="center"/>
              <w:rPr>
                <w:rFonts w:hint="eastAsia" w:ascii="宋体" w:hAnsi="宋体" w:eastAsia="宋体" w:cs="宋体"/>
                <w:color w:val="000000"/>
                <w:kern w:val="0"/>
                <w:sz w:val="24"/>
                <w:szCs w:val="24"/>
              </w:rPr>
            </w:pPr>
            <w:r>
              <w:rPr>
                <w:rFonts w:hint="eastAsia" w:ascii="宋体" w:hAnsi="宋体" w:eastAsia="宋体" w:cs="宋体"/>
                <w:color w:val="000000"/>
                <w:sz w:val="24"/>
                <w:szCs w:val="24"/>
                <w:lang w:val="en-US" w:eastAsia="zh-CN"/>
              </w:rPr>
              <w:t>矿山供配电设施单元</w:t>
            </w:r>
          </w:p>
        </w:tc>
        <w:tc>
          <w:tcPr>
            <w:tcW w:w="2987" w:type="pct"/>
            <w:vMerge w:val="continue"/>
            <w:tcBorders>
              <w:tl2br w:val="nil"/>
              <w:tr2bl w:val="nil"/>
            </w:tcBorders>
            <w:noWrap w:val="0"/>
            <w:vAlign w:val="center"/>
          </w:tcPr>
          <w:p w14:paraId="061A439F">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rPr>
            </w:pPr>
          </w:p>
        </w:tc>
      </w:tr>
      <w:tr w14:paraId="6F23CD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00" w:type="pct"/>
            <w:tcBorders>
              <w:tl2br w:val="nil"/>
              <w:tr2bl w:val="nil"/>
            </w:tcBorders>
            <w:noWrap w:val="0"/>
            <w:vAlign w:val="center"/>
          </w:tcPr>
          <w:p w14:paraId="314DAA4D">
            <w:pPr>
              <w:numPr>
                <w:ilvl w:val="0"/>
                <w:numId w:val="42"/>
              </w:numPr>
              <w:autoSpaceDE w:val="0"/>
              <w:autoSpaceDN w:val="0"/>
              <w:spacing w:line="240" w:lineRule="auto"/>
              <w:ind w:left="0" w:leftChars="0" w:right="0" w:rightChars="0" w:firstLine="0" w:firstLineChars="0"/>
              <w:jc w:val="center"/>
              <w:rPr>
                <w:rFonts w:hint="eastAsia" w:ascii="宋体" w:hAnsi="宋体" w:eastAsia="宋体" w:cs="宋体"/>
                <w:color w:val="000000"/>
                <w:kern w:val="0"/>
                <w:sz w:val="24"/>
                <w:szCs w:val="24"/>
              </w:rPr>
            </w:pPr>
          </w:p>
        </w:tc>
        <w:tc>
          <w:tcPr>
            <w:tcW w:w="1511" w:type="pct"/>
            <w:tcBorders>
              <w:tl2br w:val="nil"/>
              <w:tr2bl w:val="nil"/>
            </w:tcBorders>
            <w:noWrap w:val="0"/>
            <w:vAlign w:val="center"/>
          </w:tcPr>
          <w:p w14:paraId="03EFC43B">
            <w:pPr>
              <w:widowControl/>
              <w:spacing w:line="240" w:lineRule="auto"/>
              <w:ind w:left="0" w:leftChars="0" w:right="0" w:rightChars="0" w:firstLine="0" w:firstLineChars="0"/>
              <w:jc w:val="center"/>
              <w:rPr>
                <w:rFonts w:hint="eastAsia" w:ascii="宋体" w:hAnsi="宋体" w:eastAsia="宋体" w:cs="宋体"/>
                <w:color w:val="000000"/>
                <w:kern w:val="0"/>
                <w:sz w:val="24"/>
                <w:szCs w:val="24"/>
              </w:rPr>
            </w:pPr>
            <w:r>
              <w:rPr>
                <w:rFonts w:hint="eastAsia" w:ascii="宋体" w:hAnsi="宋体" w:eastAsia="宋体" w:cs="宋体"/>
                <w:color w:val="000000"/>
                <w:sz w:val="24"/>
                <w:szCs w:val="24"/>
                <w:lang w:val="en-US" w:eastAsia="zh-CN"/>
              </w:rPr>
              <w:t>防排水单元</w:t>
            </w:r>
          </w:p>
        </w:tc>
        <w:tc>
          <w:tcPr>
            <w:tcW w:w="2987" w:type="pct"/>
            <w:vMerge w:val="continue"/>
            <w:tcBorders>
              <w:tl2br w:val="nil"/>
              <w:tr2bl w:val="nil"/>
            </w:tcBorders>
            <w:noWrap w:val="0"/>
            <w:vAlign w:val="center"/>
          </w:tcPr>
          <w:p w14:paraId="190910BC">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rPr>
            </w:pPr>
          </w:p>
        </w:tc>
      </w:tr>
      <w:tr w14:paraId="60F55E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00" w:type="pct"/>
            <w:tcBorders>
              <w:tl2br w:val="nil"/>
              <w:tr2bl w:val="nil"/>
            </w:tcBorders>
            <w:noWrap w:val="0"/>
            <w:vAlign w:val="center"/>
          </w:tcPr>
          <w:p w14:paraId="19064383">
            <w:pPr>
              <w:numPr>
                <w:ilvl w:val="0"/>
                <w:numId w:val="42"/>
              </w:numPr>
              <w:autoSpaceDE w:val="0"/>
              <w:autoSpaceDN w:val="0"/>
              <w:spacing w:line="240" w:lineRule="auto"/>
              <w:ind w:left="0" w:leftChars="0" w:right="0" w:rightChars="0" w:firstLine="0" w:firstLineChars="0"/>
              <w:jc w:val="center"/>
              <w:rPr>
                <w:rFonts w:hint="eastAsia" w:ascii="宋体" w:hAnsi="宋体" w:eastAsia="宋体" w:cs="宋体"/>
                <w:color w:val="000000"/>
                <w:kern w:val="0"/>
                <w:sz w:val="24"/>
                <w:szCs w:val="24"/>
              </w:rPr>
            </w:pPr>
          </w:p>
        </w:tc>
        <w:tc>
          <w:tcPr>
            <w:tcW w:w="1511" w:type="pct"/>
            <w:tcBorders>
              <w:tl2br w:val="nil"/>
              <w:tr2bl w:val="nil"/>
            </w:tcBorders>
            <w:noWrap w:val="0"/>
            <w:vAlign w:val="center"/>
          </w:tcPr>
          <w:p w14:paraId="128D70AA">
            <w:pPr>
              <w:widowControl/>
              <w:spacing w:line="240" w:lineRule="auto"/>
              <w:ind w:left="0" w:leftChars="0" w:right="0" w:rightChars="0" w:firstLine="0" w:firstLineChars="0"/>
              <w:jc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sz w:val="24"/>
                <w:szCs w:val="24"/>
                <w:lang w:val="en-US" w:eastAsia="zh-CN"/>
              </w:rPr>
              <w:t>安全管理及其他单元</w:t>
            </w:r>
          </w:p>
        </w:tc>
        <w:tc>
          <w:tcPr>
            <w:tcW w:w="2987" w:type="pct"/>
            <w:tcBorders>
              <w:tl2br w:val="nil"/>
              <w:tr2bl w:val="nil"/>
            </w:tcBorders>
            <w:noWrap w:val="0"/>
            <w:vAlign w:val="center"/>
          </w:tcPr>
          <w:p w14:paraId="0452FF6E">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rPr>
              <w:t>预先危险性分析法（PHA）</w:t>
            </w:r>
          </w:p>
          <w:p w14:paraId="6A48B257">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rPr>
              <w:t>安全检查表分析法</w:t>
            </w:r>
            <w:r>
              <w:rPr>
                <w:rFonts w:hint="eastAsia" w:ascii="宋体" w:hAnsi="宋体" w:cs="宋体"/>
                <w:sz w:val="24"/>
                <w:szCs w:val="24"/>
                <w:lang w:eastAsia="zh-CN"/>
              </w:rPr>
              <w:t>（</w:t>
            </w:r>
            <w:r>
              <w:rPr>
                <w:rFonts w:hint="eastAsia" w:ascii="宋体" w:hAnsi="宋体" w:eastAsia="宋体" w:cs="宋体"/>
                <w:sz w:val="24"/>
                <w:szCs w:val="24"/>
              </w:rPr>
              <w:t>SCL</w:t>
            </w:r>
            <w:r>
              <w:rPr>
                <w:rFonts w:hint="eastAsia" w:ascii="宋体" w:hAnsi="宋体" w:cs="宋体"/>
                <w:sz w:val="24"/>
                <w:szCs w:val="24"/>
                <w:lang w:eastAsia="zh-CN"/>
              </w:rPr>
              <w:t>）</w:t>
            </w:r>
          </w:p>
        </w:tc>
      </w:tr>
      <w:tr w14:paraId="3CA822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500" w:type="pct"/>
            <w:tcBorders>
              <w:tl2br w:val="nil"/>
              <w:tr2bl w:val="nil"/>
            </w:tcBorders>
            <w:noWrap w:val="0"/>
            <w:vAlign w:val="center"/>
          </w:tcPr>
          <w:p w14:paraId="0A42F256">
            <w:pPr>
              <w:numPr>
                <w:ilvl w:val="0"/>
                <w:numId w:val="42"/>
              </w:numPr>
              <w:autoSpaceDE w:val="0"/>
              <w:autoSpaceDN w:val="0"/>
              <w:spacing w:line="240" w:lineRule="auto"/>
              <w:ind w:left="0" w:leftChars="0" w:right="0" w:rightChars="0" w:firstLine="0" w:firstLineChars="0"/>
              <w:jc w:val="center"/>
              <w:rPr>
                <w:rFonts w:hint="eastAsia" w:ascii="宋体" w:hAnsi="宋体" w:eastAsia="宋体" w:cs="宋体"/>
                <w:color w:val="000000"/>
                <w:kern w:val="0"/>
                <w:sz w:val="24"/>
                <w:szCs w:val="24"/>
              </w:rPr>
            </w:pPr>
          </w:p>
        </w:tc>
        <w:tc>
          <w:tcPr>
            <w:tcW w:w="1511" w:type="pct"/>
            <w:tcBorders>
              <w:tl2br w:val="nil"/>
              <w:tr2bl w:val="nil"/>
            </w:tcBorders>
            <w:noWrap w:val="0"/>
            <w:vAlign w:val="center"/>
          </w:tcPr>
          <w:p w14:paraId="27A645D1">
            <w:pPr>
              <w:widowControl/>
              <w:spacing w:line="240" w:lineRule="auto"/>
              <w:ind w:left="0" w:leftChars="0" w:right="0" w:rightChars="0" w:firstLine="0" w:firstLineChars="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重大危险源辨识单元</w:t>
            </w:r>
          </w:p>
        </w:tc>
        <w:tc>
          <w:tcPr>
            <w:tcW w:w="2987" w:type="pct"/>
            <w:tcBorders>
              <w:tl2br w:val="nil"/>
              <w:tr2bl w:val="nil"/>
            </w:tcBorders>
            <w:noWrap w:val="0"/>
            <w:vAlign w:val="center"/>
          </w:tcPr>
          <w:p w14:paraId="52D92A18">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w:t>
            </w:r>
          </w:p>
        </w:tc>
      </w:tr>
    </w:tbl>
    <w:p w14:paraId="4C90B4D9">
      <w:pPr>
        <w:pStyle w:val="5"/>
        <w:bidi w:val="0"/>
      </w:pPr>
      <w:bookmarkStart w:id="160" w:name="_Toc184701580"/>
      <w:bookmarkStart w:id="161" w:name="_Toc30678"/>
      <w:bookmarkStart w:id="162" w:name="_Toc20658"/>
      <w:bookmarkStart w:id="163" w:name="_Toc121748310"/>
      <w:r>
        <w:rPr>
          <w:rFonts w:hint="eastAsia"/>
        </w:rPr>
        <w:t>安全检</w:t>
      </w:r>
      <w:bookmarkEnd w:id="160"/>
      <w:r>
        <w:rPr>
          <w:rFonts w:hint="eastAsia"/>
        </w:rPr>
        <w:t>查表分析法</w:t>
      </w:r>
      <w:r>
        <w:rPr>
          <w:rFonts w:hint="eastAsia"/>
          <w:lang w:eastAsia="zh-CN"/>
        </w:rPr>
        <w:t>（</w:t>
      </w:r>
      <w:r>
        <w:rPr>
          <w:rFonts w:hint="eastAsia"/>
        </w:rPr>
        <w:t>SCL</w:t>
      </w:r>
      <w:r>
        <w:rPr>
          <w:rFonts w:hint="eastAsia"/>
          <w:lang w:eastAsia="zh-CN"/>
        </w:rPr>
        <w:t>）</w:t>
      </w:r>
      <w:bookmarkEnd w:id="161"/>
      <w:bookmarkEnd w:id="162"/>
      <w:bookmarkEnd w:id="163"/>
    </w:p>
    <w:p w14:paraId="784AD071">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rPr>
      </w:pPr>
      <w:r>
        <w:rPr>
          <w:rFonts w:hint="eastAsia" w:ascii="宋体" w:hAnsi="宋体" w:eastAsia="宋体" w:cs="宋体"/>
        </w:rPr>
        <w:t>安全检查表分析法按消除、预防、减弱、隔离、连锁、警告的原则，从技术资料和安全管理体系分析和现场安全状况检查落实入手，根据相关</w:t>
      </w:r>
      <w:r>
        <w:rPr>
          <w:rFonts w:hint="eastAsia" w:ascii="宋体" w:hAnsi="宋体" w:cs="宋体"/>
          <w:lang w:eastAsia="zh-CN"/>
        </w:rPr>
        <w:t>法律法规</w:t>
      </w:r>
      <w:r>
        <w:rPr>
          <w:rFonts w:hint="eastAsia" w:ascii="宋体" w:hAnsi="宋体" w:eastAsia="宋体" w:cs="宋体"/>
        </w:rPr>
        <w:t>、标准、规范的规定及类似工程的经验，将一系列分析项目列出检查表，对总平面布置、采矿工艺等各个子系统进行分析，以确定系统的安全状态。依据国家相关</w:t>
      </w:r>
      <w:r>
        <w:rPr>
          <w:rFonts w:hint="eastAsia" w:ascii="宋体" w:hAnsi="宋体" w:cs="宋体"/>
          <w:lang w:eastAsia="zh-CN"/>
        </w:rPr>
        <w:t>法律法规</w:t>
      </w:r>
      <w:r>
        <w:rPr>
          <w:rFonts w:hint="eastAsia" w:ascii="宋体" w:hAnsi="宋体" w:eastAsia="宋体" w:cs="宋体"/>
        </w:rPr>
        <w:t>和规范标准及设计文件对各单元所含检查内容给出标准条件，按照标准条件对所收集的资料和现场实际情况进行对比检查，判别与标准的符合程度。</w:t>
      </w:r>
    </w:p>
    <w:p w14:paraId="40654651">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rPr>
      </w:pPr>
      <w:r>
        <w:rPr>
          <w:rFonts w:hint="eastAsia" w:ascii="宋体" w:hAnsi="宋体" w:eastAsia="宋体" w:cs="宋体"/>
        </w:rPr>
        <w:t>安全检查表分析包括四个步骤：</w:t>
      </w:r>
    </w:p>
    <w:p w14:paraId="21164E39">
      <w:pPr>
        <w:keepNext w:val="0"/>
        <w:keepLines w:val="0"/>
        <w:pageBreakBefore w:val="0"/>
        <w:widowControl w:val="0"/>
        <w:numPr>
          <w:ilvl w:val="0"/>
          <w:numId w:val="43"/>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根据子系统复杂程度，综合考虑安全管理、安全技术、工艺要求、材料要求等方面的因素，编制或拟定合适的“安全检查表”。</w:t>
      </w:r>
    </w:p>
    <w:p w14:paraId="7CEAE27F">
      <w:pPr>
        <w:keepNext w:val="0"/>
        <w:keepLines w:val="0"/>
        <w:pageBreakBefore w:val="0"/>
        <w:widowControl w:val="0"/>
        <w:numPr>
          <w:ilvl w:val="0"/>
          <w:numId w:val="43"/>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收集资料、进行资料分析。通过提交资料清单，召开情况介绍会等形式，系统、全面地掌握评价对象的基本情况，初步判别安全技术和管理措施的符合性。</w:t>
      </w:r>
    </w:p>
    <w:p w14:paraId="648B5A3E">
      <w:pPr>
        <w:keepNext w:val="0"/>
        <w:keepLines w:val="0"/>
        <w:pageBreakBefore w:val="0"/>
        <w:widowControl w:val="0"/>
        <w:numPr>
          <w:ilvl w:val="0"/>
          <w:numId w:val="43"/>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现场检查核实。随技术人员、安全管理人员一起深入现场，进一步掌握各子系统的实际情况，验证是否与资料分析结果相符，进一步核实与设计或规范要求的符合性，以及落实现场安全技术和管理措施的可靠性和有效性，检查可能存在的各种危险有害因素。</w:t>
      </w:r>
    </w:p>
    <w:p w14:paraId="4A1698E8">
      <w:pPr>
        <w:keepNext w:val="0"/>
        <w:keepLines w:val="0"/>
        <w:pageBreakBefore w:val="0"/>
        <w:widowControl w:val="0"/>
        <w:numPr>
          <w:ilvl w:val="0"/>
          <w:numId w:val="43"/>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编制分析结果文件。评价人员通过确定标准的设计或操作以建立“安全检查表”，然后用它产生一系列基于缺陷或差异的问题，所完成的安全检查表包括对提出的问题进行填写，作出与标准或规范是否一致的结论。</w:t>
      </w:r>
    </w:p>
    <w:p w14:paraId="4968BD89">
      <w:pPr>
        <w:pStyle w:val="5"/>
        <w:bidi w:val="0"/>
      </w:pPr>
      <w:bookmarkStart w:id="164" w:name="_Toc28361"/>
      <w:bookmarkStart w:id="165" w:name="_Toc121748311"/>
      <w:bookmarkStart w:id="166" w:name="_Toc26066"/>
      <w:r>
        <w:rPr>
          <w:rFonts w:hint="eastAsia"/>
        </w:rPr>
        <w:t>预先危险性分析法</w:t>
      </w:r>
      <w:r>
        <w:rPr>
          <w:rFonts w:hint="eastAsia"/>
          <w:lang w:eastAsia="zh-CN"/>
        </w:rPr>
        <w:t>（</w:t>
      </w:r>
      <w:r>
        <w:rPr>
          <w:rFonts w:hint="eastAsia"/>
        </w:rPr>
        <w:t>PHA</w:t>
      </w:r>
      <w:r>
        <w:rPr>
          <w:rFonts w:hint="eastAsia"/>
          <w:lang w:eastAsia="zh-CN"/>
        </w:rPr>
        <w:t>）</w:t>
      </w:r>
      <w:bookmarkEnd w:id="164"/>
      <w:bookmarkEnd w:id="165"/>
      <w:bookmarkEnd w:id="166"/>
    </w:p>
    <w:p w14:paraId="6AFE1C90">
      <w:pPr>
        <w:bidi w:val="0"/>
        <w:rPr>
          <w:rFonts w:hint="eastAsia" w:ascii="宋体" w:hAnsi="宋体" w:eastAsia="宋体" w:cs="宋体"/>
        </w:rPr>
      </w:pPr>
      <w:r>
        <w:rPr>
          <w:rFonts w:hint="eastAsia" w:ascii="宋体" w:hAnsi="宋体" w:eastAsia="宋体" w:cs="宋体"/>
        </w:rPr>
        <w:t>预先危险性分析</w:t>
      </w:r>
      <w:r>
        <w:rPr>
          <w:rFonts w:hint="eastAsia" w:ascii="宋体" w:hAnsi="宋体" w:cs="宋体"/>
          <w:lang w:eastAsia="zh-CN"/>
        </w:rPr>
        <w:t>（</w:t>
      </w:r>
      <w:r>
        <w:rPr>
          <w:rFonts w:hint="eastAsia" w:ascii="宋体" w:hAnsi="宋体" w:eastAsia="宋体" w:cs="宋体"/>
        </w:rPr>
        <w:t>PrelⅠmⅠnaryHazardAnalysⅠs，PHA</w:t>
      </w:r>
      <w:r>
        <w:rPr>
          <w:rFonts w:hint="eastAsia" w:ascii="宋体" w:hAnsi="宋体" w:cs="宋体"/>
          <w:lang w:eastAsia="zh-CN"/>
        </w:rPr>
        <w:t>）</w:t>
      </w:r>
      <w:r>
        <w:rPr>
          <w:rFonts w:hint="eastAsia" w:ascii="宋体" w:hAnsi="宋体" w:eastAsia="宋体" w:cs="宋体"/>
        </w:rPr>
        <w:t>又称初步危险分析。PHA是在进行某项工程活动</w:t>
      </w:r>
      <w:r>
        <w:rPr>
          <w:rFonts w:hint="eastAsia" w:ascii="宋体" w:hAnsi="宋体" w:cs="宋体"/>
          <w:lang w:eastAsia="zh-CN"/>
        </w:rPr>
        <w:t>（</w:t>
      </w:r>
      <w:r>
        <w:rPr>
          <w:rFonts w:hint="eastAsia" w:ascii="宋体" w:hAnsi="宋体" w:eastAsia="宋体" w:cs="宋体"/>
        </w:rPr>
        <w:t>包括设计、施工、生产、维修等</w:t>
      </w:r>
      <w:r>
        <w:rPr>
          <w:rFonts w:hint="eastAsia" w:ascii="宋体" w:hAnsi="宋体" w:cs="宋体"/>
          <w:lang w:eastAsia="zh-CN"/>
        </w:rPr>
        <w:t>）</w:t>
      </w:r>
      <w:r>
        <w:rPr>
          <w:rFonts w:hint="eastAsia" w:ascii="宋体" w:hAnsi="宋体" w:eastAsia="宋体" w:cs="宋体"/>
        </w:rPr>
        <w:t>之前，对系统存在的各种危险因素</w:t>
      </w:r>
      <w:r>
        <w:rPr>
          <w:rFonts w:hint="eastAsia" w:ascii="宋体" w:hAnsi="宋体" w:cs="宋体"/>
          <w:lang w:eastAsia="zh-CN"/>
        </w:rPr>
        <w:t>（</w:t>
      </w:r>
      <w:r>
        <w:rPr>
          <w:rFonts w:hint="eastAsia" w:ascii="宋体" w:hAnsi="宋体" w:eastAsia="宋体" w:cs="宋体"/>
        </w:rPr>
        <w:t>类别、分布</w:t>
      </w:r>
      <w:r>
        <w:rPr>
          <w:rFonts w:hint="eastAsia" w:ascii="宋体" w:hAnsi="宋体" w:cs="宋体"/>
          <w:lang w:eastAsia="zh-CN"/>
        </w:rPr>
        <w:t>）</w:t>
      </w:r>
      <w:r>
        <w:rPr>
          <w:rFonts w:hint="eastAsia" w:ascii="宋体" w:hAnsi="宋体" w:eastAsia="宋体" w:cs="宋体"/>
        </w:rPr>
        <w:t>、出现条件和事故可能造成的后果进行宏观、概略分析的系统安全分析方法。其目的是早期发现系统的潜在危险因素，确定系统的危险性等级，提出相应的防范措施，防止这些危险因素发展</w:t>
      </w:r>
      <w:r>
        <w:rPr>
          <w:rFonts w:hint="eastAsia" w:ascii="宋体" w:hAnsi="宋体" w:cs="宋体"/>
          <w:lang w:eastAsia="zh-CN"/>
        </w:rPr>
        <w:t>成</w:t>
      </w:r>
      <w:r>
        <w:rPr>
          <w:rFonts w:hint="eastAsia" w:ascii="宋体" w:hAnsi="宋体" w:eastAsia="宋体" w:cs="宋体"/>
        </w:rPr>
        <w:t>事故，避免考虑不周所造成的损失。分析步骤如下：</w:t>
      </w:r>
    </w:p>
    <w:p w14:paraId="7D72AEA6">
      <w:pPr>
        <w:numPr>
          <w:ilvl w:val="0"/>
          <w:numId w:val="44"/>
        </w:numPr>
        <w:bidi w:val="0"/>
        <w:ind w:left="0" w:leftChars="0" w:firstLine="560" w:firstLineChars="200"/>
        <w:rPr>
          <w:rFonts w:hint="eastAsia" w:ascii="宋体" w:hAnsi="宋体" w:eastAsia="宋体" w:cs="宋体"/>
        </w:rPr>
      </w:pPr>
      <w:r>
        <w:rPr>
          <w:rFonts w:hint="eastAsia" w:ascii="宋体" w:hAnsi="宋体" w:eastAsia="宋体" w:cs="宋体"/>
        </w:rPr>
        <w:t>熟悉对象系统；</w:t>
      </w:r>
    </w:p>
    <w:p w14:paraId="15C755A1">
      <w:pPr>
        <w:numPr>
          <w:ilvl w:val="0"/>
          <w:numId w:val="44"/>
        </w:numPr>
        <w:bidi w:val="0"/>
        <w:ind w:left="0" w:leftChars="0" w:firstLine="560" w:firstLineChars="200"/>
        <w:rPr>
          <w:rFonts w:hint="eastAsia" w:ascii="宋体" w:hAnsi="宋体" w:eastAsia="宋体" w:cs="宋体"/>
        </w:rPr>
      </w:pPr>
      <w:r>
        <w:rPr>
          <w:rFonts w:hint="eastAsia" w:ascii="宋体" w:hAnsi="宋体" w:eastAsia="宋体" w:cs="宋体"/>
        </w:rPr>
        <w:t>分析危险、有害因素，事故诱发因素及事故类型；</w:t>
      </w:r>
    </w:p>
    <w:p w14:paraId="454FEA5C">
      <w:pPr>
        <w:numPr>
          <w:ilvl w:val="0"/>
          <w:numId w:val="44"/>
        </w:numPr>
        <w:bidi w:val="0"/>
        <w:ind w:left="0" w:leftChars="0" w:firstLine="560" w:firstLineChars="200"/>
        <w:rPr>
          <w:rFonts w:hint="eastAsia" w:ascii="宋体" w:hAnsi="宋体" w:eastAsia="宋体" w:cs="宋体"/>
        </w:rPr>
      </w:pPr>
      <w:r>
        <w:rPr>
          <w:rFonts w:hint="eastAsia" w:ascii="宋体" w:hAnsi="宋体" w:eastAsia="宋体" w:cs="宋体"/>
        </w:rPr>
        <w:t>推测可能导致的事故类型的危险或危害程度；</w:t>
      </w:r>
    </w:p>
    <w:p w14:paraId="3F1678D8">
      <w:pPr>
        <w:numPr>
          <w:ilvl w:val="0"/>
          <w:numId w:val="44"/>
        </w:numPr>
        <w:bidi w:val="0"/>
        <w:ind w:left="0" w:leftChars="0" w:firstLine="560" w:firstLineChars="200"/>
        <w:rPr>
          <w:rFonts w:hint="eastAsia" w:ascii="宋体" w:hAnsi="宋体" w:eastAsia="宋体" w:cs="宋体"/>
        </w:rPr>
      </w:pPr>
      <w:r>
        <w:rPr>
          <w:rFonts w:hint="eastAsia" w:ascii="宋体" w:hAnsi="宋体" w:eastAsia="宋体" w:cs="宋体"/>
        </w:rPr>
        <w:t>确定危险、有害因素后果的危险等级；</w:t>
      </w:r>
    </w:p>
    <w:p w14:paraId="7047DB8D">
      <w:pPr>
        <w:numPr>
          <w:ilvl w:val="0"/>
          <w:numId w:val="44"/>
        </w:numPr>
        <w:bidi w:val="0"/>
        <w:ind w:left="0" w:leftChars="0" w:firstLine="560" w:firstLineChars="200"/>
        <w:rPr>
          <w:rFonts w:hint="eastAsia" w:ascii="宋体" w:hAnsi="宋体" w:eastAsia="宋体" w:cs="宋体"/>
        </w:rPr>
      </w:pPr>
      <w:r>
        <w:rPr>
          <w:rFonts w:hint="eastAsia" w:ascii="宋体" w:hAnsi="宋体" w:eastAsia="宋体" w:cs="宋体"/>
        </w:rPr>
        <w:t>制定相应的安全措施。</w:t>
      </w:r>
    </w:p>
    <w:p w14:paraId="0C230236">
      <w:pPr>
        <w:bidi w:val="0"/>
        <w:rPr>
          <w:rFonts w:hint="eastAsia"/>
        </w:rPr>
      </w:pPr>
      <w:r>
        <w:rPr>
          <w:rFonts w:hint="eastAsia"/>
        </w:rPr>
        <w:t>在分析系统危险性时，为了衡量危险性的大小及其对系统破坏程度，将各类危险性划分为4个等级，见表</w:t>
      </w:r>
      <w:r>
        <w:rPr>
          <w:rFonts w:hint="eastAsia"/>
          <w:lang w:val="en-US" w:eastAsia="zh-CN"/>
        </w:rPr>
        <w:t>3-3</w:t>
      </w:r>
      <w:r>
        <w:rPr>
          <w:rFonts w:hint="eastAsia"/>
        </w:rPr>
        <w:t>。</w:t>
      </w:r>
    </w:p>
    <w:p w14:paraId="173523CA">
      <w:pPr>
        <w:pStyle w:val="11"/>
        <w:ind w:left="0" w:leftChars="0" w:firstLine="0" w:firstLineChars="0"/>
        <w:jc w:val="center"/>
        <w:rPr>
          <w:rFonts w:hint="eastAsia" w:eastAsia="宋体"/>
          <w:lang w:eastAsia="zh-CN"/>
        </w:rPr>
      </w:pPr>
      <w:r>
        <w:t xml:space="preserve">表 </w:t>
      </w:r>
      <w:r>
        <w:fldChar w:fldCharType="begin"/>
      </w:r>
      <w:r>
        <w:instrText xml:space="preserve"> STYLEREF 1 \s </w:instrText>
      </w:r>
      <w:r>
        <w:fldChar w:fldCharType="separate"/>
      </w:r>
      <w:r>
        <w:t>3</w:t>
      </w:r>
      <w:r>
        <w:fldChar w:fldCharType="end"/>
      </w:r>
      <w:r>
        <w:rPr>
          <w:rFonts w:hint="eastAsia"/>
          <w:lang w:eastAsia="zh-CN"/>
        </w:rPr>
        <w:t>-</w:t>
      </w:r>
      <w:r>
        <w:fldChar w:fldCharType="begin"/>
      </w:r>
      <w:r>
        <w:instrText xml:space="preserve"> SEQ 表 \* ARABIC \s 1 </w:instrText>
      </w:r>
      <w:r>
        <w:fldChar w:fldCharType="separate"/>
      </w:r>
      <w:r>
        <w:t>3</w:t>
      </w:r>
      <w:r>
        <w:fldChar w:fldCharType="end"/>
      </w:r>
      <w:r>
        <w:rPr>
          <w:rFonts w:hint="eastAsia"/>
          <w:lang w:eastAsia="zh-CN"/>
        </w:rPr>
        <w:t xml:space="preserve"> 危险性等级划分表</w:t>
      </w:r>
    </w:p>
    <w:tbl>
      <w:tblPr>
        <w:tblStyle w:val="29"/>
        <w:tblW w:w="4998"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897"/>
        <w:gridCol w:w="1240"/>
        <w:gridCol w:w="6977"/>
      </w:tblGrid>
      <w:tr w14:paraId="2B1CDB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5" w:hRule="atLeast"/>
          <w:jc w:val="center"/>
        </w:trPr>
        <w:tc>
          <w:tcPr>
            <w:tcW w:w="492" w:type="pct"/>
            <w:tcBorders>
              <w:tl2br w:val="nil"/>
              <w:tr2bl w:val="nil"/>
            </w:tcBorders>
            <w:noWrap w:val="0"/>
            <w:vAlign w:val="center"/>
          </w:tcPr>
          <w:p w14:paraId="1DAC27D2">
            <w:pPr>
              <w:spacing w:line="240" w:lineRule="auto"/>
              <w:ind w:left="0" w:leftChars="0" w:right="0" w:rightChars="0" w:firstLine="0" w:firstLineChars="0"/>
              <w:jc w:val="center"/>
              <w:rPr>
                <w:rFonts w:hint="eastAsia" w:ascii="宋体" w:hAnsi="宋体" w:cs="宋体"/>
                <w:b/>
                <w:color w:val="000000"/>
                <w:sz w:val="21"/>
                <w:szCs w:val="21"/>
              </w:rPr>
            </w:pPr>
            <w:r>
              <w:rPr>
                <w:rFonts w:hint="eastAsia" w:ascii="宋体" w:hAnsi="宋体" w:cs="宋体"/>
                <w:b/>
                <w:color w:val="000000"/>
                <w:sz w:val="21"/>
                <w:szCs w:val="21"/>
              </w:rPr>
              <w:t>级别</w:t>
            </w:r>
          </w:p>
        </w:tc>
        <w:tc>
          <w:tcPr>
            <w:tcW w:w="680" w:type="pct"/>
            <w:tcBorders>
              <w:tl2br w:val="nil"/>
              <w:tr2bl w:val="nil"/>
            </w:tcBorders>
            <w:noWrap w:val="0"/>
            <w:vAlign w:val="center"/>
          </w:tcPr>
          <w:p w14:paraId="4E5DB4EF">
            <w:pPr>
              <w:spacing w:line="240" w:lineRule="auto"/>
              <w:ind w:left="0" w:leftChars="0" w:right="0" w:rightChars="0" w:firstLine="0" w:firstLineChars="0"/>
              <w:jc w:val="center"/>
              <w:rPr>
                <w:rFonts w:hint="eastAsia" w:ascii="宋体" w:hAnsi="宋体" w:cs="宋体"/>
                <w:b/>
                <w:color w:val="000000"/>
                <w:sz w:val="21"/>
                <w:szCs w:val="21"/>
              </w:rPr>
            </w:pPr>
            <w:r>
              <w:rPr>
                <w:rFonts w:hint="eastAsia" w:ascii="宋体" w:hAnsi="宋体" w:cs="宋体"/>
                <w:b/>
                <w:color w:val="000000"/>
                <w:sz w:val="21"/>
                <w:szCs w:val="21"/>
              </w:rPr>
              <w:t>危险程度</w:t>
            </w:r>
          </w:p>
        </w:tc>
        <w:tc>
          <w:tcPr>
            <w:tcW w:w="3827" w:type="pct"/>
            <w:tcBorders>
              <w:tl2br w:val="nil"/>
              <w:tr2bl w:val="nil"/>
            </w:tcBorders>
            <w:noWrap w:val="0"/>
            <w:vAlign w:val="center"/>
          </w:tcPr>
          <w:p w14:paraId="353A8B42">
            <w:pPr>
              <w:spacing w:line="240" w:lineRule="auto"/>
              <w:ind w:left="0" w:leftChars="0" w:right="0" w:rightChars="0" w:firstLine="0" w:firstLineChars="0"/>
              <w:jc w:val="center"/>
              <w:rPr>
                <w:rFonts w:hint="eastAsia" w:ascii="宋体" w:hAnsi="宋体" w:cs="宋体"/>
                <w:b/>
                <w:color w:val="000000"/>
                <w:sz w:val="21"/>
                <w:szCs w:val="21"/>
              </w:rPr>
            </w:pPr>
            <w:r>
              <w:rPr>
                <w:rFonts w:hint="eastAsia" w:ascii="宋体" w:hAnsi="宋体" w:cs="宋体"/>
                <w:b/>
                <w:color w:val="000000"/>
                <w:sz w:val="21"/>
                <w:szCs w:val="21"/>
              </w:rPr>
              <w:t>可能导致的后果</w:t>
            </w:r>
          </w:p>
        </w:tc>
      </w:tr>
      <w:tr w14:paraId="742E22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5" w:hRule="atLeast"/>
          <w:jc w:val="center"/>
        </w:trPr>
        <w:tc>
          <w:tcPr>
            <w:tcW w:w="492" w:type="pct"/>
            <w:tcBorders>
              <w:tl2br w:val="nil"/>
              <w:tr2bl w:val="nil"/>
            </w:tcBorders>
            <w:noWrap w:val="0"/>
            <w:vAlign w:val="center"/>
          </w:tcPr>
          <w:p w14:paraId="4C81D5FE">
            <w:pPr>
              <w:spacing w:line="240" w:lineRule="auto"/>
              <w:ind w:left="0" w:leftChars="0" w:right="0" w:rightChars="0" w:firstLine="0" w:firstLineChars="0"/>
              <w:jc w:val="center"/>
              <w:rPr>
                <w:rFonts w:hint="eastAsia" w:ascii="宋体" w:hAnsi="宋体" w:cs="宋体"/>
                <w:color w:val="000000"/>
                <w:sz w:val="21"/>
                <w:szCs w:val="21"/>
              </w:rPr>
            </w:pPr>
            <w:r>
              <w:rPr>
                <w:rFonts w:hint="eastAsia" w:ascii="宋体" w:hAnsi="宋体" w:cs="宋体"/>
                <w:color w:val="000000"/>
                <w:sz w:val="21"/>
                <w:szCs w:val="21"/>
              </w:rPr>
              <w:t>Ⅰ</w:t>
            </w:r>
          </w:p>
        </w:tc>
        <w:tc>
          <w:tcPr>
            <w:tcW w:w="680" w:type="pct"/>
            <w:tcBorders>
              <w:tl2br w:val="nil"/>
              <w:tr2bl w:val="nil"/>
            </w:tcBorders>
            <w:noWrap w:val="0"/>
            <w:vAlign w:val="center"/>
          </w:tcPr>
          <w:p w14:paraId="67416547">
            <w:pPr>
              <w:spacing w:line="240" w:lineRule="auto"/>
              <w:ind w:left="0" w:leftChars="0" w:right="0" w:rightChars="0" w:firstLine="0" w:firstLineChars="0"/>
              <w:jc w:val="center"/>
              <w:rPr>
                <w:rFonts w:hint="eastAsia" w:ascii="宋体" w:hAnsi="宋体" w:cs="宋体"/>
                <w:color w:val="000000"/>
                <w:sz w:val="21"/>
                <w:szCs w:val="21"/>
              </w:rPr>
            </w:pPr>
            <w:r>
              <w:rPr>
                <w:rFonts w:hint="eastAsia" w:ascii="宋体" w:hAnsi="宋体" w:cs="宋体"/>
                <w:color w:val="000000"/>
                <w:sz w:val="21"/>
                <w:szCs w:val="21"/>
              </w:rPr>
              <w:t>安全的</w:t>
            </w:r>
          </w:p>
        </w:tc>
        <w:tc>
          <w:tcPr>
            <w:tcW w:w="3827" w:type="pct"/>
            <w:tcBorders>
              <w:tl2br w:val="nil"/>
              <w:tr2bl w:val="nil"/>
            </w:tcBorders>
            <w:noWrap w:val="0"/>
            <w:vAlign w:val="center"/>
          </w:tcPr>
          <w:p w14:paraId="7A258415">
            <w:pPr>
              <w:spacing w:line="240" w:lineRule="auto"/>
              <w:ind w:left="0" w:leftChars="0" w:right="0" w:rightChars="0" w:firstLine="0" w:firstLineChars="0"/>
              <w:jc w:val="both"/>
              <w:rPr>
                <w:rFonts w:hint="eastAsia" w:ascii="宋体" w:hAnsi="宋体" w:cs="宋体"/>
                <w:color w:val="000000"/>
                <w:sz w:val="21"/>
                <w:szCs w:val="21"/>
              </w:rPr>
            </w:pPr>
            <w:r>
              <w:rPr>
                <w:rFonts w:hint="eastAsia" w:ascii="宋体" w:hAnsi="宋体" w:cs="宋体"/>
                <w:color w:val="000000"/>
                <w:sz w:val="21"/>
                <w:szCs w:val="21"/>
              </w:rPr>
              <w:t>不会造成人员伤亡及系统损坏</w:t>
            </w:r>
          </w:p>
        </w:tc>
      </w:tr>
      <w:tr w14:paraId="5EAB56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26" w:hRule="atLeast"/>
          <w:jc w:val="center"/>
        </w:trPr>
        <w:tc>
          <w:tcPr>
            <w:tcW w:w="492" w:type="pct"/>
            <w:tcBorders>
              <w:tl2br w:val="nil"/>
              <w:tr2bl w:val="nil"/>
            </w:tcBorders>
            <w:noWrap w:val="0"/>
            <w:vAlign w:val="center"/>
          </w:tcPr>
          <w:p w14:paraId="217D008D">
            <w:pPr>
              <w:spacing w:line="240" w:lineRule="auto"/>
              <w:ind w:left="0" w:leftChars="0" w:right="0" w:rightChars="0" w:firstLine="0" w:firstLineChars="0"/>
              <w:jc w:val="center"/>
              <w:rPr>
                <w:rFonts w:hint="eastAsia" w:ascii="宋体" w:hAnsi="宋体" w:cs="宋体"/>
                <w:color w:val="000000"/>
                <w:sz w:val="21"/>
                <w:szCs w:val="21"/>
              </w:rPr>
            </w:pPr>
            <w:r>
              <w:rPr>
                <w:rFonts w:hint="eastAsia" w:ascii="宋体" w:hAnsi="宋体" w:cs="宋体"/>
                <w:color w:val="000000"/>
                <w:sz w:val="21"/>
                <w:szCs w:val="21"/>
              </w:rPr>
              <w:t>Ⅱ</w:t>
            </w:r>
          </w:p>
        </w:tc>
        <w:tc>
          <w:tcPr>
            <w:tcW w:w="680" w:type="pct"/>
            <w:tcBorders>
              <w:tl2br w:val="nil"/>
              <w:tr2bl w:val="nil"/>
            </w:tcBorders>
            <w:noWrap w:val="0"/>
            <w:vAlign w:val="center"/>
          </w:tcPr>
          <w:p w14:paraId="003F2DBF">
            <w:pPr>
              <w:spacing w:line="240" w:lineRule="auto"/>
              <w:ind w:left="0" w:leftChars="0" w:right="0" w:rightChars="0" w:firstLine="0" w:firstLineChars="0"/>
              <w:jc w:val="center"/>
              <w:rPr>
                <w:rFonts w:hint="eastAsia" w:ascii="宋体" w:hAnsi="宋体" w:cs="宋体"/>
                <w:color w:val="000000"/>
                <w:sz w:val="21"/>
                <w:szCs w:val="21"/>
              </w:rPr>
            </w:pPr>
            <w:r>
              <w:rPr>
                <w:rFonts w:hint="eastAsia" w:ascii="宋体" w:hAnsi="宋体" w:cs="宋体"/>
                <w:color w:val="000000"/>
                <w:sz w:val="21"/>
                <w:szCs w:val="21"/>
              </w:rPr>
              <w:t>临界的</w:t>
            </w:r>
          </w:p>
        </w:tc>
        <w:tc>
          <w:tcPr>
            <w:tcW w:w="3827" w:type="pct"/>
            <w:tcBorders>
              <w:tl2br w:val="nil"/>
              <w:tr2bl w:val="nil"/>
            </w:tcBorders>
            <w:noWrap w:val="0"/>
            <w:vAlign w:val="center"/>
          </w:tcPr>
          <w:p w14:paraId="29DD7AF8">
            <w:pPr>
              <w:spacing w:line="240" w:lineRule="auto"/>
              <w:ind w:left="0" w:leftChars="0" w:right="0" w:rightChars="0" w:firstLine="0" w:firstLineChars="0"/>
              <w:jc w:val="both"/>
              <w:rPr>
                <w:rFonts w:hint="eastAsia" w:ascii="宋体" w:hAnsi="宋体" w:cs="宋体"/>
                <w:color w:val="000000"/>
                <w:sz w:val="21"/>
                <w:szCs w:val="21"/>
              </w:rPr>
            </w:pPr>
            <w:r>
              <w:rPr>
                <w:rFonts w:hint="eastAsia" w:ascii="宋体" w:hAnsi="宋体" w:cs="宋体"/>
                <w:color w:val="000000"/>
                <w:sz w:val="21"/>
                <w:szCs w:val="21"/>
              </w:rPr>
              <w:t>处于事故的边缘状态，暂时还不至于造成人员伤亡、系统损坏或降低系统性能，但应予以排除或采取控制措施</w:t>
            </w:r>
          </w:p>
        </w:tc>
      </w:tr>
      <w:tr w14:paraId="1B109C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8" w:hRule="atLeast"/>
          <w:jc w:val="center"/>
        </w:trPr>
        <w:tc>
          <w:tcPr>
            <w:tcW w:w="492" w:type="pct"/>
            <w:tcBorders>
              <w:tl2br w:val="nil"/>
              <w:tr2bl w:val="nil"/>
            </w:tcBorders>
            <w:noWrap w:val="0"/>
            <w:vAlign w:val="center"/>
          </w:tcPr>
          <w:p w14:paraId="72CDB037">
            <w:pPr>
              <w:spacing w:line="240" w:lineRule="auto"/>
              <w:ind w:left="0" w:leftChars="0" w:right="0" w:rightChars="0" w:firstLine="0" w:firstLineChars="0"/>
              <w:jc w:val="center"/>
              <w:rPr>
                <w:rFonts w:hint="eastAsia" w:ascii="宋体" w:hAnsi="宋体" w:cs="宋体"/>
                <w:color w:val="000000"/>
                <w:sz w:val="21"/>
                <w:szCs w:val="21"/>
              </w:rPr>
            </w:pPr>
            <w:r>
              <w:rPr>
                <w:rFonts w:hint="eastAsia" w:ascii="宋体" w:hAnsi="宋体" w:cs="宋体"/>
                <w:color w:val="000000"/>
                <w:sz w:val="21"/>
                <w:szCs w:val="21"/>
              </w:rPr>
              <w:t>Ⅲ</w:t>
            </w:r>
          </w:p>
        </w:tc>
        <w:tc>
          <w:tcPr>
            <w:tcW w:w="680" w:type="pct"/>
            <w:tcBorders>
              <w:tl2br w:val="nil"/>
              <w:tr2bl w:val="nil"/>
            </w:tcBorders>
            <w:noWrap w:val="0"/>
            <w:vAlign w:val="center"/>
          </w:tcPr>
          <w:p w14:paraId="5AA1DB25">
            <w:pPr>
              <w:spacing w:line="240" w:lineRule="auto"/>
              <w:ind w:left="0" w:leftChars="0" w:right="0" w:rightChars="0" w:firstLine="0" w:firstLineChars="0"/>
              <w:jc w:val="center"/>
              <w:rPr>
                <w:rFonts w:hint="eastAsia" w:ascii="宋体" w:hAnsi="宋体" w:cs="宋体"/>
                <w:color w:val="000000"/>
                <w:sz w:val="21"/>
                <w:szCs w:val="21"/>
              </w:rPr>
            </w:pPr>
            <w:r>
              <w:rPr>
                <w:rFonts w:hint="eastAsia" w:ascii="宋体" w:hAnsi="宋体" w:cs="宋体"/>
                <w:color w:val="000000"/>
                <w:sz w:val="21"/>
                <w:szCs w:val="21"/>
              </w:rPr>
              <w:t>危险的</w:t>
            </w:r>
          </w:p>
        </w:tc>
        <w:tc>
          <w:tcPr>
            <w:tcW w:w="3827" w:type="pct"/>
            <w:tcBorders>
              <w:tl2br w:val="nil"/>
              <w:tr2bl w:val="nil"/>
            </w:tcBorders>
            <w:noWrap w:val="0"/>
            <w:vAlign w:val="center"/>
          </w:tcPr>
          <w:p w14:paraId="3C3B0141">
            <w:pPr>
              <w:spacing w:line="240" w:lineRule="auto"/>
              <w:ind w:left="0" w:leftChars="0" w:right="0" w:rightChars="0" w:firstLine="0" w:firstLineChars="0"/>
              <w:jc w:val="both"/>
              <w:rPr>
                <w:rFonts w:hint="eastAsia" w:ascii="宋体" w:hAnsi="宋体" w:cs="宋体"/>
                <w:color w:val="000000"/>
                <w:sz w:val="21"/>
                <w:szCs w:val="21"/>
              </w:rPr>
            </w:pPr>
            <w:r>
              <w:rPr>
                <w:rFonts w:hint="eastAsia" w:ascii="宋体" w:hAnsi="宋体" w:cs="宋体"/>
                <w:color w:val="000000"/>
                <w:sz w:val="21"/>
                <w:szCs w:val="21"/>
              </w:rPr>
              <w:t>会造成人员伤亡和系统损坏，要立即采取防范对策措施</w:t>
            </w:r>
          </w:p>
        </w:tc>
      </w:tr>
      <w:tr w14:paraId="08DEED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68" w:hRule="atLeast"/>
          <w:jc w:val="center"/>
        </w:trPr>
        <w:tc>
          <w:tcPr>
            <w:tcW w:w="492" w:type="pct"/>
            <w:tcBorders>
              <w:tl2br w:val="nil"/>
              <w:tr2bl w:val="nil"/>
            </w:tcBorders>
            <w:noWrap w:val="0"/>
            <w:vAlign w:val="center"/>
          </w:tcPr>
          <w:p w14:paraId="1A48EAA8">
            <w:pPr>
              <w:spacing w:line="240" w:lineRule="auto"/>
              <w:ind w:left="0" w:leftChars="0" w:right="0" w:rightChars="0" w:firstLine="0" w:firstLineChars="0"/>
              <w:jc w:val="center"/>
              <w:rPr>
                <w:rFonts w:hint="eastAsia" w:ascii="宋体" w:hAnsi="宋体" w:cs="宋体"/>
                <w:color w:val="000000"/>
                <w:sz w:val="21"/>
                <w:szCs w:val="21"/>
              </w:rPr>
            </w:pPr>
            <w:r>
              <w:rPr>
                <w:rFonts w:hint="eastAsia" w:ascii="宋体" w:hAnsi="宋体" w:cs="宋体"/>
                <w:color w:val="000000"/>
                <w:sz w:val="21"/>
                <w:szCs w:val="21"/>
              </w:rPr>
              <w:t>Ⅳ</w:t>
            </w:r>
          </w:p>
        </w:tc>
        <w:tc>
          <w:tcPr>
            <w:tcW w:w="680" w:type="pct"/>
            <w:tcBorders>
              <w:tl2br w:val="nil"/>
              <w:tr2bl w:val="nil"/>
            </w:tcBorders>
            <w:noWrap w:val="0"/>
            <w:vAlign w:val="center"/>
          </w:tcPr>
          <w:p w14:paraId="5FCAFA46">
            <w:pPr>
              <w:spacing w:line="240" w:lineRule="auto"/>
              <w:ind w:left="0" w:leftChars="0" w:right="0" w:rightChars="0" w:firstLine="0" w:firstLineChars="0"/>
              <w:jc w:val="center"/>
              <w:rPr>
                <w:rFonts w:hint="eastAsia" w:ascii="宋体" w:hAnsi="宋体" w:cs="宋体"/>
                <w:color w:val="000000"/>
                <w:sz w:val="21"/>
                <w:szCs w:val="21"/>
              </w:rPr>
            </w:pPr>
            <w:r>
              <w:rPr>
                <w:rFonts w:hint="eastAsia" w:ascii="宋体" w:hAnsi="宋体" w:cs="宋体"/>
                <w:color w:val="000000"/>
                <w:sz w:val="21"/>
                <w:szCs w:val="21"/>
              </w:rPr>
              <w:t>灾难性的</w:t>
            </w:r>
          </w:p>
        </w:tc>
        <w:tc>
          <w:tcPr>
            <w:tcW w:w="3827" w:type="pct"/>
            <w:tcBorders>
              <w:tl2br w:val="nil"/>
              <w:tr2bl w:val="nil"/>
            </w:tcBorders>
            <w:noWrap w:val="0"/>
            <w:vAlign w:val="center"/>
          </w:tcPr>
          <w:p w14:paraId="636B6C96">
            <w:pPr>
              <w:spacing w:line="240" w:lineRule="auto"/>
              <w:ind w:left="0" w:leftChars="0" w:right="0" w:rightChars="0" w:firstLine="0" w:firstLineChars="0"/>
              <w:jc w:val="both"/>
              <w:rPr>
                <w:rFonts w:hint="eastAsia" w:ascii="宋体" w:hAnsi="宋体" w:cs="宋体"/>
                <w:color w:val="000000"/>
                <w:sz w:val="21"/>
                <w:szCs w:val="21"/>
              </w:rPr>
            </w:pPr>
            <w:r>
              <w:rPr>
                <w:rFonts w:hint="eastAsia" w:ascii="宋体" w:hAnsi="宋体" w:cs="宋体"/>
                <w:color w:val="000000"/>
                <w:sz w:val="21"/>
                <w:szCs w:val="21"/>
              </w:rPr>
              <w:t>造成人员重大伤亡及系统严重破坏的灾难性事故，必须予以果断排除并进行重点防范</w:t>
            </w:r>
          </w:p>
        </w:tc>
      </w:tr>
    </w:tbl>
    <w:p w14:paraId="4EC8B890">
      <w:pPr>
        <w:pStyle w:val="5"/>
        <w:bidi w:val="0"/>
      </w:pPr>
      <w:r>
        <w:rPr>
          <w:rFonts w:hint="eastAsia"/>
        </w:rPr>
        <w:t>作业条件危险性评价法</w:t>
      </w:r>
      <w:r>
        <w:rPr>
          <w:rFonts w:hint="eastAsia"/>
          <w:lang w:eastAsia="zh-CN"/>
        </w:rPr>
        <w:t>（</w:t>
      </w:r>
      <w:r>
        <w:rPr>
          <w:rFonts w:hint="eastAsia"/>
          <w:lang w:val="en-US" w:eastAsia="zh-CN"/>
        </w:rPr>
        <w:t>LEC</w:t>
      </w:r>
      <w:r>
        <w:rPr>
          <w:rFonts w:hint="eastAsia"/>
          <w:lang w:eastAsia="zh-CN"/>
        </w:rPr>
        <w:t>）</w:t>
      </w:r>
    </w:p>
    <w:p w14:paraId="0B53B7F0">
      <w:pPr>
        <w:pStyle w:val="14"/>
        <w:bidi w:val="0"/>
      </w:pPr>
      <w:r>
        <w:rPr>
          <w:rFonts w:hint="eastAsia"/>
        </w:rPr>
        <w:t>作业条件危险性评价法根据格雷厄姆－金尼公式，由美国格雷姆和金厄提出。他们认为影响作业条件危险性的因素是</w:t>
      </w:r>
      <w:r>
        <w:t>L</w:t>
      </w:r>
      <w:r>
        <w:rPr>
          <w:rFonts w:hint="eastAsia"/>
        </w:rPr>
        <w:t>（事故发生的可能性）、</w:t>
      </w:r>
      <w:r>
        <w:t>E</w:t>
      </w:r>
      <w:r>
        <w:rPr>
          <w:rFonts w:hint="eastAsia"/>
        </w:rPr>
        <w:t>（人员暴露于危险环境的频繁程度）和</w:t>
      </w:r>
      <w:r>
        <w:t>C</w:t>
      </w:r>
      <w:r>
        <w:rPr>
          <w:rFonts w:hint="eastAsia"/>
        </w:rPr>
        <w:t>（一旦发生事故可能造成的后果）。</w:t>
      </w:r>
      <w:r>
        <w:t>L</w:t>
      </w:r>
      <w:r>
        <w:rPr>
          <w:rFonts w:hint="eastAsia"/>
        </w:rPr>
        <w:t>、</w:t>
      </w:r>
      <w:r>
        <w:t>E</w:t>
      </w:r>
      <w:r>
        <w:rPr>
          <w:rFonts w:hint="eastAsia"/>
        </w:rPr>
        <w:t>、</w:t>
      </w:r>
      <w:r>
        <w:t>C</w:t>
      </w:r>
      <w:r>
        <w:rPr>
          <w:rFonts w:hint="eastAsia"/>
        </w:rPr>
        <w:t>的分值分别见表。用这三种因素分值的乘积</w:t>
      </w:r>
      <w:r>
        <w:t>D=L</w:t>
      </w:r>
      <w:r>
        <w:rPr>
          <w:rFonts w:hint="eastAsia"/>
        </w:rPr>
        <w:t>×</w:t>
      </w:r>
      <w:r>
        <w:t>E</w:t>
      </w:r>
      <w:r>
        <w:rPr>
          <w:rFonts w:hint="eastAsia"/>
        </w:rPr>
        <w:t>×</w:t>
      </w:r>
      <w:r>
        <w:t>C</w:t>
      </w:r>
      <w:r>
        <w:rPr>
          <w:rFonts w:hint="eastAsia"/>
        </w:rPr>
        <w:t>来评价作业条件的危险性。</w:t>
      </w:r>
      <w:r>
        <w:t>D</w:t>
      </w:r>
      <w:r>
        <w:rPr>
          <w:rFonts w:hint="eastAsia"/>
        </w:rPr>
        <w:t>值越大作业条件危险性越大。</w:t>
      </w:r>
    </w:p>
    <w:p w14:paraId="4056DBE2">
      <w:pPr>
        <w:bidi w:val="0"/>
        <w:rPr>
          <w:rFonts w:hint="eastAsia" w:ascii="宋体" w:hAnsi="宋体" w:eastAsia="宋体" w:cs="宋体"/>
        </w:rPr>
      </w:pPr>
      <w:r>
        <w:rPr>
          <w:rFonts w:hint="eastAsia" w:ascii="宋体" w:hAnsi="宋体" w:eastAsia="宋体" w:cs="宋体"/>
        </w:rPr>
        <w:t>为了比较各种危险、有害因素的危险性，便于采取相应对策措施，通常我们对各种危险性进行等级划分，然后确定本系统危险、有害因素的危险等级。见</w:t>
      </w:r>
      <w:r>
        <w:rPr>
          <w:rFonts w:hint="eastAsia" w:ascii="宋体" w:hAnsi="宋体" w:cs="宋体"/>
          <w:lang w:eastAsia="zh-CN"/>
        </w:rPr>
        <w:t>表3-4</w:t>
      </w:r>
      <w:r>
        <w:rPr>
          <w:rFonts w:hint="eastAsia" w:ascii="宋体" w:hAnsi="宋体" w:eastAsia="宋体" w:cs="宋体"/>
        </w:rPr>
        <w:t>、</w:t>
      </w:r>
      <w:r>
        <w:rPr>
          <w:rFonts w:hint="eastAsia" w:ascii="宋体" w:hAnsi="宋体" w:cs="宋体"/>
          <w:lang w:eastAsia="zh-CN"/>
        </w:rPr>
        <w:t>表3-5</w:t>
      </w:r>
      <w:r>
        <w:rPr>
          <w:rFonts w:hint="eastAsia" w:ascii="宋体" w:hAnsi="宋体" w:eastAsia="宋体" w:cs="宋体"/>
        </w:rPr>
        <w:t>、</w:t>
      </w:r>
      <w:r>
        <w:rPr>
          <w:rFonts w:hint="eastAsia" w:ascii="宋体" w:hAnsi="宋体" w:cs="宋体"/>
          <w:lang w:eastAsia="zh-CN"/>
        </w:rPr>
        <w:t>表3-6</w:t>
      </w:r>
      <w:r>
        <w:rPr>
          <w:rFonts w:hint="eastAsia" w:ascii="宋体" w:hAnsi="宋体" w:eastAsia="宋体" w:cs="宋体"/>
        </w:rPr>
        <w:t>、</w:t>
      </w:r>
      <w:r>
        <w:rPr>
          <w:rFonts w:hint="eastAsia" w:ascii="宋体" w:hAnsi="宋体" w:cs="宋体"/>
          <w:lang w:eastAsia="zh-CN"/>
        </w:rPr>
        <w:t>表3-7</w:t>
      </w:r>
      <w:r>
        <w:rPr>
          <w:rFonts w:hint="eastAsia" w:ascii="宋体" w:hAnsi="宋体" w:eastAsia="宋体" w:cs="宋体"/>
        </w:rPr>
        <w:t>。</w:t>
      </w:r>
    </w:p>
    <w:p w14:paraId="502DD346">
      <w:pPr>
        <w:pStyle w:val="11"/>
        <w:ind w:left="0" w:leftChars="0" w:firstLine="0" w:firstLineChars="0"/>
        <w:jc w:val="center"/>
        <w:rPr>
          <w:rFonts w:hint="eastAsia" w:eastAsia="宋体"/>
          <w:lang w:eastAsia="zh-CN"/>
        </w:rPr>
      </w:pPr>
      <w:r>
        <w:t xml:space="preserve">表 </w:t>
      </w:r>
      <w:r>
        <w:fldChar w:fldCharType="begin"/>
      </w:r>
      <w:r>
        <w:instrText xml:space="preserve"> STYLEREF 1 \s </w:instrText>
      </w:r>
      <w:r>
        <w:fldChar w:fldCharType="separate"/>
      </w:r>
      <w:r>
        <w:t>3</w:t>
      </w:r>
      <w:r>
        <w:fldChar w:fldCharType="end"/>
      </w:r>
      <w:r>
        <w:rPr>
          <w:rFonts w:hint="eastAsia"/>
          <w:lang w:eastAsia="zh-CN"/>
        </w:rPr>
        <w:t>-</w:t>
      </w:r>
      <w:r>
        <w:fldChar w:fldCharType="begin"/>
      </w:r>
      <w:r>
        <w:instrText xml:space="preserve"> SEQ 表 \* ARABIC \s 1 </w:instrText>
      </w:r>
      <w:r>
        <w:fldChar w:fldCharType="separate"/>
      </w:r>
      <w:r>
        <w:t>4</w:t>
      </w:r>
      <w:r>
        <w:fldChar w:fldCharType="end"/>
      </w:r>
      <w:r>
        <w:rPr>
          <w:rFonts w:hint="eastAsia"/>
          <w:lang w:eastAsia="zh-CN"/>
        </w:rPr>
        <w:t xml:space="preserve"> 危险性分值（D）</w:t>
      </w:r>
    </w:p>
    <w:tbl>
      <w:tblPr>
        <w:tblStyle w:val="29"/>
        <w:tblW w:w="493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706"/>
        <w:gridCol w:w="6290"/>
      </w:tblGrid>
      <w:tr w14:paraId="738721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04" w:type="pct"/>
            <w:tcBorders>
              <w:tl2br w:val="nil"/>
              <w:tr2bl w:val="nil"/>
            </w:tcBorders>
            <w:noWrap w:val="0"/>
            <w:vAlign w:val="center"/>
          </w:tcPr>
          <w:p w14:paraId="6D568E8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分值</w:t>
            </w:r>
          </w:p>
        </w:tc>
        <w:tc>
          <w:tcPr>
            <w:tcW w:w="3495" w:type="pct"/>
            <w:tcBorders>
              <w:tl2br w:val="nil"/>
              <w:tr2bl w:val="nil"/>
            </w:tcBorders>
            <w:noWrap w:val="0"/>
            <w:vAlign w:val="center"/>
          </w:tcPr>
          <w:p w14:paraId="140C277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危险程度</w:t>
            </w:r>
          </w:p>
        </w:tc>
      </w:tr>
      <w:tr w14:paraId="06720B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04" w:type="pct"/>
            <w:tcBorders>
              <w:tl2br w:val="nil"/>
              <w:tr2bl w:val="nil"/>
            </w:tcBorders>
            <w:noWrap w:val="0"/>
            <w:vAlign w:val="center"/>
          </w:tcPr>
          <w:p w14:paraId="352DC2F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color w:val="auto"/>
                <w:sz w:val="24"/>
                <w:szCs w:val="24"/>
                <w:vertAlign w:val="superscript"/>
              </w:rPr>
            </w:pPr>
            <w:r>
              <w:rPr>
                <w:rFonts w:hint="eastAsia" w:ascii="宋体" w:hAnsi="宋体" w:eastAsia="宋体" w:cs="宋体"/>
                <w:color w:val="auto"/>
                <w:sz w:val="24"/>
                <w:szCs w:val="24"/>
              </w:rPr>
              <w:t>＞320</w:t>
            </w:r>
          </w:p>
        </w:tc>
        <w:tc>
          <w:tcPr>
            <w:tcW w:w="3495" w:type="pct"/>
            <w:tcBorders>
              <w:tl2br w:val="nil"/>
              <w:tr2bl w:val="nil"/>
            </w:tcBorders>
            <w:noWrap w:val="0"/>
            <w:vAlign w:val="center"/>
          </w:tcPr>
          <w:p w14:paraId="236DF2A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极其危险，不能继续作业</w:t>
            </w:r>
          </w:p>
        </w:tc>
      </w:tr>
      <w:tr w14:paraId="1F2961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04" w:type="pct"/>
            <w:tcBorders>
              <w:tl2br w:val="nil"/>
              <w:tr2bl w:val="nil"/>
            </w:tcBorders>
            <w:noWrap w:val="0"/>
            <w:vAlign w:val="center"/>
          </w:tcPr>
          <w:p w14:paraId="79FC911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160～320</w:t>
            </w:r>
          </w:p>
        </w:tc>
        <w:tc>
          <w:tcPr>
            <w:tcW w:w="3495" w:type="pct"/>
            <w:tcBorders>
              <w:tl2br w:val="nil"/>
              <w:tr2bl w:val="nil"/>
            </w:tcBorders>
            <w:noWrap w:val="0"/>
            <w:vAlign w:val="center"/>
          </w:tcPr>
          <w:p w14:paraId="48612E2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高度危险，需要立即整改</w:t>
            </w:r>
          </w:p>
        </w:tc>
      </w:tr>
      <w:tr w14:paraId="49FE84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04" w:type="pct"/>
            <w:tcBorders>
              <w:tl2br w:val="nil"/>
              <w:tr2bl w:val="nil"/>
            </w:tcBorders>
            <w:noWrap w:val="0"/>
            <w:vAlign w:val="center"/>
          </w:tcPr>
          <w:p w14:paraId="1C0D21B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70～160</w:t>
            </w:r>
          </w:p>
        </w:tc>
        <w:tc>
          <w:tcPr>
            <w:tcW w:w="3495" w:type="pct"/>
            <w:tcBorders>
              <w:tl2br w:val="nil"/>
              <w:tr2bl w:val="nil"/>
            </w:tcBorders>
            <w:noWrap w:val="0"/>
            <w:vAlign w:val="center"/>
          </w:tcPr>
          <w:p w14:paraId="7208EA5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显著危险，需要整改</w:t>
            </w:r>
          </w:p>
        </w:tc>
      </w:tr>
      <w:tr w14:paraId="13152B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04" w:type="pct"/>
            <w:tcBorders>
              <w:tl2br w:val="nil"/>
              <w:tr2bl w:val="nil"/>
            </w:tcBorders>
            <w:noWrap w:val="0"/>
            <w:vAlign w:val="center"/>
          </w:tcPr>
          <w:p w14:paraId="187A24E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20～70</w:t>
            </w:r>
          </w:p>
        </w:tc>
        <w:tc>
          <w:tcPr>
            <w:tcW w:w="3495" w:type="pct"/>
            <w:tcBorders>
              <w:tl2br w:val="nil"/>
              <w:tr2bl w:val="nil"/>
            </w:tcBorders>
            <w:noWrap w:val="0"/>
            <w:vAlign w:val="center"/>
          </w:tcPr>
          <w:p w14:paraId="5E643F6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可能危险，需要注意</w:t>
            </w:r>
          </w:p>
        </w:tc>
      </w:tr>
      <w:tr w14:paraId="477E39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04" w:type="pct"/>
            <w:tcBorders>
              <w:tl2br w:val="nil"/>
              <w:tr2bl w:val="nil"/>
            </w:tcBorders>
            <w:noWrap w:val="0"/>
            <w:vAlign w:val="center"/>
          </w:tcPr>
          <w:p w14:paraId="751EB9E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﹤20</w:t>
            </w:r>
          </w:p>
        </w:tc>
        <w:tc>
          <w:tcPr>
            <w:tcW w:w="3495" w:type="pct"/>
            <w:tcBorders>
              <w:tl2br w:val="nil"/>
              <w:tr2bl w:val="nil"/>
            </w:tcBorders>
            <w:noWrap w:val="0"/>
            <w:vAlign w:val="center"/>
          </w:tcPr>
          <w:p w14:paraId="1EB6C43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稍有危险，或许可以接受</w:t>
            </w:r>
          </w:p>
        </w:tc>
      </w:tr>
    </w:tbl>
    <w:p w14:paraId="1FB15A3E">
      <w:pPr>
        <w:pStyle w:val="11"/>
        <w:ind w:left="0" w:leftChars="0" w:firstLine="0" w:firstLineChars="0"/>
        <w:jc w:val="center"/>
        <w:rPr>
          <w:rFonts w:hint="eastAsia" w:eastAsia="宋体"/>
          <w:lang w:eastAsia="zh-CN"/>
        </w:rPr>
      </w:pPr>
      <w:r>
        <w:t xml:space="preserve">表 </w:t>
      </w:r>
      <w:r>
        <w:fldChar w:fldCharType="begin"/>
      </w:r>
      <w:r>
        <w:instrText xml:space="preserve"> STYLEREF 1 \s </w:instrText>
      </w:r>
      <w:r>
        <w:fldChar w:fldCharType="separate"/>
      </w:r>
      <w:r>
        <w:t>3</w:t>
      </w:r>
      <w:r>
        <w:fldChar w:fldCharType="end"/>
      </w:r>
      <w:r>
        <w:rPr>
          <w:rFonts w:hint="eastAsia"/>
          <w:lang w:eastAsia="zh-CN"/>
        </w:rPr>
        <w:t>-</w:t>
      </w:r>
      <w:r>
        <w:fldChar w:fldCharType="begin"/>
      </w:r>
      <w:r>
        <w:instrText xml:space="preserve"> SEQ 表 \* ARABIC \s 1 </w:instrText>
      </w:r>
      <w:r>
        <w:fldChar w:fldCharType="separate"/>
      </w:r>
      <w:r>
        <w:t>5</w:t>
      </w:r>
      <w:r>
        <w:fldChar w:fldCharType="end"/>
      </w:r>
      <w:r>
        <w:rPr>
          <w:rFonts w:hint="eastAsia"/>
          <w:lang w:eastAsia="zh-CN"/>
        </w:rPr>
        <w:t xml:space="preserve"> 事故或危险事件发生可能性分值（L）</w:t>
      </w:r>
    </w:p>
    <w:tbl>
      <w:tblPr>
        <w:tblStyle w:val="29"/>
        <w:tblW w:w="493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663"/>
        <w:gridCol w:w="7333"/>
      </w:tblGrid>
      <w:tr w14:paraId="11F56B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tblHeader/>
          <w:jc w:val="center"/>
        </w:trPr>
        <w:tc>
          <w:tcPr>
            <w:tcW w:w="924" w:type="pct"/>
            <w:tcBorders>
              <w:tl2br w:val="nil"/>
              <w:tr2bl w:val="nil"/>
            </w:tcBorders>
            <w:noWrap w:val="0"/>
            <w:vAlign w:val="center"/>
          </w:tcPr>
          <w:p w14:paraId="0B28673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分值</w:t>
            </w:r>
          </w:p>
        </w:tc>
        <w:tc>
          <w:tcPr>
            <w:tcW w:w="4075" w:type="pct"/>
            <w:tcBorders>
              <w:tl2br w:val="nil"/>
              <w:tr2bl w:val="nil"/>
            </w:tcBorders>
            <w:noWrap w:val="0"/>
            <w:vAlign w:val="center"/>
          </w:tcPr>
          <w:p w14:paraId="44775F0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事故或危险情况发生可能性</w:t>
            </w:r>
          </w:p>
        </w:tc>
      </w:tr>
      <w:tr w14:paraId="632B46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24" w:type="pct"/>
            <w:tcBorders>
              <w:tl2br w:val="nil"/>
              <w:tr2bl w:val="nil"/>
            </w:tcBorders>
            <w:noWrap w:val="0"/>
            <w:vAlign w:val="center"/>
          </w:tcPr>
          <w:p w14:paraId="7CEEF53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10</w:t>
            </w:r>
          </w:p>
        </w:tc>
        <w:tc>
          <w:tcPr>
            <w:tcW w:w="4075" w:type="pct"/>
            <w:tcBorders>
              <w:tl2br w:val="nil"/>
              <w:tr2bl w:val="nil"/>
            </w:tcBorders>
            <w:noWrap w:val="0"/>
            <w:vAlign w:val="center"/>
          </w:tcPr>
          <w:p w14:paraId="1021B0C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完全会被预料到</w:t>
            </w:r>
          </w:p>
        </w:tc>
      </w:tr>
      <w:tr w14:paraId="2D343F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24" w:type="pct"/>
            <w:tcBorders>
              <w:tl2br w:val="nil"/>
              <w:tr2bl w:val="nil"/>
            </w:tcBorders>
            <w:noWrap w:val="0"/>
            <w:vAlign w:val="center"/>
          </w:tcPr>
          <w:p w14:paraId="455A1FE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6</w:t>
            </w:r>
          </w:p>
        </w:tc>
        <w:tc>
          <w:tcPr>
            <w:tcW w:w="4075" w:type="pct"/>
            <w:tcBorders>
              <w:tl2br w:val="nil"/>
              <w:tr2bl w:val="nil"/>
            </w:tcBorders>
            <w:noWrap w:val="0"/>
            <w:vAlign w:val="center"/>
          </w:tcPr>
          <w:p w14:paraId="2F7469A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相当可能</w:t>
            </w:r>
          </w:p>
        </w:tc>
      </w:tr>
      <w:tr w14:paraId="289B7D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24" w:type="pct"/>
            <w:tcBorders>
              <w:tl2br w:val="nil"/>
              <w:tr2bl w:val="nil"/>
            </w:tcBorders>
            <w:noWrap w:val="0"/>
            <w:vAlign w:val="center"/>
          </w:tcPr>
          <w:p w14:paraId="2A6860E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3</w:t>
            </w:r>
          </w:p>
        </w:tc>
        <w:tc>
          <w:tcPr>
            <w:tcW w:w="4075" w:type="pct"/>
            <w:tcBorders>
              <w:tl2br w:val="nil"/>
              <w:tr2bl w:val="nil"/>
            </w:tcBorders>
            <w:noWrap w:val="0"/>
            <w:vAlign w:val="center"/>
          </w:tcPr>
          <w:p w14:paraId="5A4FFF5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不经常，但可能</w:t>
            </w:r>
          </w:p>
        </w:tc>
      </w:tr>
      <w:tr w14:paraId="6A040E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24" w:type="pct"/>
            <w:tcBorders>
              <w:tl2br w:val="nil"/>
              <w:tr2bl w:val="nil"/>
            </w:tcBorders>
            <w:noWrap w:val="0"/>
            <w:vAlign w:val="center"/>
          </w:tcPr>
          <w:p w14:paraId="445D393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w:t>
            </w:r>
          </w:p>
        </w:tc>
        <w:tc>
          <w:tcPr>
            <w:tcW w:w="4075" w:type="pct"/>
            <w:tcBorders>
              <w:tl2br w:val="nil"/>
              <w:tr2bl w:val="nil"/>
            </w:tcBorders>
            <w:noWrap w:val="0"/>
            <w:vAlign w:val="center"/>
          </w:tcPr>
          <w:p w14:paraId="0DE36C9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完全意外，极少可能</w:t>
            </w:r>
          </w:p>
        </w:tc>
      </w:tr>
      <w:tr w14:paraId="21A18B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24" w:type="pct"/>
            <w:tcBorders>
              <w:tl2br w:val="nil"/>
              <w:tr2bl w:val="nil"/>
            </w:tcBorders>
            <w:noWrap w:val="0"/>
            <w:vAlign w:val="center"/>
          </w:tcPr>
          <w:p w14:paraId="1E375CA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0.5</w:t>
            </w:r>
          </w:p>
        </w:tc>
        <w:tc>
          <w:tcPr>
            <w:tcW w:w="4075" w:type="pct"/>
            <w:tcBorders>
              <w:tl2br w:val="nil"/>
              <w:tr2bl w:val="nil"/>
            </w:tcBorders>
            <w:noWrap w:val="0"/>
            <w:vAlign w:val="center"/>
          </w:tcPr>
          <w:p w14:paraId="1F96E80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可以设想，但高度不可能</w:t>
            </w:r>
          </w:p>
        </w:tc>
      </w:tr>
      <w:tr w14:paraId="083AFD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24" w:type="pct"/>
            <w:tcBorders>
              <w:tl2br w:val="nil"/>
              <w:tr2bl w:val="nil"/>
            </w:tcBorders>
            <w:noWrap w:val="0"/>
            <w:vAlign w:val="center"/>
          </w:tcPr>
          <w:p w14:paraId="3DC97E9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0.2</w:t>
            </w:r>
          </w:p>
        </w:tc>
        <w:tc>
          <w:tcPr>
            <w:tcW w:w="4075" w:type="pct"/>
            <w:tcBorders>
              <w:tl2br w:val="nil"/>
              <w:tr2bl w:val="nil"/>
            </w:tcBorders>
            <w:noWrap w:val="0"/>
            <w:vAlign w:val="center"/>
          </w:tcPr>
          <w:p w14:paraId="450EF7C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极不可能</w:t>
            </w:r>
          </w:p>
        </w:tc>
      </w:tr>
      <w:tr w14:paraId="3A9A64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24" w:type="pct"/>
            <w:tcBorders>
              <w:tl2br w:val="nil"/>
              <w:tr2bl w:val="nil"/>
            </w:tcBorders>
            <w:noWrap w:val="0"/>
            <w:vAlign w:val="center"/>
          </w:tcPr>
          <w:p w14:paraId="1C9B964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0.1*</w:t>
            </w:r>
          </w:p>
        </w:tc>
        <w:tc>
          <w:tcPr>
            <w:tcW w:w="4075" w:type="pct"/>
            <w:tcBorders>
              <w:tl2br w:val="nil"/>
              <w:tr2bl w:val="nil"/>
            </w:tcBorders>
            <w:noWrap w:val="0"/>
            <w:vAlign w:val="center"/>
          </w:tcPr>
          <w:p w14:paraId="6F79D1C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实际上不可能</w:t>
            </w:r>
          </w:p>
        </w:tc>
      </w:tr>
    </w:tbl>
    <w:p w14:paraId="2B6B6077">
      <w:pPr>
        <w:pStyle w:val="11"/>
        <w:ind w:left="0" w:leftChars="0" w:firstLine="0" w:firstLineChars="0"/>
        <w:jc w:val="center"/>
        <w:rPr>
          <w:rFonts w:hint="eastAsia" w:eastAsia="宋体"/>
          <w:lang w:eastAsia="zh-CN"/>
        </w:rPr>
      </w:pPr>
      <w:r>
        <w:t xml:space="preserve">表 </w:t>
      </w:r>
      <w:r>
        <w:fldChar w:fldCharType="begin"/>
      </w:r>
      <w:r>
        <w:instrText xml:space="preserve"> STYLEREF 1 \s </w:instrText>
      </w:r>
      <w:r>
        <w:fldChar w:fldCharType="separate"/>
      </w:r>
      <w:r>
        <w:t>3</w:t>
      </w:r>
      <w:r>
        <w:fldChar w:fldCharType="end"/>
      </w:r>
      <w:r>
        <w:rPr>
          <w:rFonts w:hint="eastAsia"/>
          <w:lang w:eastAsia="zh-CN"/>
        </w:rPr>
        <w:t>-</w:t>
      </w:r>
      <w:r>
        <w:fldChar w:fldCharType="begin"/>
      </w:r>
      <w:r>
        <w:instrText xml:space="preserve"> SEQ 表 \* ARABIC \s 1 </w:instrText>
      </w:r>
      <w:r>
        <w:fldChar w:fldCharType="separate"/>
      </w:r>
      <w:r>
        <w:t>6</w:t>
      </w:r>
      <w:r>
        <w:fldChar w:fldCharType="end"/>
      </w:r>
      <w:r>
        <w:rPr>
          <w:rFonts w:hint="eastAsia"/>
          <w:lang w:eastAsia="zh-CN"/>
        </w:rPr>
        <w:t xml:space="preserve"> 暴露于潜在危险环境的分值（E）</w:t>
      </w:r>
    </w:p>
    <w:tbl>
      <w:tblPr>
        <w:tblStyle w:val="29"/>
        <w:tblW w:w="492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23"/>
        <w:gridCol w:w="3514"/>
        <w:gridCol w:w="827"/>
        <w:gridCol w:w="3823"/>
      </w:tblGrid>
      <w:tr w14:paraId="2A9A89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58" w:type="pct"/>
            <w:tcBorders>
              <w:tl2br w:val="nil"/>
              <w:tr2bl w:val="nil"/>
            </w:tcBorders>
            <w:noWrap w:val="0"/>
            <w:vAlign w:val="center"/>
          </w:tcPr>
          <w:p w14:paraId="7C5D9F4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分值</w:t>
            </w:r>
          </w:p>
        </w:tc>
        <w:tc>
          <w:tcPr>
            <w:tcW w:w="1954" w:type="pct"/>
            <w:tcBorders>
              <w:tl2br w:val="nil"/>
              <w:tr2bl w:val="nil"/>
            </w:tcBorders>
            <w:noWrap w:val="0"/>
            <w:vAlign w:val="center"/>
          </w:tcPr>
          <w:p w14:paraId="5724B72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出现于危险环境的情况</w:t>
            </w:r>
          </w:p>
        </w:tc>
        <w:tc>
          <w:tcPr>
            <w:tcW w:w="460" w:type="pct"/>
            <w:tcBorders>
              <w:tl2br w:val="nil"/>
              <w:tr2bl w:val="nil"/>
            </w:tcBorders>
            <w:noWrap w:val="0"/>
            <w:vAlign w:val="center"/>
          </w:tcPr>
          <w:p w14:paraId="002171E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分值</w:t>
            </w:r>
          </w:p>
        </w:tc>
        <w:tc>
          <w:tcPr>
            <w:tcW w:w="2126" w:type="pct"/>
            <w:tcBorders>
              <w:tl2br w:val="nil"/>
              <w:tr2bl w:val="nil"/>
            </w:tcBorders>
            <w:noWrap w:val="0"/>
            <w:vAlign w:val="center"/>
          </w:tcPr>
          <w:p w14:paraId="5FF5889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出现于危险环境的情况</w:t>
            </w:r>
          </w:p>
        </w:tc>
      </w:tr>
      <w:tr w14:paraId="2B3621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58" w:type="pct"/>
            <w:tcBorders>
              <w:tl2br w:val="nil"/>
              <w:tr2bl w:val="nil"/>
            </w:tcBorders>
            <w:noWrap w:val="0"/>
            <w:vAlign w:val="center"/>
          </w:tcPr>
          <w:p w14:paraId="0EC7C58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10*</w:t>
            </w:r>
          </w:p>
        </w:tc>
        <w:tc>
          <w:tcPr>
            <w:tcW w:w="1954" w:type="pct"/>
            <w:tcBorders>
              <w:tl2br w:val="nil"/>
              <w:tr2bl w:val="nil"/>
            </w:tcBorders>
            <w:noWrap w:val="0"/>
            <w:vAlign w:val="center"/>
          </w:tcPr>
          <w:p w14:paraId="328F4F0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连续暴露于潜在危险环境</w:t>
            </w:r>
          </w:p>
        </w:tc>
        <w:tc>
          <w:tcPr>
            <w:tcW w:w="460" w:type="pct"/>
            <w:tcBorders>
              <w:tl2br w:val="nil"/>
              <w:tr2bl w:val="nil"/>
            </w:tcBorders>
            <w:noWrap w:val="0"/>
            <w:vAlign w:val="center"/>
          </w:tcPr>
          <w:p w14:paraId="6A0C0D2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2</w:t>
            </w:r>
          </w:p>
        </w:tc>
        <w:tc>
          <w:tcPr>
            <w:tcW w:w="2126" w:type="pct"/>
            <w:tcBorders>
              <w:tl2br w:val="nil"/>
              <w:tr2bl w:val="nil"/>
            </w:tcBorders>
            <w:noWrap w:val="0"/>
            <w:vAlign w:val="center"/>
          </w:tcPr>
          <w:p w14:paraId="10D5D8A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每月暴露一次</w:t>
            </w:r>
          </w:p>
        </w:tc>
      </w:tr>
      <w:tr w14:paraId="080DC0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58" w:type="pct"/>
            <w:tcBorders>
              <w:tl2br w:val="nil"/>
              <w:tr2bl w:val="nil"/>
            </w:tcBorders>
            <w:noWrap w:val="0"/>
            <w:vAlign w:val="center"/>
          </w:tcPr>
          <w:p w14:paraId="3362096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6</w:t>
            </w:r>
          </w:p>
        </w:tc>
        <w:tc>
          <w:tcPr>
            <w:tcW w:w="1954" w:type="pct"/>
            <w:tcBorders>
              <w:tl2br w:val="nil"/>
              <w:tr2bl w:val="nil"/>
            </w:tcBorders>
            <w:noWrap w:val="0"/>
            <w:vAlign w:val="center"/>
          </w:tcPr>
          <w:p w14:paraId="35A63D7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逐日在工作时间内暴露</w:t>
            </w:r>
          </w:p>
        </w:tc>
        <w:tc>
          <w:tcPr>
            <w:tcW w:w="460" w:type="pct"/>
            <w:tcBorders>
              <w:tl2br w:val="nil"/>
              <w:tr2bl w:val="nil"/>
            </w:tcBorders>
            <w:noWrap w:val="0"/>
            <w:vAlign w:val="center"/>
          </w:tcPr>
          <w:p w14:paraId="3212946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w:t>
            </w:r>
          </w:p>
        </w:tc>
        <w:tc>
          <w:tcPr>
            <w:tcW w:w="2126" w:type="pct"/>
            <w:tcBorders>
              <w:tl2br w:val="nil"/>
              <w:tr2bl w:val="nil"/>
            </w:tcBorders>
            <w:noWrap w:val="0"/>
            <w:vAlign w:val="center"/>
          </w:tcPr>
          <w:p w14:paraId="31AC86A3">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每年几次出现在潜在危险环境</w:t>
            </w:r>
          </w:p>
        </w:tc>
      </w:tr>
      <w:tr w14:paraId="43AA50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458" w:type="pct"/>
            <w:tcBorders>
              <w:tl2br w:val="nil"/>
              <w:tr2bl w:val="nil"/>
            </w:tcBorders>
            <w:noWrap w:val="0"/>
            <w:vAlign w:val="center"/>
          </w:tcPr>
          <w:p w14:paraId="659DB04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3</w:t>
            </w:r>
          </w:p>
        </w:tc>
        <w:tc>
          <w:tcPr>
            <w:tcW w:w="1954" w:type="pct"/>
            <w:tcBorders>
              <w:tl2br w:val="nil"/>
              <w:tr2bl w:val="nil"/>
            </w:tcBorders>
            <w:noWrap w:val="0"/>
            <w:vAlign w:val="center"/>
          </w:tcPr>
          <w:p w14:paraId="760DDE4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每周一次或</w:t>
            </w:r>
            <w:r>
              <w:rPr>
                <w:rFonts w:hint="eastAsia" w:ascii="宋体" w:hAnsi="宋体" w:eastAsia="宋体" w:cs="宋体"/>
                <w:b w:val="0"/>
                <w:bCs/>
                <w:color w:val="auto"/>
                <w:sz w:val="24"/>
                <w:szCs w:val="24"/>
                <w:lang w:eastAsia="zh-CN"/>
              </w:rPr>
              <w:t>偶然的暴露</w:t>
            </w:r>
          </w:p>
        </w:tc>
        <w:tc>
          <w:tcPr>
            <w:tcW w:w="460" w:type="pct"/>
            <w:tcBorders>
              <w:tl2br w:val="nil"/>
              <w:tr2bl w:val="nil"/>
            </w:tcBorders>
            <w:noWrap w:val="0"/>
            <w:vAlign w:val="center"/>
          </w:tcPr>
          <w:p w14:paraId="3A9F7C1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0.5</w:t>
            </w:r>
          </w:p>
        </w:tc>
        <w:tc>
          <w:tcPr>
            <w:tcW w:w="2126" w:type="pct"/>
            <w:tcBorders>
              <w:tl2br w:val="nil"/>
              <w:tr2bl w:val="nil"/>
            </w:tcBorders>
            <w:noWrap w:val="0"/>
            <w:vAlign w:val="center"/>
          </w:tcPr>
          <w:p w14:paraId="053FD39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非常罕见地暴露</w:t>
            </w:r>
          </w:p>
        </w:tc>
      </w:tr>
    </w:tbl>
    <w:p w14:paraId="3DF475EA">
      <w:pPr>
        <w:pStyle w:val="11"/>
        <w:ind w:left="0" w:leftChars="0" w:firstLine="0" w:firstLineChars="0"/>
        <w:jc w:val="center"/>
        <w:rPr>
          <w:rFonts w:hint="eastAsia" w:eastAsia="宋体"/>
          <w:lang w:eastAsia="zh-CN"/>
        </w:rPr>
      </w:pPr>
      <w:r>
        <w:t xml:space="preserve">表 </w:t>
      </w:r>
      <w:r>
        <w:fldChar w:fldCharType="begin"/>
      </w:r>
      <w:r>
        <w:instrText xml:space="preserve"> STYLEREF 1 \s </w:instrText>
      </w:r>
      <w:r>
        <w:fldChar w:fldCharType="separate"/>
      </w:r>
      <w:r>
        <w:t>3</w:t>
      </w:r>
      <w:r>
        <w:fldChar w:fldCharType="end"/>
      </w:r>
      <w:r>
        <w:rPr>
          <w:rFonts w:hint="eastAsia"/>
          <w:lang w:eastAsia="zh-CN"/>
        </w:rPr>
        <w:t>-</w:t>
      </w:r>
      <w:r>
        <w:fldChar w:fldCharType="begin"/>
      </w:r>
      <w:r>
        <w:instrText xml:space="preserve"> SEQ 表 \* ARABIC \s 1 </w:instrText>
      </w:r>
      <w:r>
        <w:fldChar w:fldCharType="separate"/>
      </w:r>
      <w:r>
        <w:t>7</w:t>
      </w:r>
      <w:r>
        <w:fldChar w:fldCharType="end"/>
      </w:r>
      <w:r>
        <w:rPr>
          <w:rFonts w:hint="eastAsia"/>
          <w:lang w:eastAsia="zh-CN"/>
        </w:rPr>
        <w:t xml:space="preserve"> 发生事故或危险事件可能结果的分值（C）</w:t>
      </w:r>
    </w:p>
    <w:tbl>
      <w:tblPr>
        <w:tblStyle w:val="29"/>
        <w:tblW w:w="4924"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16"/>
        <w:gridCol w:w="3608"/>
        <w:gridCol w:w="1022"/>
        <w:gridCol w:w="3333"/>
      </w:tblGrid>
      <w:tr w14:paraId="26239D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66" w:type="pct"/>
            <w:tcBorders>
              <w:tl2br w:val="nil"/>
              <w:tr2bl w:val="nil"/>
            </w:tcBorders>
            <w:noWrap w:val="0"/>
            <w:vAlign w:val="center"/>
          </w:tcPr>
          <w:p w14:paraId="6B861F9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分值</w:t>
            </w:r>
          </w:p>
        </w:tc>
        <w:tc>
          <w:tcPr>
            <w:tcW w:w="2008" w:type="pct"/>
            <w:tcBorders>
              <w:tl2br w:val="nil"/>
              <w:tr2bl w:val="nil"/>
            </w:tcBorders>
            <w:noWrap w:val="0"/>
            <w:vAlign w:val="center"/>
          </w:tcPr>
          <w:p w14:paraId="603D5F9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可能结果</w:t>
            </w:r>
          </w:p>
        </w:tc>
        <w:tc>
          <w:tcPr>
            <w:tcW w:w="569" w:type="pct"/>
            <w:tcBorders>
              <w:tl2br w:val="nil"/>
              <w:tr2bl w:val="nil"/>
            </w:tcBorders>
            <w:noWrap w:val="0"/>
            <w:vAlign w:val="center"/>
          </w:tcPr>
          <w:p w14:paraId="0869C53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分值</w:t>
            </w:r>
          </w:p>
        </w:tc>
        <w:tc>
          <w:tcPr>
            <w:tcW w:w="1855" w:type="pct"/>
            <w:tcBorders>
              <w:tl2br w:val="nil"/>
              <w:tr2bl w:val="nil"/>
            </w:tcBorders>
            <w:noWrap w:val="0"/>
            <w:vAlign w:val="center"/>
          </w:tcPr>
          <w:p w14:paraId="7DDDAAD3">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可能结果</w:t>
            </w:r>
          </w:p>
        </w:tc>
      </w:tr>
      <w:tr w14:paraId="0C3687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66" w:type="pct"/>
            <w:tcBorders>
              <w:tl2br w:val="nil"/>
              <w:tr2bl w:val="nil"/>
            </w:tcBorders>
            <w:noWrap w:val="0"/>
            <w:vAlign w:val="center"/>
          </w:tcPr>
          <w:p w14:paraId="53F03ED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100*</w:t>
            </w:r>
          </w:p>
        </w:tc>
        <w:tc>
          <w:tcPr>
            <w:tcW w:w="2008" w:type="pct"/>
            <w:tcBorders>
              <w:tl2br w:val="nil"/>
              <w:tr2bl w:val="nil"/>
            </w:tcBorders>
            <w:noWrap w:val="0"/>
            <w:vAlign w:val="center"/>
          </w:tcPr>
          <w:p w14:paraId="714749B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大灾难，许多人死亡</w:t>
            </w:r>
          </w:p>
        </w:tc>
        <w:tc>
          <w:tcPr>
            <w:tcW w:w="569" w:type="pct"/>
            <w:tcBorders>
              <w:tl2br w:val="nil"/>
              <w:tr2bl w:val="nil"/>
            </w:tcBorders>
            <w:noWrap w:val="0"/>
            <w:vAlign w:val="center"/>
          </w:tcPr>
          <w:p w14:paraId="67ED227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7</w:t>
            </w:r>
          </w:p>
        </w:tc>
        <w:tc>
          <w:tcPr>
            <w:tcW w:w="1855" w:type="pct"/>
            <w:tcBorders>
              <w:tl2br w:val="nil"/>
              <w:tr2bl w:val="nil"/>
            </w:tcBorders>
            <w:noWrap w:val="0"/>
            <w:vAlign w:val="center"/>
          </w:tcPr>
          <w:p w14:paraId="0C3B7853">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严重，严重伤害</w:t>
            </w:r>
          </w:p>
        </w:tc>
      </w:tr>
      <w:tr w14:paraId="62B3C5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66" w:type="pct"/>
            <w:tcBorders>
              <w:tl2br w:val="nil"/>
              <w:tr2bl w:val="nil"/>
            </w:tcBorders>
            <w:noWrap w:val="0"/>
            <w:vAlign w:val="center"/>
          </w:tcPr>
          <w:p w14:paraId="55C1CFD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40</w:t>
            </w:r>
          </w:p>
        </w:tc>
        <w:tc>
          <w:tcPr>
            <w:tcW w:w="2008" w:type="pct"/>
            <w:tcBorders>
              <w:tl2br w:val="nil"/>
              <w:tr2bl w:val="nil"/>
            </w:tcBorders>
            <w:noWrap w:val="0"/>
            <w:vAlign w:val="center"/>
          </w:tcPr>
          <w:p w14:paraId="4F28862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灾难、数人死亡</w:t>
            </w:r>
          </w:p>
        </w:tc>
        <w:tc>
          <w:tcPr>
            <w:tcW w:w="569" w:type="pct"/>
            <w:tcBorders>
              <w:tl2br w:val="nil"/>
              <w:tr2bl w:val="nil"/>
            </w:tcBorders>
            <w:noWrap w:val="0"/>
            <w:vAlign w:val="center"/>
          </w:tcPr>
          <w:p w14:paraId="5E746C2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3</w:t>
            </w:r>
          </w:p>
        </w:tc>
        <w:tc>
          <w:tcPr>
            <w:tcW w:w="1855" w:type="pct"/>
            <w:tcBorders>
              <w:tl2br w:val="nil"/>
              <w:tr2bl w:val="nil"/>
            </w:tcBorders>
            <w:noWrap w:val="0"/>
            <w:vAlign w:val="center"/>
          </w:tcPr>
          <w:p w14:paraId="07EA11C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重大，致残</w:t>
            </w:r>
          </w:p>
        </w:tc>
      </w:tr>
      <w:tr w14:paraId="16FE27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66" w:type="pct"/>
            <w:tcBorders>
              <w:tl2br w:val="nil"/>
              <w:tr2bl w:val="nil"/>
            </w:tcBorders>
            <w:noWrap w:val="0"/>
            <w:vAlign w:val="center"/>
          </w:tcPr>
          <w:p w14:paraId="76B96F1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15</w:t>
            </w:r>
          </w:p>
        </w:tc>
        <w:tc>
          <w:tcPr>
            <w:tcW w:w="2008" w:type="pct"/>
            <w:tcBorders>
              <w:tl2br w:val="nil"/>
              <w:tr2bl w:val="nil"/>
            </w:tcBorders>
            <w:noWrap w:val="0"/>
            <w:vAlign w:val="center"/>
          </w:tcPr>
          <w:p w14:paraId="45C5C00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非常严重，一人死亡</w:t>
            </w:r>
          </w:p>
        </w:tc>
        <w:tc>
          <w:tcPr>
            <w:tcW w:w="569" w:type="pct"/>
            <w:tcBorders>
              <w:tl2br w:val="nil"/>
              <w:tr2bl w:val="nil"/>
            </w:tcBorders>
            <w:noWrap w:val="0"/>
            <w:vAlign w:val="center"/>
          </w:tcPr>
          <w:p w14:paraId="136093F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w:t>
            </w:r>
          </w:p>
        </w:tc>
        <w:tc>
          <w:tcPr>
            <w:tcW w:w="1855" w:type="pct"/>
            <w:tcBorders>
              <w:tl2br w:val="nil"/>
              <w:tr2bl w:val="nil"/>
            </w:tcBorders>
            <w:noWrap w:val="0"/>
            <w:vAlign w:val="center"/>
          </w:tcPr>
          <w:p w14:paraId="52A7A93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引人注目，需要救护</w:t>
            </w:r>
          </w:p>
        </w:tc>
      </w:tr>
    </w:tbl>
    <w:p w14:paraId="4522F020">
      <w:pPr>
        <w:pStyle w:val="3"/>
        <w:bidi w:val="0"/>
      </w:pPr>
      <w:bookmarkStart w:id="167" w:name="_Toc28371"/>
      <w:r>
        <w:rPr>
          <w:rFonts w:hint="eastAsia"/>
        </w:rPr>
        <w:t>总平面布置单元</w:t>
      </w:r>
      <w:bookmarkEnd w:id="167"/>
    </w:p>
    <w:p w14:paraId="677CE601">
      <w:pPr>
        <w:pStyle w:val="4"/>
        <w:bidi w:val="0"/>
      </w:pPr>
      <w:bookmarkStart w:id="168" w:name="_Toc420938826"/>
      <w:bookmarkStart w:id="169" w:name="_Toc21960"/>
      <w:bookmarkStart w:id="170" w:name="_Toc236050047"/>
      <w:bookmarkStart w:id="171" w:name="_Toc297117659"/>
      <w:bookmarkStart w:id="172" w:name="_Toc404093157"/>
      <w:r>
        <w:rPr>
          <w:rFonts w:hint="eastAsia"/>
        </w:rPr>
        <w:t>危险有害因素辨识与分析</w:t>
      </w:r>
      <w:bookmarkEnd w:id="168"/>
      <w:bookmarkEnd w:id="169"/>
      <w:bookmarkEnd w:id="170"/>
      <w:bookmarkEnd w:id="171"/>
      <w:bookmarkEnd w:id="172"/>
    </w:p>
    <w:p w14:paraId="4DF69C9C">
      <w:pPr>
        <w:bidi w:val="0"/>
        <w:rPr>
          <w:rFonts w:hint="eastAsia"/>
          <w:lang w:eastAsia="zh-CN"/>
        </w:rPr>
      </w:pPr>
      <w:r>
        <w:rPr>
          <w:rFonts w:hint="eastAsia"/>
        </w:rPr>
        <w:t>从工程地质、地形地貌、水文、气象条件、</w:t>
      </w:r>
      <w:r>
        <w:rPr>
          <w:rFonts w:hint="eastAsia"/>
          <w:lang w:val="en-US" w:eastAsia="zh-CN"/>
        </w:rPr>
        <w:t>周边</w:t>
      </w:r>
      <w:r>
        <w:rPr>
          <w:rFonts w:hint="eastAsia"/>
        </w:rPr>
        <w:t>环境、交通运输条件、自然灾害等方</w:t>
      </w:r>
      <w:r>
        <w:rPr>
          <w:rFonts w:hint="eastAsia" w:ascii="Times New Roman" w:hAnsi="Times New Roman" w:eastAsia="宋体" w:cs="Times New Roman"/>
        </w:rPr>
        <w:t>面分析和辨识</w:t>
      </w:r>
      <w:r>
        <w:rPr>
          <w:rFonts w:hint="eastAsia" w:ascii="Times New Roman" w:hAnsi="Times New Roman" w:eastAsia="宋体" w:cs="Times New Roman"/>
          <w:lang w:eastAsia="zh-CN"/>
        </w:rPr>
        <w:t>，</w:t>
      </w:r>
      <w:r>
        <w:rPr>
          <w:rFonts w:hint="eastAsia" w:ascii="Times New Roman" w:hAnsi="Times New Roman" w:eastAsia="宋体" w:cs="Times New Roman"/>
          <w:lang w:val="en-US" w:eastAsia="zh-CN"/>
        </w:rPr>
        <w:t>项目总平面布置单元</w:t>
      </w:r>
      <w:r>
        <w:rPr>
          <w:rFonts w:hint="eastAsia" w:ascii="Times New Roman" w:hAnsi="Times New Roman" w:eastAsia="宋体" w:cs="Times New Roman"/>
        </w:rPr>
        <w:t>存在的主要危险、有害因素</w:t>
      </w:r>
      <w:r>
        <w:rPr>
          <w:rFonts w:hint="eastAsia" w:ascii="Times New Roman" w:hAnsi="Times New Roman" w:eastAsia="宋体" w:cs="Times New Roman"/>
          <w:lang w:val="en-US" w:eastAsia="zh-CN"/>
        </w:rPr>
        <w:t>有</w:t>
      </w:r>
      <w:r>
        <w:rPr>
          <w:rFonts w:hint="eastAsia" w:ascii="Times New Roman" w:hAnsi="Times New Roman" w:eastAsia="宋体" w:cs="Times New Roman"/>
        </w:rPr>
        <w:t>：</w:t>
      </w:r>
      <w:r>
        <w:rPr>
          <w:rFonts w:hint="eastAsia" w:ascii="Times New Roman" w:hAnsi="Times New Roman" w:eastAsia="宋体" w:cs="Times New Roman"/>
          <w:lang w:val="en-US" w:eastAsia="zh-CN"/>
        </w:rPr>
        <w:t>坍塌</w:t>
      </w:r>
      <w:r>
        <w:rPr>
          <w:rFonts w:hint="eastAsia" w:ascii="Times New Roman" w:hAnsi="Times New Roman" w:eastAsia="宋体" w:cs="Times New Roman"/>
          <w:lang w:eastAsia="zh-CN"/>
        </w:rPr>
        <w:t>、</w:t>
      </w:r>
      <w:r>
        <w:rPr>
          <w:rFonts w:hint="eastAsia" w:ascii="Times New Roman" w:hAnsi="Times New Roman" w:eastAsia="宋体" w:cs="Times New Roman"/>
        </w:rPr>
        <w:t>滑坡、泥石流、</w:t>
      </w:r>
      <w:r>
        <w:rPr>
          <w:rFonts w:hint="eastAsia" w:ascii="Times New Roman" w:hAnsi="Times New Roman" w:eastAsia="宋体" w:cs="Times New Roman"/>
          <w:lang w:val="en-US" w:eastAsia="zh-CN"/>
        </w:rPr>
        <w:t>物体打击、</w:t>
      </w:r>
      <w:r>
        <w:rPr>
          <w:rFonts w:hint="eastAsia" w:ascii="Times New Roman" w:hAnsi="Times New Roman" w:eastAsia="宋体" w:cs="Times New Roman"/>
        </w:rPr>
        <w:t>车辆伤害、</w:t>
      </w:r>
      <w:r>
        <w:rPr>
          <w:rFonts w:hint="eastAsia" w:ascii="Times New Roman" w:hAnsi="Times New Roman" w:eastAsia="宋体" w:cs="Times New Roman"/>
          <w:lang w:val="en-US" w:eastAsia="zh-CN"/>
        </w:rPr>
        <w:t>机械伤害、</w:t>
      </w:r>
      <w:r>
        <w:rPr>
          <w:rFonts w:hint="eastAsia" w:ascii="Times New Roman" w:hAnsi="Times New Roman" w:eastAsia="宋体" w:cs="Times New Roman"/>
        </w:rPr>
        <w:t>触电、淹溺、火灾、高处坠</w:t>
      </w:r>
      <w:r>
        <w:rPr>
          <w:rFonts w:hint="eastAsia"/>
        </w:rPr>
        <w:t>落、粉尘、噪声等，</w:t>
      </w:r>
      <w:r>
        <w:rPr>
          <w:rFonts w:hint="eastAsia"/>
          <w:lang w:val="en-US" w:eastAsia="zh-CN"/>
        </w:rPr>
        <w:t>具体</w:t>
      </w:r>
      <w:r>
        <w:rPr>
          <w:rFonts w:hint="eastAsia"/>
        </w:rPr>
        <w:t>分析如下：</w:t>
      </w:r>
    </w:p>
    <w:p w14:paraId="2BF38BA9">
      <w:pPr>
        <w:pStyle w:val="14"/>
        <w:numPr>
          <w:ilvl w:val="0"/>
          <w:numId w:val="45"/>
        </w:numPr>
        <w:bidi w:val="0"/>
        <w:rPr>
          <w:rFonts w:hint="eastAsia"/>
        </w:rPr>
      </w:pPr>
      <w:r>
        <w:rPr>
          <w:rFonts w:hint="eastAsia" w:ascii="宋体" w:hAnsi="宋体" w:eastAsia="宋体" w:cs="宋体"/>
          <w:snapToGrid w:val="0"/>
          <w:color w:val="auto"/>
          <w:kern w:val="0"/>
          <w:sz w:val="28"/>
          <w:szCs w:val="24"/>
          <w:lang w:val="en-US" w:eastAsia="zh-CN" w:bidi="ar-SA"/>
        </w:rPr>
        <w:t>坍塌</w:t>
      </w:r>
      <w:r>
        <w:rPr>
          <w:rFonts w:hint="eastAsia"/>
          <w:color w:val="auto"/>
          <w:lang w:eastAsia="zh-CN"/>
        </w:rPr>
        <w:t>、</w:t>
      </w:r>
      <w:r>
        <w:rPr>
          <w:rFonts w:hint="eastAsia"/>
        </w:rPr>
        <w:t>滑坡、泥石流</w:t>
      </w:r>
    </w:p>
    <w:p w14:paraId="0FC3868F">
      <w:pPr>
        <w:bidi w:val="0"/>
        <w:rPr>
          <w:rFonts w:hint="eastAsia"/>
        </w:rPr>
      </w:pPr>
      <w:r>
        <w:rPr>
          <w:rFonts w:hint="eastAsia"/>
        </w:rPr>
        <w:t>分布于矿区道路的下部边坡为松散岩土、施工和生产中排弃废石（土）的场所等，均有可能产生泥石流危险。因气象条件不落实、截排水设施不完善，大气降雨缺乏有效的截排和疏导，泥水混合物以冲击、填塞、掩埋等形式毁坏下游设施。</w:t>
      </w:r>
    </w:p>
    <w:p w14:paraId="0F9F24CA">
      <w:pPr>
        <w:pStyle w:val="14"/>
        <w:numPr>
          <w:ilvl w:val="0"/>
          <w:numId w:val="45"/>
        </w:numPr>
        <w:bidi w:val="0"/>
        <w:rPr>
          <w:rFonts w:hint="eastAsia"/>
        </w:rPr>
      </w:pPr>
      <w:r>
        <w:rPr>
          <w:rFonts w:hint="eastAsia"/>
          <w:lang w:val="en-US" w:eastAsia="zh-CN"/>
        </w:rPr>
        <w:t>物体打击</w:t>
      </w:r>
    </w:p>
    <w:p w14:paraId="04C4DE45">
      <w:pPr>
        <w:bidi w:val="0"/>
        <w:rPr>
          <w:rFonts w:hint="eastAsia"/>
        </w:rPr>
      </w:pPr>
      <w:r>
        <w:rPr>
          <w:rFonts w:hint="eastAsia"/>
          <w:lang w:val="en-US" w:eastAsia="zh-CN"/>
        </w:rPr>
        <w:t>卸矿</w:t>
      </w:r>
      <w:r>
        <w:rPr>
          <w:rFonts w:hint="eastAsia"/>
        </w:rPr>
        <w:t>过程中矿岩滚落</w:t>
      </w:r>
      <w:r>
        <w:rPr>
          <w:rFonts w:hint="eastAsia"/>
          <w:lang w:eastAsia="zh-CN"/>
        </w:rPr>
        <w:t>；</w:t>
      </w:r>
      <w:r>
        <w:rPr>
          <w:rFonts w:hint="eastAsia"/>
        </w:rPr>
        <w:t>铲装时铲斗从车头或</w:t>
      </w:r>
      <w:r>
        <w:rPr>
          <w:rFonts w:hint="eastAsia"/>
          <w:lang w:val="en-US" w:eastAsia="zh-CN"/>
        </w:rPr>
        <w:t>人员上方</w:t>
      </w:r>
      <w:r>
        <w:rPr>
          <w:rFonts w:hint="eastAsia"/>
        </w:rPr>
        <w:t>经过；在</w:t>
      </w:r>
      <w:r>
        <w:rPr>
          <w:rFonts w:hint="eastAsia"/>
          <w:lang w:val="en-US" w:eastAsia="zh-CN"/>
        </w:rPr>
        <w:t>破碎站随意抛掷</w:t>
      </w:r>
      <w:r>
        <w:rPr>
          <w:rFonts w:hint="eastAsia"/>
        </w:rPr>
        <w:t>物件。</w:t>
      </w:r>
    </w:p>
    <w:p w14:paraId="33FED608">
      <w:pPr>
        <w:pStyle w:val="14"/>
        <w:numPr>
          <w:ilvl w:val="0"/>
          <w:numId w:val="45"/>
        </w:numPr>
        <w:bidi w:val="0"/>
        <w:rPr>
          <w:rFonts w:hint="eastAsia"/>
        </w:rPr>
      </w:pPr>
      <w:r>
        <w:rPr>
          <w:rFonts w:hint="eastAsia"/>
        </w:rPr>
        <w:t>车辆伤害</w:t>
      </w:r>
    </w:p>
    <w:p w14:paraId="1F4F9075">
      <w:pPr>
        <w:bidi w:val="0"/>
        <w:rPr>
          <w:rFonts w:hint="default"/>
          <w:lang w:val="en-US" w:eastAsia="zh-CN"/>
        </w:rPr>
      </w:pPr>
      <w:r>
        <w:rPr>
          <w:rFonts w:hint="eastAsia"/>
          <w:lang w:val="en-US" w:eastAsia="zh-CN"/>
        </w:rPr>
        <w:t>矿山运矿道路宽度不满足生产要求，平台边缘、运输道路临边无安全防护车挡、基础不实等；车辆带病运行；驾驶员或他人违章操作，如超载、超速、无证驾驶等；其他管理缺陷，如无专人指挥，秩序混乱等。</w:t>
      </w:r>
    </w:p>
    <w:p w14:paraId="07338969">
      <w:pPr>
        <w:pStyle w:val="14"/>
        <w:numPr>
          <w:ilvl w:val="0"/>
          <w:numId w:val="45"/>
        </w:numPr>
        <w:bidi w:val="0"/>
        <w:rPr>
          <w:rFonts w:hint="eastAsia"/>
        </w:rPr>
      </w:pPr>
      <w:r>
        <w:rPr>
          <w:rFonts w:hint="eastAsia"/>
          <w:lang w:val="en-US" w:eastAsia="zh-CN"/>
        </w:rPr>
        <w:t>机械伤害</w:t>
      </w:r>
    </w:p>
    <w:p w14:paraId="3DE96A62">
      <w:pPr>
        <w:bidi w:val="0"/>
        <w:rPr>
          <w:rFonts w:hint="eastAsia"/>
        </w:rPr>
      </w:pPr>
      <w:r>
        <w:rPr>
          <w:rFonts w:hint="eastAsia"/>
          <w:lang w:val="en-US" w:eastAsia="zh-CN"/>
        </w:rPr>
        <w:t>设备质量不合格或缺乏检修维护；规程缺乏或未执行；操作失误；</w:t>
      </w:r>
      <w:r>
        <w:t>机械设备旋转部位裸露未设防护罩。</w:t>
      </w:r>
    </w:p>
    <w:p w14:paraId="2BB1338B">
      <w:pPr>
        <w:pStyle w:val="14"/>
        <w:numPr>
          <w:ilvl w:val="0"/>
          <w:numId w:val="45"/>
        </w:numPr>
        <w:bidi w:val="0"/>
        <w:rPr>
          <w:rFonts w:hint="eastAsia"/>
        </w:rPr>
      </w:pPr>
      <w:r>
        <w:rPr>
          <w:rFonts w:hint="eastAsia"/>
        </w:rPr>
        <w:t>触电</w:t>
      </w:r>
    </w:p>
    <w:p w14:paraId="0E2C0924">
      <w:pPr>
        <w:bidi w:val="0"/>
        <w:rPr>
          <w:rFonts w:hint="eastAsia"/>
          <w:lang w:val="en-US" w:eastAsia="zh-CN"/>
        </w:rPr>
      </w:pPr>
      <w:r>
        <w:rPr>
          <w:rFonts w:hint="eastAsia"/>
        </w:rPr>
        <w:t>人体在防护措施不力时接触正常运行的带电体</w:t>
      </w:r>
      <w:r>
        <w:rPr>
          <w:rFonts w:hint="eastAsia"/>
          <w:lang w:eastAsia="zh-CN"/>
        </w:rPr>
        <w:t>（</w:t>
      </w:r>
      <w:r>
        <w:rPr>
          <w:rFonts w:hint="eastAsia"/>
        </w:rPr>
        <w:t>供电设备、线路、用电设备</w:t>
      </w:r>
      <w:r>
        <w:rPr>
          <w:rFonts w:hint="eastAsia"/>
          <w:lang w:eastAsia="zh-CN"/>
        </w:rPr>
        <w:t>）</w:t>
      </w:r>
      <w:r>
        <w:rPr>
          <w:rFonts w:hint="eastAsia"/>
        </w:rPr>
        <w:t>或故障状态下的带电体；违章合闸和拉闸；</w:t>
      </w:r>
      <w:r>
        <w:t>误操作或电气故障等引起短路</w:t>
      </w:r>
      <w:r>
        <w:rPr>
          <w:rFonts w:hint="eastAsia"/>
          <w:lang w:val="en-US" w:eastAsia="zh-CN"/>
        </w:rPr>
        <w:t>。</w:t>
      </w:r>
    </w:p>
    <w:p w14:paraId="3EDCABD9">
      <w:pPr>
        <w:pStyle w:val="14"/>
        <w:numPr>
          <w:ilvl w:val="0"/>
          <w:numId w:val="45"/>
        </w:numPr>
        <w:bidi w:val="0"/>
        <w:rPr>
          <w:rFonts w:hint="eastAsia"/>
        </w:rPr>
      </w:pPr>
      <w:r>
        <w:rPr>
          <w:rFonts w:hint="eastAsia"/>
        </w:rPr>
        <w:t>淹溺</w:t>
      </w:r>
    </w:p>
    <w:p w14:paraId="34698255">
      <w:pPr>
        <w:rPr>
          <w:rFonts w:hint="default" w:eastAsia="宋体"/>
          <w:lang w:val="en-US" w:eastAsia="zh-CN"/>
        </w:rPr>
      </w:pPr>
      <w:r>
        <w:rPr>
          <w:rFonts w:hint="eastAsia"/>
          <w:w w:val="95"/>
          <w:sz w:val="28"/>
          <w:szCs w:val="28"/>
          <w:lang w:val="en-US" w:eastAsia="zh-CN"/>
        </w:rPr>
        <w:t>蓄水池周围无安全防护设施或安全警示标志，人员误入或坠落。</w:t>
      </w:r>
    </w:p>
    <w:p w14:paraId="6E7D65C0">
      <w:pPr>
        <w:pStyle w:val="14"/>
        <w:numPr>
          <w:ilvl w:val="0"/>
          <w:numId w:val="45"/>
        </w:numPr>
        <w:bidi w:val="0"/>
        <w:rPr>
          <w:rFonts w:hint="eastAsia"/>
        </w:rPr>
      </w:pPr>
      <w:r>
        <w:rPr>
          <w:rFonts w:hint="eastAsia"/>
        </w:rPr>
        <w:t>火灾</w:t>
      </w:r>
    </w:p>
    <w:p w14:paraId="6B0BA056">
      <w:pPr>
        <w:bidi w:val="0"/>
        <w:rPr>
          <w:rFonts w:hint="eastAsia"/>
        </w:rPr>
      </w:pPr>
      <w:r>
        <w:t>电气设备、线路漏电、短路或过载等引起的过热、电火花、电弧；</w:t>
      </w:r>
      <w:r>
        <w:rPr>
          <w:rFonts w:hint="eastAsia"/>
          <w:lang w:val="en-US" w:eastAsia="zh-CN"/>
        </w:rPr>
        <w:t>违章动火作业。</w:t>
      </w:r>
    </w:p>
    <w:p w14:paraId="1E345016">
      <w:pPr>
        <w:pStyle w:val="14"/>
        <w:numPr>
          <w:ilvl w:val="0"/>
          <w:numId w:val="45"/>
        </w:numPr>
        <w:bidi w:val="0"/>
        <w:rPr>
          <w:rFonts w:hint="eastAsia"/>
        </w:rPr>
      </w:pPr>
      <w:r>
        <w:rPr>
          <w:rFonts w:hint="eastAsia"/>
        </w:rPr>
        <w:t>高处坠落</w:t>
      </w:r>
    </w:p>
    <w:p w14:paraId="309FAD2E">
      <w:pPr>
        <w:rPr>
          <w:rFonts w:hint="default"/>
          <w:lang w:val="en-US"/>
        </w:rPr>
      </w:pPr>
      <w:r>
        <w:rPr>
          <w:rFonts w:hint="eastAsia"/>
          <w:color w:val="auto"/>
          <w:lang w:val="en-US" w:eastAsia="zh-CN"/>
        </w:rPr>
        <w:t>运输道路宽度不足，弯道过小，坡度过大等因路况较差，导致车辆失控冲出道路发生高处坠落。露天采场边坡较高，作业人员未采取防坠落措施处理边坡危石、浮石。工业场地采用带式输送机运输砂石料，人员检修或巡视通廊时防护设施缺失或未采取防坠落措施发生高处坠落。</w:t>
      </w:r>
    </w:p>
    <w:p w14:paraId="50BF3C34">
      <w:pPr>
        <w:pStyle w:val="14"/>
        <w:numPr>
          <w:ilvl w:val="0"/>
          <w:numId w:val="45"/>
        </w:numPr>
        <w:bidi w:val="0"/>
        <w:rPr>
          <w:rFonts w:hint="eastAsia"/>
        </w:rPr>
      </w:pPr>
      <w:r>
        <w:rPr>
          <w:rFonts w:hint="eastAsia"/>
        </w:rPr>
        <w:t>噪声、粉尘危害</w:t>
      </w:r>
    </w:p>
    <w:p w14:paraId="7094F99D">
      <w:pPr>
        <w:pStyle w:val="14"/>
        <w:rPr>
          <w:rFonts w:hint="eastAsia"/>
          <w:lang w:eastAsia="zh-CN"/>
        </w:rPr>
      </w:pPr>
      <w:r>
        <w:rPr>
          <w:rFonts w:hint="eastAsia"/>
          <w:lang w:val="en-US" w:eastAsia="zh-CN"/>
        </w:rPr>
        <w:t>露天采场和工业场地机械设备、设施运行</w:t>
      </w:r>
      <w:r>
        <w:rPr>
          <w:rFonts w:hint="eastAsia"/>
        </w:rPr>
        <w:t>产生的噪声</w:t>
      </w:r>
      <w:r>
        <w:rPr>
          <w:rFonts w:hint="eastAsia"/>
          <w:lang w:eastAsia="zh-CN"/>
        </w:rPr>
        <w:t>，</w:t>
      </w:r>
      <w:r>
        <w:rPr>
          <w:rFonts w:hint="eastAsia"/>
          <w:lang w:val="en-US" w:eastAsia="zh-CN"/>
        </w:rPr>
        <w:t>以及露天矿山采剥、铲装、运输砂石和破碎加工砂石时产生的</w:t>
      </w:r>
      <w:r>
        <w:rPr>
          <w:rFonts w:hint="eastAsia"/>
        </w:rPr>
        <w:t>粉尘会对周边环境造成污染。</w:t>
      </w:r>
    </w:p>
    <w:p w14:paraId="3C05CA7E">
      <w:pPr>
        <w:pStyle w:val="4"/>
        <w:bidi w:val="0"/>
      </w:pPr>
      <w:bookmarkStart w:id="173" w:name="_Toc11679711"/>
      <w:bookmarkStart w:id="174" w:name="_Toc30014"/>
      <w:r>
        <w:rPr>
          <w:rFonts w:hint="eastAsia"/>
        </w:rPr>
        <w:t>危险程度评价</w:t>
      </w:r>
      <w:bookmarkEnd w:id="173"/>
      <w:bookmarkEnd w:id="174"/>
    </w:p>
    <w:p w14:paraId="56C868FA">
      <w:pPr>
        <w:bidi w:val="0"/>
        <w:rPr>
          <w:rFonts w:hint="eastAsia" w:ascii="宋体" w:hAnsi="宋体" w:eastAsia="宋体" w:cs="宋体"/>
        </w:rPr>
      </w:pPr>
      <w:r>
        <w:rPr>
          <w:rFonts w:hint="eastAsia" w:ascii="宋体" w:hAnsi="宋体" w:eastAsia="宋体" w:cs="宋体"/>
        </w:rPr>
        <w:t>总平面布置单元主要存在的危险有害因素，采用作业条件危险性评价法针对</w:t>
      </w:r>
      <w:r>
        <w:rPr>
          <w:rFonts w:hint="eastAsia" w:ascii="宋体" w:hAnsi="宋体" w:eastAsia="宋体" w:cs="宋体"/>
          <w:lang w:val="en-US" w:eastAsia="zh-CN"/>
        </w:rPr>
        <w:t>本</w:t>
      </w:r>
      <w:r>
        <w:rPr>
          <w:rFonts w:hint="eastAsia" w:ascii="宋体" w:hAnsi="宋体" w:eastAsia="宋体" w:cs="宋体"/>
        </w:rPr>
        <w:t>单元存在的危险因素进行危险程度评价</w:t>
      </w:r>
      <w:r>
        <w:rPr>
          <w:rFonts w:hint="eastAsia" w:ascii="宋体" w:hAnsi="宋体" w:eastAsia="宋体" w:cs="宋体"/>
          <w:lang w:eastAsia="zh-CN"/>
        </w:rPr>
        <w:t>，</w:t>
      </w:r>
      <w:r>
        <w:rPr>
          <w:rFonts w:hint="eastAsia" w:ascii="宋体" w:hAnsi="宋体" w:eastAsia="宋体" w:cs="宋体"/>
        </w:rPr>
        <w:t>参照</w:t>
      </w:r>
      <w:r>
        <w:rPr>
          <w:rFonts w:hint="eastAsia" w:ascii="宋体" w:hAnsi="宋体" w:cs="宋体"/>
          <w:lang w:eastAsia="zh-CN"/>
        </w:rPr>
        <w:t>表3-5</w:t>
      </w:r>
      <w:r>
        <w:rPr>
          <w:rFonts w:hint="eastAsia" w:ascii="宋体" w:hAnsi="宋体" w:eastAsia="宋体" w:cs="宋体"/>
        </w:rPr>
        <w:t>、</w:t>
      </w:r>
      <w:r>
        <w:rPr>
          <w:rFonts w:hint="eastAsia" w:ascii="宋体" w:hAnsi="宋体" w:cs="宋体"/>
          <w:lang w:eastAsia="zh-CN"/>
        </w:rPr>
        <w:t>表3-6</w:t>
      </w:r>
      <w:r>
        <w:rPr>
          <w:rFonts w:hint="eastAsia" w:ascii="宋体" w:hAnsi="宋体" w:eastAsia="宋体" w:cs="宋体"/>
        </w:rPr>
        <w:t>、</w:t>
      </w:r>
      <w:r>
        <w:rPr>
          <w:rFonts w:hint="eastAsia" w:ascii="宋体" w:hAnsi="宋体" w:cs="宋体"/>
          <w:lang w:eastAsia="zh-CN"/>
        </w:rPr>
        <w:t>表3-7</w:t>
      </w:r>
      <w:r>
        <w:rPr>
          <w:rFonts w:hint="eastAsia" w:ascii="宋体" w:hAnsi="宋体" w:eastAsia="宋体" w:cs="宋体"/>
        </w:rPr>
        <w:t>取值范围，根据矿山实际情况取值对应表</w:t>
      </w:r>
      <w:r>
        <w:rPr>
          <w:rFonts w:hint="eastAsia" w:ascii="宋体" w:hAnsi="宋体" w:cs="宋体"/>
          <w:lang w:val="en-US" w:eastAsia="zh-CN"/>
        </w:rPr>
        <w:t>3-8</w:t>
      </w:r>
      <w:r>
        <w:rPr>
          <w:rFonts w:hint="eastAsia" w:ascii="宋体" w:hAnsi="宋体" w:eastAsia="宋体" w:cs="宋体"/>
        </w:rPr>
        <w:t>可知：</w:t>
      </w:r>
    </w:p>
    <w:p w14:paraId="78268E23">
      <w:pPr>
        <w:pStyle w:val="11"/>
        <w:ind w:left="0" w:leftChars="0" w:firstLine="0" w:firstLineChars="0"/>
        <w:jc w:val="center"/>
        <w:rPr>
          <w:rFonts w:hint="eastAsia" w:eastAsia="宋体"/>
          <w:lang w:eastAsia="zh-CN"/>
        </w:rPr>
      </w:pPr>
      <w:r>
        <w:t xml:space="preserve">表 </w:t>
      </w:r>
      <w:r>
        <w:fldChar w:fldCharType="begin"/>
      </w:r>
      <w:r>
        <w:instrText xml:space="preserve"> STYLEREF 1 \s </w:instrText>
      </w:r>
      <w:r>
        <w:fldChar w:fldCharType="separate"/>
      </w:r>
      <w:r>
        <w:t>3</w:t>
      </w:r>
      <w:r>
        <w:fldChar w:fldCharType="end"/>
      </w:r>
      <w:r>
        <w:rPr>
          <w:rFonts w:hint="eastAsia"/>
          <w:lang w:eastAsia="zh-CN"/>
        </w:rPr>
        <w:t>-</w:t>
      </w:r>
      <w:r>
        <w:fldChar w:fldCharType="begin"/>
      </w:r>
      <w:r>
        <w:instrText xml:space="preserve"> SEQ 表 \* ARABIC \s 1 </w:instrText>
      </w:r>
      <w:r>
        <w:fldChar w:fldCharType="separate"/>
      </w:r>
      <w:r>
        <w:t>8</w:t>
      </w:r>
      <w:r>
        <w:fldChar w:fldCharType="end"/>
      </w:r>
      <w:r>
        <w:rPr>
          <w:rFonts w:hint="eastAsia"/>
          <w:lang w:eastAsia="zh-CN"/>
        </w:rPr>
        <w:t xml:space="preserve"> 总平面布置单元危险有害因素危险度分析表</w:t>
      </w:r>
    </w:p>
    <w:tbl>
      <w:tblPr>
        <w:tblStyle w:val="29"/>
        <w:tblW w:w="4861"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90"/>
        <w:gridCol w:w="1590"/>
        <w:gridCol w:w="750"/>
        <w:gridCol w:w="704"/>
        <w:gridCol w:w="972"/>
        <w:gridCol w:w="829"/>
        <w:gridCol w:w="3030"/>
      </w:tblGrid>
      <w:tr w14:paraId="4171BA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558" w:type="pct"/>
            <w:tcBorders>
              <w:tl2br w:val="nil"/>
              <w:tr2bl w:val="nil"/>
            </w:tcBorders>
            <w:noWrap w:val="0"/>
            <w:vAlign w:val="center"/>
          </w:tcPr>
          <w:p w14:paraId="3360F37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序号</w:t>
            </w:r>
          </w:p>
        </w:tc>
        <w:tc>
          <w:tcPr>
            <w:tcW w:w="896" w:type="pct"/>
            <w:tcBorders>
              <w:tl2br w:val="nil"/>
              <w:tr2bl w:val="nil"/>
            </w:tcBorders>
            <w:noWrap w:val="0"/>
            <w:vAlign w:val="center"/>
          </w:tcPr>
          <w:p w14:paraId="0A38AB0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b/>
                <w:bCs/>
                <w:color w:val="000000"/>
                <w:sz w:val="24"/>
                <w:szCs w:val="24"/>
                <w:lang w:val="en-US" w:eastAsia="zh-CN"/>
              </w:rPr>
            </w:pPr>
            <w:r>
              <w:rPr>
                <w:rFonts w:hint="eastAsia" w:ascii="宋体" w:hAnsi="宋体" w:eastAsia="宋体" w:cs="宋体"/>
                <w:b/>
                <w:bCs/>
                <w:color w:val="000000"/>
                <w:sz w:val="24"/>
                <w:szCs w:val="24"/>
              </w:rPr>
              <w:t>危害因素</w:t>
            </w:r>
          </w:p>
        </w:tc>
        <w:tc>
          <w:tcPr>
            <w:tcW w:w="423" w:type="pct"/>
            <w:tcBorders>
              <w:tl2br w:val="nil"/>
              <w:tr2bl w:val="nil"/>
            </w:tcBorders>
            <w:noWrap w:val="0"/>
            <w:vAlign w:val="center"/>
          </w:tcPr>
          <w:p w14:paraId="7626248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b/>
                <w:bCs/>
                <w:color w:val="000000"/>
                <w:sz w:val="24"/>
                <w:szCs w:val="24"/>
                <w:lang w:val="en-US" w:eastAsia="zh-CN"/>
              </w:rPr>
            </w:pPr>
            <w:r>
              <w:rPr>
                <w:rFonts w:hint="eastAsia" w:ascii="宋体" w:hAnsi="宋体" w:eastAsia="宋体" w:cs="宋体"/>
                <w:b/>
                <w:bCs/>
                <w:color w:val="000000"/>
                <w:sz w:val="24"/>
                <w:szCs w:val="24"/>
              </w:rPr>
              <w:t>L</w:t>
            </w:r>
          </w:p>
        </w:tc>
        <w:tc>
          <w:tcPr>
            <w:tcW w:w="397" w:type="pct"/>
            <w:tcBorders>
              <w:tl2br w:val="nil"/>
              <w:tr2bl w:val="nil"/>
            </w:tcBorders>
            <w:noWrap w:val="0"/>
            <w:vAlign w:val="center"/>
          </w:tcPr>
          <w:p w14:paraId="77ED441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b/>
                <w:bCs/>
                <w:color w:val="000000"/>
                <w:sz w:val="24"/>
                <w:szCs w:val="24"/>
                <w:lang w:val="en-US" w:eastAsia="zh-CN"/>
              </w:rPr>
            </w:pPr>
            <w:r>
              <w:rPr>
                <w:rFonts w:hint="eastAsia" w:ascii="宋体" w:hAnsi="宋体" w:eastAsia="宋体" w:cs="宋体"/>
                <w:b/>
                <w:bCs/>
                <w:color w:val="000000"/>
                <w:sz w:val="24"/>
                <w:szCs w:val="24"/>
              </w:rPr>
              <w:t>E</w:t>
            </w:r>
          </w:p>
        </w:tc>
        <w:tc>
          <w:tcPr>
            <w:tcW w:w="548" w:type="pct"/>
            <w:tcBorders>
              <w:tl2br w:val="nil"/>
              <w:tr2bl w:val="nil"/>
            </w:tcBorders>
            <w:noWrap w:val="0"/>
            <w:vAlign w:val="center"/>
          </w:tcPr>
          <w:p w14:paraId="5AC27CE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b/>
                <w:bCs/>
                <w:color w:val="000000"/>
                <w:sz w:val="24"/>
                <w:szCs w:val="24"/>
                <w:lang w:val="en-US" w:eastAsia="zh-CN"/>
              </w:rPr>
            </w:pPr>
            <w:r>
              <w:rPr>
                <w:rFonts w:hint="eastAsia" w:ascii="宋体" w:hAnsi="宋体" w:eastAsia="宋体" w:cs="宋体"/>
                <w:b/>
                <w:bCs/>
                <w:color w:val="000000"/>
                <w:sz w:val="24"/>
                <w:szCs w:val="24"/>
              </w:rPr>
              <w:t>C</w:t>
            </w:r>
          </w:p>
        </w:tc>
        <w:tc>
          <w:tcPr>
            <w:tcW w:w="467" w:type="pct"/>
            <w:tcBorders>
              <w:tl2br w:val="nil"/>
              <w:tr2bl w:val="nil"/>
            </w:tcBorders>
            <w:noWrap w:val="0"/>
            <w:vAlign w:val="center"/>
          </w:tcPr>
          <w:p w14:paraId="13C579E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b/>
                <w:bCs/>
                <w:color w:val="000000"/>
                <w:sz w:val="24"/>
                <w:szCs w:val="24"/>
                <w:lang w:val="en-US" w:eastAsia="zh-CN"/>
              </w:rPr>
            </w:pPr>
            <w:r>
              <w:rPr>
                <w:rFonts w:hint="eastAsia" w:ascii="宋体" w:hAnsi="宋体" w:eastAsia="宋体" w:cs="宋体"/>
                <w:b/>
                <w:bCs/>
                <w:color w:val="000000"/>
                <w:sz w:val="24"/>
                <w:szCs w:val="24"/>
              </w:rPr>
              <w:t>D</w:t>
            </w:r>
          </w:p>
        </w:tc>
        <w:tc>
          <w:tcPr>
            <w:tcW w:w="1708" w:type="pct"/>
            <w:tcBorders>
              <w:tl2br w:val="nil"/>
              <w:tr2bl w:val="nil"/>
            </w:tcBorders>
            <w:noWrap w:val="0"/>
            <w:vAlign w:val="center"/>
          </w:tcPr>
          <w:p w14:paraId="5F61FDA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b/>
                <w:bCs/>
                <w:color w:val="000000"/>
                <w:sz w:val="24"/>
                <w:szCs w:val="24"/>
                <w:lang w:val="en-US" w:eastAsia="zh-CN"/>
              </w:rPr>
            </w:pPr>
            <w:r>
              <w:rPr>
                <w:rFonts w:hint="eastAsia" w:ascii="宋体" w:hAnsi="宋体" w:eastAsia="宋体" w:cs="宋体"/>
                <w:b/>
                <w:bCs/>
                <w:color w:val="000000"/>
                <w:sz w:val="24"/>
                <w:szCs w:val="24"/>
              </w:rPr>
              <w:t>危险程度</w:t>
            </w:r>
          </w:p>
        </w:tc>
      </w:tr>
      <w:tr w14:paraId="32AE0E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8" w:type="pct"/>
            <w:tcBorders>
              <w:tl2br w:val="nil"/>
              <w:tr2bl w:val="nil"/>
            </w:tcBorders>
            <w:noWrap w:val="0"/>
            <w:vAlign w:val="center"/>
          </w:tcPr>
          <w:p w14:paraId="4A2FD574">
            <w:pPr>
              <w:keepNext w:val="0"/>
              <w:keepLines w:val="0"/>
              <w:pageBreakBefore w:val="0"/>
              <w:widowControl w:val="0"/>
              <w:numPr>
                <w:ilvl w:val="0"/>
                <w:numId w:val="46"/>
              </w:numPr>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sz w:val="24"/>
                <w:szCs w:val="24"/>
              </w:rPr>
            </w:pPr>
          </w:p>
        </w:tc>
        <w:tc>
          <w:tcPr>
            <w:tcW w:w="896" w:type="pct"/>
            <w:tcBorders>
              <w:tl2br w:val="nil"/>
              <w:tr2bl w:val="nil"/>
            </w:tcBorders>
            <w:noWrap w:val="0"/>
            <w:vAlign w:val="center"/>
          </w:tcPr>
          <w:p w14:paraId="1CA94C4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坍塌</w:t>
            </w:r>
          </w:p>
        </w:tc>
        <w:tc>
          <w:tcPr>
            <w:tcW w:w="423" w:type="pct"/>
            <w:tcBorders>
              <w:tl2br w:val="nil"/>
              <w:tr2bl w:val="nil"/>
            </w:tcBorders>
            <w:noWrap w:val="0"/>
            <w:vAlign w:val="center"/>
          </w:tcPr>
          <w:p w14:paraId="5CAFB3DC">
            <w:pPr>
              <w:spacing w:line="240" w:lineRule="auto"/>
              <w:ind w:left="0" w:leftChars="0" w:right="0" w:rightChars="0" w:firstLine="0" w:firstLineChars="0"/>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3</w:t>
            </w:r>
          </w:p>
        </w:tc>
        <w:tc>
          <w:tcPr>
            <w:tcW w:w="397" w:type="pct"/>
            <w:tcBorders>
              <w:tl2br w:val="nil"/>
              <w:tr2bl w:val="nil"/>
            </w:tcBorders>
            <w:noWrap w:val="0"/>
            <w:vAlign w:val="center"/>
          </w:tcPr>
          <w:p w14:paraId="4BC00A06">
            <w:pPr>
              <w:spacing w:line="240" w:lineRule="auto"/>
              <w:ind w:left="0" w:leftChars="0" w:right="0" w:rightChars="0" w:firstLine="0" w:firstLineChars="0"/>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2</w:t>
            </w:r>
          </w:p>
        </w:tc>
        <w:tc>
          <w:tcPr>
            <w:tcW w:w="548" w:type="pct"/>
            <w:tcBorders>
              <w:tl2br w:val="nil"/>
              <w:tr2bl w:val="nil"/>
            </w:tcBorders>
            <w:noWrap w:val="0"/>
            <w:vAlign w:val="center"/>
          </w:tcPr>
          <w:p w14:paraId="7CB47CF3">
            <w:pPr>
              <w:spacing w:line="240" w:lineRule="auto"/>
              <w:ind w:left="0" w:leftChars="0" w:right="0" w:rightChars="0" w:firstLine="0" w:firstLineChars="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40</w:t>
            </w:r>
          </w:p>
        </w:tc>
        <w:tc>
          <w:tcPr>
            <w:tcW w:w="467" w:type="pct"/>
            <w:tcBorders>
              <w:tl2br w:val="nil"/>
              <w:tr2bl w:val="nil"/>
            </w:tcBorders>
            <w:noWrap w:val="0"/>
            <w:vAlign w:val="center"/>
          </w:tcPr>
          <w:p w14:paraId="24B3C9EE">
            <w:pPr>
              <w:spacing w:line="240" w:lineRule="auto"/>
              <w:ind w:left="0" w:leftChars="0" w:right="0" w:rightChars="0" w:firstLine="0" w:firstLineChars="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240</w:t>
            </w:r>
          </w:p>
        </w:tc>
        <w:tc>
          <w:tcPr>
            <w:tcW w:w="1708" w:type="pct"/>
            <w:tcBorders>
              <w:tl2br w:val="nil"/>
              <w:tr2bl w:val="nil"/>
            </w:tcBorders>
            <w:noWrap w:val="0"/>
            <w:vAlign w:val="center"/>
          </w:tcPr>
          <w:p w14:paraId="4BECB64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高度危险，需要立即整改</w:t>
            </w:r>
          </w:p>
        </w:tc>
      </w:tr>
      <w:tr w14:paraId="129CD0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8" w:type="pct"/>
            <w:tcBorders>
              <w:tl2br w:val="nil"/>
              <w:tr2bl w:val="nil"/>
            </w:tcBorders>
            <w:noWrap w:val="0"/>
            <w:vAlign w:val="center"/>
          </w:tcPr>
          <w:p w14:paraId="4568523E">
            <w:pPr>
              <w:keepNext w:val="0"/>
              <w:keepLines w:val="0"/>
              <w:pageBreakBefore w:val="0"/>
              <w:widowControl w:val="0"/>
              <w:numPr>
                <w:ilvl w:val="0"/>
                <w:numId w:val="46"/>
              </w:numPr>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sz w:val="24"/>
                <w:szCs w:val="24"/>
              </w:rPr>
            </w:pPr>
          </w:p>
        </w:tc>
        <w:tc>
          <w:tcPr>
            <w:tcW w:w="896" w:type="pct"/>
            <w:tcBorders>
              <w:tl2br w:val="nil"/>
              <w:tr2bl w:val="nil"/>
            </w:tcBorders>
            <w:noWrap w:val="0"/>
            <w:vAlign w:val="center"/>
          </w:tcPr>
          <w:p w14:paraId="5C67BB8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滑坡</w:t>
            </w:r>
          </w:p>
        </w:tc>
        <w:tc>
          <w:tcPr>
            <w:tcW w:w="423" w:type="pct"/>
            <w:tcBorders>
              <w:tl2br w:val="nil"/>
              <w:tr2bl w:val="nil"/>
            </w:tcBorders>
            <w:noWrap w:val="0"/>
            <w:vAlign w:val="center"/>
          </w:tcPr>
          <w:p w14:paraId="25998DD7">
            <w:pPr>
              <w:spacing w:line="240" w:lineRule="auto"/>
              <w:ind w:left="0" w:leftChars="0" w:right="0" w:rightChars="0" w:firstLine="0" w:firstLineChars="0"/>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3</w:t>
            </w:r>
          </w:p>
        </w:tc>
        <w:tc>
          <w:tcPr>
            <w:tcW w:w="397" w:type="pct"/>
            <w:tcBorders>
              <w:tl2br w:val="nil"/>
              <w:tr2bl w:val="nil"/>
            </w:tcBorders>
            <w:noWrap w:val="0"/>
            <w:vAlign w:val="center"/>
          </w:tcPr>
          <w:p w14:paraId="2678A20E">
            <w:pPr>
              <w:spacing w:line="240" w:lineRule="auto"/>
              <w:ind w:left="0" w:leftChars="0" w:right="0" w:rightChars="0" w:firstLine="0" w:firstLineChars="0"/>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2</w:t>
            </w:r>
          </w:p>
        </w:tc>
        <w:tc>
          <w:tcPr>
            <w:tcW w:w="548" w:type="pct"/>
            <w:tcBorders>
              <w:tl2br w:val="nil"/>
              <w:tr2bl w:val="nil"/>
            </w:tcBorders>
            <w:noWrap w:val="0"/>
            <w:vAlign w:val="center"/>
          </w:tcPr>
          <w:p w14:paraId="14854141">
            <w:pPr>
              <w:spacing w:line="240" w:lineRule="auto"/>
              <w:ind w:left="0" w:leftChars="0" w:right="0" w:rightChars="0" w:firstLine="0" w:firstLineChars="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40</w:t>
            </w:r>
          </w:p>
        </w:tc>
        <w:tc>
          <w:tcPr>
            <w:tcW w:w="467" w:type="pct"/>
            <w:tcBorders>
              <w:tl2br w:val="nil"/>
              <w:tr2bl w:val="nil"/>
            </w:tcBorders>
            <w:noWrap w:val="0"/>
            <w:vAlign w:val="center"/>
          </w:tcPr>
          <w:p w14:paraId="008E2C2E">
            <w:pPr>
              <w:spacing w:line="240" w:lineRule="auto"/>
              <w:ind w:left="0" w:leftChars="0" w:right="0" w:rightChars="0" w:firstLine="0" w:firstLineChars="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240</w:t>
            </w:r>
          </w:p>
        </w:tc>
        <w:tc>
          <w:tcPr>
            <w:tcW w:w="1708" w:type="pct"/>
            <w:tcBorders>
              <w:tl2br w:val="nil"/>
              <w:tr2bl w:val="nil"/>
            </w:tcBorders>
            <w:noWrap w:val="0"/>
            <w:vAlign w:val="center"/>
          </w:tcPr>
          <w:p w14:paraId="0E5F11F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高度危险，需要立即整改</w:t>
            </w:r>
          </w:p>
        </w:tc>
      </w:tr>
      <w:tr w14:paraId="0E5601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8" w:type="pct"/>
            <w:tcBorders>
              <w:tl2br w:val="nil"/>
              <w:tr2bl w:val="nil"/>
            </w:tcBorders>
            <w:noWrap w:val="0"/>
            <w:vAlign w:val="center"/>
          </w:tcPr>
          <w:p w14:paraId="2D4D960E">
            <w:pPr>
              <w:keepNext w:val="0"/>
              <w:keepLines w:val="0"/>
              <w:pageBreakBefore w:val="0"/>
              <w:widowControl w:val="0"/>
              <w:numPr>
                <w:ilvl w:val="0"/>
                <w:numId w:val="46"/>
              </w:numPr>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sz w:val="24"/>
                <w:szCs w:val="24"/>
                <w:lang w:eastAsia="zh-CN"/>
              </w:rPr>
            </w:pPr>
          </w:p>
        </w:tc>
        <w:tc>
          <w:tcPr>
            <w:tcW w:w="896" w:type="pct"/>
            <w:tcBorders>
              <w:tl2br w:val="nil"/>
              <w:tr2bl w:val="nil"/>
            </w:tcBorders>
            <w:noWrap w:val="0"/>
            <w:vAlign w:val="center"/>
          </w:tcPr>
          <w:p w14:paraId="58D0C8D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sz w:val="24"/>
                <w:szCs w:val="24"/>
              </w:rPr>
            </w:pPr>
            <w:r>
              <w:rPr>
                <w:rFonts w:hint="eastAsia" w:ascii="宋体" w:hAnsi="宋体" w:eastAsia="宋体" w:cs="宋体"/>
                <w:sz w:val="24"/>
                <w:szCs w:val="24"/>
              </w:rPr>
              <w:t>泥石流</w:t>
            </w:r>
          </w:p>
        </w:tc>
        <w:tc>
          <w:tcPr>
            <w:tcW w:w="423" w:type="pct"/>
            <w:tcBorders>
              <w:tl2br w:val="nil"/>
              <w:tr2bl w:val="nil"/>
            </w:tcBorders>
            <w:noWrap w:val="0"/>
            <w:vAlign w:val="center"/>
          </w:tcPr>
          <w:p w14:paraId="34A99F4C">
            <w:pPr>
              <w:spacing w:line="240" w:lineRule="auto"/>
              <w:ind w:left="0" w:leftChars="0" w:right="0" w:rightChars="0" w:firstLine="0" w:firstLineChars="0"/>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3</w:t>
            </w:r>
          </w:p>
        </w:tc>
        <w:tc>
          <w:tcPr>
            <w:tcW w:w="397" w:type="pct"/>
            <w:tcBorders>
              <w:tl2br w:val="nil"/>
              <w:tr2bl w:val="nil"/>
            </w:tcBorders>
            <w:noWrap w:val="0"/>
            <w:vAlign w:val="center"/>
          </w:tcPr>
          <w:p w14:paraId="5ADCFB71">
            <w:pPr>
              <w:spacing w:line="240" w:lineRule="auto"/>
              <w:ind w:left="0" w:leftChars="0" w:right="0" w:rightChars="0" w:firstLine="0" w:firstLineChars="0"/>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2</w:t>
            </w:r>
          </w:p>
        </w:tc>
        <w:tc>
          <w:tcPr>
            <w:tcW w:w="548" w:type="pct"/>
            <w:tcBorders>
              <w:tl2br w:val="nil"/>
              <w:tr2bl w:val="nil"/>
            </w:tcBorders>
            <w:noWrap w:val="0"/>
            <w:vAlign w:val="center"/>
          </w:tcPr>
          <w:p w14:paraId="62BB2387">
            <w:pPr>
              <w:spacing w:line="240" w:lineRule="auto"/>
              <w:ind w:left="0" w:leftChars="0" w:right="0" w:rightChars="0" w:firstLine="0" w:firstLineChars="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15</w:t>
            </w:r>
          </w:p>
        </w:tc>
        <w:tc>
          <w:tcPr>
            <w:tcW w:w="467" w:type="pct"/>
            <w:tcBorders>
              <w:tl2br w:val="nil"/>
              <w:tr2bl w:val="nil"/>
            </w:tcBorders>
            <w:noWrap w:val="0"/>
            <w:vAlign w:val="center"/>
          </w:tcPr>
          <w:p w14:paraId="42E0C79B">
            <w:pPr>
              <w:spacing w:line="240" w:lineRule="auto"/>
              <w:ind w:left="0" w:leftChars="0" w:right="0" w:rightChars="0" w:firstLine="0" w:firstLineChars="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90</w:t>
            </w:r>
          </w:p>
        </w:tc>
        <w:tc>
          <w:tcPr>
            <w:tcW w:w="1708" w:type="pct"/>
            <w:tcBorders>
              <w:tl2br w:val="nil"/>
              <w:tr2bl w:val="nil"/>
            </w:tcBorders>
            <w:noWrap w:val="0"/>
            <w:vAlign w:val="center"/>
          </w:tcPr>
          <w:p w14:paraId="42DA6D7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显著危险，需要整改</w:t>
            </w:r>
          </w:p>
        </w:tc>
      </w:tr>
      <w:tr w14:paraId="690588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8" w:type="pct"/>
            <w:tcBorders>
              <w:tl2br w:val="nil"/>
              <w:tr2bl w:val="nil"/>
            </w:tcBorders>
            <w:noWrap w:val="0"/>
            <w:vAlign w:val="center"/>
          </w:tcPr>
          <w:p w14:paraId="4A0FDFCB">
            <w:pPr>
              <w:keepNext w:val="0"/>
              <w:keepLines w:val="0"/>
              <w:pageBreakBefore w:val="0"/>
              <w:widowControl w:val="0"/>
              <w:numPr>
                <w:ilvl w:val="0"/>
                <w:numId w:val="46"/>
              </w:numPr>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sz w:val="24"/>
                <w:szCs w:val="24"/>
                <w:lang w:eastAsia="zh-CN"/>
              </w:rPr>
            </w:pPr>
          </w:p>
        </w:tc>
        <w:tc>
          <w:tcPr>
            <w:tcW w:w="896" w:type="pct"/>
            <w:tcBorders>
              <w:tl2br w:val="nil"/>
              <w:tr2bl w:val="nil"/>
            </w:tcBorders>
            <w:noWrap w:val="0"/>
            <w:vAlign w:val="center"/>
          </w:tcPr>
          <w:p w14:paraId="067D656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物体打击</w:t>
            </w:r>
          </w:p>
        </w:tc>
        <w:tc>
          <w:tcPr>
            <w:tcW w:w="423" w:type="pct"/>
            <w:tcBorders>
              <w:tl2br w:val="nil"/>
              <w:tr2bl w:val="nil"/>
            </w:tcBorders>
            <w:noWrap w:val="0"/>
            <w:vAlign w:val="center"/>
          </w:tcPr>
          <w:p w14:paraId="36173C0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w:t>
            </w:r>
          </w:p>
        </w:tc>
        <w:tc>
          <w:tcPr>
            <w:tcW w:w="397" w:type="pct"/>
            <w:tcBorders>
              <w:tl2br w:val="nil"/>
              <w:tr2bl w:val="nil"/>
            </w:tcBorders>
            <w:noWrap w:val="0"/>
            <w:vAlign w:val="center"/>
          </w:tcPr>
          <w:p w14:paraId="4A796D2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w:t>
            </w:r>
          </w:p>
        </w:tc>
        <w:tc>
          <w:tcPr>
            <w:tcW w:w="548" w:type="pct"/>
            <w:tcBorders>
              <w:tl2br w:val="nil"/>
              <w:tr2bl w:val="nil"/>
            </w:tcBorders>
            <w:noWrap w:val="0"/>
            <w:vAlign w:val="center"/>
          </w:tcPr>
          <w:p w14:paraId="01B0348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w:t>
            </w:r>
          </w:p>
        </w:tc>
        <w:tc>
          <w:tcPr>
            <w:tcW w:w="467" w:type="pct"/>
            <w:tcBorders>
              <w:tl2br w:val="nil"/>
              <w:tr2bl w:val="nil"/>
            </w:tcBorders>
            <w:noWrap w:val="0"/>
            <w:vAlign w:val="center"/>
          </w:tcPr>
          <w:p w14:paraId="14C179E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54</w:t>
            </w:r>
          </w:p>
        </w:tc>
        <w:tc>
          <w:tcPr>
            <w:tcW w:w="1708" w:type="pct"/>
            <w:tcBorders>
              <w:tl2br w:val="nil"/>
              <w:tr2bl w:val="nil"/>
            </w:tcBorders>
            <w:noWrap w:val="0"/>
            <w:vAlign w:val="center"/>
          </w:tcPr>
          <w:p w14:paraId="31556E5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可能危险，需要注意</w:t>
            </w:r>
          </w:p>
        </w:tc>
      </w:tr>
      <w:tr w14:paraId="1A64A3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8" w:type="pct"/>
            <w:tcBorders>
              <w:tl2br w:val="nil"/>
              <w:tr2bl w:val="nil"/>
            </w:tcBorders>
            <w:noWrap w:val="0"/>
            <w:vAlign w:val="center"/>
          </w:tcPr>
          <w:p w14:paraId="1E49B216">
            <w:pPr>
              <w:keepNext w:val="0"/>
              <w:keepLines w:val="0"/>
              <w:pageBreakBefore w:val="0"/>
              <w:widowControl w:val="0"/>
              <w:numPr>
                <w:ilvl w:val="0"/>
                <w:numId w:val="46"/>
              </w:numPr>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sz w:val="24"/>
                <w:szCs w:val="24"/>
                <w:lang w:eastAsia="zh-CN"/>
              </w:rPr>
            </w:pPr>
          </w:p>
        </w:tc>
        <w:tc>
          <w:tcPr>
            <w:tcW w:w="896" w:type="pct"/>
            <w:tcBorders>
              <w:tl2br w:val="nil"/>
              <w:tr2bl w:val="nil"/>
            </w:tcBorders>
            <w:noWrap w:val="0"/>
            <w:vAlign w:val="center"/>
          </w:tcPr>
          <w:p w14:paraId="4E6A4C3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sz w:val="24"/>
                <w:szCs w:val="24"/>
              </w:rPr>
            </w:pPr>
            <w:r>
              <w:rPr>
                <w:rFonts w:hint="eastAsia" w:ascii="宋体" w:hAnsi="宋体" w:eastAsia="宋体" w:cs="宋体"/>
                <w:sz w:val="24"/>
                <w:szCs w:val="24"/>
              </w:rPr>
              <w:t>车辆伤害</w:t>
            </w:r>
          </w:p>
        </w:tc>
        <w:tc>
          <w:tcPr>
            <w:tcW w:w="423" w:type="pct"/>
            <w:tcBorders>
              <w:tl2br w:val="nil"/>
              <w:tr2bl w:val="nil"/>
            </w:tcBorders>
            <w:noWrap w:val="0"/>
            <w:vAlign w:val="center"/>
          </w:tcPr>
          <w:p w14:paraId="3C422156">
            <w:pPr>
              <w:spacing w:line="240" w:lineRule="auto"/>
              <w:ind w:left="0" w:leftChars="0" w:right="0" w:rightChars="0" w:firstLine="0" w:firstLineChars="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3</w:t>
            </w:r>
          </w:p>
        </w:tc>
        <w:tc>
          <w:tcPr>
            <w:tcW w:w="397" w:type="pct"/>
            <w:tcBorders>
              <w:tl2br w:val="nil"/>
              <w:tr2bl w:val="nil"/>
            </w:tcBorders>
            <w:noWrap w:val="0"/>
            <w:vAlign w:val="center"/>
          </w:tcPr>
          <w:p w14:paraId="453E013B">
            <w:pPr>
              <w:spacing w:line="240" w:lineRule="auto"/>
              <w:ind w:left="0" w:leftChars="0" w:right="0" w:rightChars="0" w:firstLine="0" w:firstLineChars="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6</w:t>
            </w:r>
          </w:p>
        </w:tc>
        <w:tc>
          <w:tcPr>
            <w:tcW w:w="548" w:type="pct"/>
            <w:tcBorders>
              <w:tl2br w:val="nil"/>
              <w:tr2bl w:val="nil"/>
            </w:tcBorders>
            <w:noWrap w:val="0"/>
            <w:vAlign w:val="center"/>
          </w:tcPr>
          <w:p w14:paraId="6456DE94">
            <w:pPr>
              <w:spacing w:line="240" w:lineRule="auto"/>
              <w:ind w:left="0" w:leftChars="0" w:right="0" w:rightChars="0" w:firstLine="0" w:firstLineChars="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7</w:t>
            </w:r>
          </w:p>
        </w:tc>
        <w:tc>
          <w:tcPr>
            <w:tcW w:w="467" w:type="pct"/>
            <w:tcBorders>
              <w:tl2br w:val="nil"/>
              <w:tr2bl w:val="nil"/>
            </w:tcBorders>
            <w:noWrap w:val="0"/>
            <w:vAlign w:val="center"/>
          </w:tcPr>
          <w:p w14:paraId="179EAAFC">
            <w:pPr>
              <w:spacing w:line="240" w:lineRule="auto"/>
              <w:ind w:left="0" w:leftChars="0" w:right="0" w:rightChars="0" w:firstLine="0" w:firstLineChars="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126</w:t>
            </w:r>
          </w:p>
        </w:tc>
        <w:tc>
          <w:tcPr>
            <w:tcW w:w="1708" w:type="pct"/>
            <w:tcBorders>
              <w:tl2br w:val="nil"/>
              <w:tr2bl w:val="nil"/>
            </w:tcBorders>
            <w:noWrap w:val="0"/>
            <w:vAlign w:val="center"/>
          </w:tcPr>
          <w:p w14:paraId="53F1150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显著危险，需要整改</w:t>
            </w:r>
          </w:p>
        </w:tc>
      </w:tr>
      <w:tr w14:paraId="61D2B1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8" w:type="pct"/>
            <w:tcBorders>
              <w:tl2br w:val="nil"/>
              <w:tr2bl w:val="nil"/>
            </w:tcBorders>
            <w:noWrap w:val="0"/>
            <w:vAlign w:val="center"/>
          </w:tcPr>
          <w:p w14:paraId="65540B42">
            <w:pPr>
              <w:keepNext w:val="0"/>
              <w:keepLines w:val="0"/>
              <w:pageBreakBefore w:val="0"/>
              <w:widowControl w:val="0"/>
              <w:numPr>
                <w:ilvl w:val="0"/>
                <w:numId w:val="46"/>
              </w:numPr>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sz w:val="24"/>
                <w:szCs w:val="24"/>
                <w:lang w:eastAsia="zh-CN"/>
              </w:rPr>
            </w:pPr>
          </w:p>
        </w:tc>
        <w:tc>
          <w:tcPr>
            <w:tcW w:w="896" w:type="pct"/>
            <w:tcBorders>
              <w:tl2br w:val="nil"/>
              <w:tr2bl w:val="nil"/>
            </w:tcBorders>
            <w:noWrap w:val="0"/>
            <w:vAlign w:val="center"/>
          </w:tcPr>
          <w:p w14:paraId="7F21A80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机械伤害</w:t>
            </w:r>
          </w:p>
        </w:tc>
        <w:tc>
          <w:tcPr>
            <w:tcW w:w="423" w:type="pct"/>
            <w:tcBorders>
              <w:tl2br w:val="nil"/>
              <w:tr2bl w:val="nil"/>
            </w:tcBorders>
            <w:noWrap w:val="0"/>
            <w:vAlign w:val="center"/>
          </w:tcPr>
          <w:p w14:paraId="5DEA888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397" w:type="pct"/>
            <w:tcBorders>
              <w:tl2br w:val="nil"/>
              <w:tr2bl w:val="nil"/>
            </w:tcBorders>
            <w:noWrap w:val="0"/>
            <w:vAlign w:val="center"/>
          </w:tcPr>
          <w:p w14:paraId="722FDEE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w:t>
            </w:r>
          </w:p>
        </w:tc>
        <w:tc>
          <w:tcPr>
            <w:tcW w:w="548" w:type="pct"/>
            <w:tcBorders>
              <w:tl2br w:val="nil"/>
              <w:tr2bl w:val="nil"/>
            </w:tcBorders>
            <w:noWrap w:val="0"/>
            <w:vAlign w:val="center"/>
          </w:tcPr>
          <w:p w14:paraId="5D9756F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467" w:type="pct"/>
            <w:tcBorders>
              <w:tl2br w:val="nil"/>
              <w:tr2bl w:val="nil"/>
            </w:tcBorders>
            <w:noWrap w:val="0"/>
            <w:vAlign w:val="center"/>
          </w:tcPr>
          <w:p w14:paraId="6905EFC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54</w:t>
            </w:r>
          </w:p>
        </w:tc>
        <w:tc>
          <w:tcPr>
            <w:tcW w:w="1708" w:type="pct"/>
            <w:tcBorders>
              <w:tl2br w:val="nil"/>
              <w:tr2bl w:val="nil"/>
            </w:tcBorders>
            <w:noWrap w:val="0"/>
            <w:vAlign w:val="center"/>
          </w:tcPr>
          <w:p w14:paraId="50F2D43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rPr>
              <w:t>可能危险，需要注意</w:t>
            </w:r>
          </w:p>
        </w:tc>
      </w:tr>
      <w:tr w14:paraId="11CE93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8" w:type="pct"/>
            <w:tcBorders>
              <w:tl2br w:val="nil"/>
              <w:tr2bl w:val="nil"/>
            </w:tcBorders>
            <w:noWrap w:val="0"/>
            <w:vAlign w:val="center"/>
          </w:tcPr>
          <w:p w14:paraId="63382D6C">
            <w:pPr>
              <w:keepNext w:val="0"/>
              <w:keepLines w:val="0"/>
              <w:pageBreakBefore w:val="0"/>
              <w:widowControl w:val="0"/>
              <w:numPr>
                <w:ilvl w:val="0"/>
                <w:numId w:val="46"/>
              </w:numPr>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sz w:val="24"/>
                <w:szCs w:val="24"/>
                <w:lang w:val="en-US" w:eastAsia="zh-CN"/>
              </w:rPr>
            </w:pPr>
          </w:p>
        </w:tc>
        <w:tc>
          <w:tcPr>
            <w:tcW w:w="896" w:type="pct"/>
            <w:tcBorders>
              <w:tl2br w:val="nil"/>
              <w:tr2bl w:val="nil"/>
            </w:tcBorders>
            <w:noWrap w:val="0"/>
            <w:vAlign w:val="center"/>
          </w:tcPr>
          <w:p w14:paraId="4B00E47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rPr>
              <w:t>触电</w:t>
            </w:r>
          </w:p>
        </w:tc>
        <w:tc>
          <w:tcPr>
            <w:tcW w:w="423" w:type="pct"/>
            <w:tcBorders>
              <w:tl2br w:val="nil"/>
              <w:tr2bl w:val="nil"/>
            </w:tcBorders>
            <w:noWrap w:val="0"/>
            <w:vAlign w:val="center"/>
          </w:tcPr>
          <w:p w14:paraId="72B7615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397" w:type="pct"/>
            <w:tcBorders>
              <w:tl2br w:val="nil"/>
              <w:tr2bl w:val="nil"/>
            </w:tcBorders>
            <w:noWrap w:val="0"/>
            <w:vAlign w:val="center"/>
          </w:tcPr>
          <w:p w14:paraId="506D43A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548" w:type="pct"/>
            <w:tcBorders>
              <w:tl2br w:val="nil"/>
              <w:tr2bl w:val="nil"/>
            </w:tcBorders>
            <w:noWrap w:val="0"/>
            <w:vAlign w:val="center"/>
          </w:tcPr>
          <w:p w14:paraId="1F0E5FB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15</w:t>
            </w:r>
          </w:p>
        </w:tc>
        <w:tc>
          <w:tcPr>
            <w:tcW w:w="467" w:type="pct"/>
            <w:tcBorders>
              <w:tl2br w:val="nil"/>
              <w:tr2bl w:val="nil"/>
            </w:tcBorders>
            <w:noWrap w:val="0"/>
            <w:vAlign w:val="center"/>
          </w:tcPr>
          <w:p w14:paraId="3E81DC1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45</w:t>
            </w:r>
          </w:p>
        </w:tc>
        <w:tc>
          <w:tcPr>
            <w:tcW w:w="1708" w:type="pct"/>
            <w:tcBorders>
              <w:tl2br w:val="nil"/>
              <w:tr2bl w:val="nil"/>
            </w:tcBorders>
            <w:noWrap w:val="0"/>
            <w:vAlign w:val="center"/>
          </w:tcPr>
          <w:p w14:paraId="4720A5C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可能危险，需要注意</w:t>
            </w:r>
          </w:p>
        </w:tc>
      </w:tr>
      <w:tr w14:paraId="33500C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8" w:type="pct"/>
            <w:tcBorders>
              <w:tl2br w:val="nil"/>
              <w:tr2bl w:val="nil"/>
            </w:tcBorders>
            <w:noWrap w:val="0"/>
            <w:vAlign w:val="center"/>
          </w:tcPr>
          <w:p w14:paraId="37C81CDD">
            <w:pPr>
              <w:keepNext w:val="0"/>
              <w:keepLines w:val="0"/>
              <w:pageBreakBefore w:val="0"/>
              <w:widowControl w:val="0"/>
              <w:numPr>
                <w:ilvl w:val="0"/>
                <w:numId w:val="46"/>
              </w:numPr>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sz w:val="24"/>
                <w:szCs w:val="24"/>
                <w:lang w:val="en-US" w:eastAsia="zh-CN"/>
              </w:rPr>
            </w:pPr>
          </w:p>
        </w:tc>
        <w:tc>
          <w:tcPr>
            <w:tcW w:w="896" w:type="pct"/>
            <w:tcBorders>
              <w:tl2br w:val="nil"/>
              <w:tr2bl w:val="nil"/>
            </w:tcBorders>
            <w:noWrap w:val="0"/>
            <w:vAlign w:val="center"/>
          </w:tcPr>
          <w:p w14:paraId="5A8E98B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rPr>
              <w:t>淹溺</w:t>
            </w:r>
          </w:p>
        </w:tc>
        <w:tc>
          <w:tcPr>
            <w:tcW w:w="423" w:type="pct"/>
            <w:tcBorders>
              <w:tl2br w:val="nil"/>
              <w:tr2bl w:val="nil"/>
            </w:tcBorders>
            <w:noWrap w:val="0"/>
            <w:vAlign w:val="center"/>
          </w:tcPr>
          <w:p w14:paraId="7C19FEA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397" w:type="pct"/>
            <w:tcBorders>
              <w:tl2br w:val="nil"/>
              <w:tr2bl w:val="nil"/>
            </w:tcBorders>
            <w:noWrap w:val="0"/>
            <w:vAlign w:val="center"/>
          </w:tcPr>
          <w:p w14:paraId="0DEE876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548" w:type="pct"/>
            <w:tcBorders>
              <w:tl2br w:val="nil"/>
              <w:tr2bl w:val="nil"/>
            </w:tcBorders>
            <w:noWrap w:val="0"/>
            <w:vAlign w:val="center"/>
          </w:tcPr>
          <w:p w14:paraId="28C3999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w:t>
            </w:r>
          </w:p>
        </w:tc>
        <w:tc>
          <w:tcPr>
            <w:tcW w:w="467" w:type="pct"/>
            <w:tcBorders>
              <w:tl2br w:val="nil"/>
              <w:tr2bl w:val="nil"/>
            </w:tcBorders>
            <w:noWrap w:val="0"/>
            <w:vAlign w:val="center"/>
          </w:tcPr>
          <w:p w14:paraId="46DDC6D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21</w:t>
            </w:r>
          </w:p>
        </w:tc>
        <w:tc>
          <w:tcPr>
            <w:tcW w:w="1708" w:type="pct"/>
            <w:tcBorders>
              <w:tl2br w:val="nil"/>
              <w:tr2bl w:val="nil"/>
            </w:tcBorders>
            <w:noWrap w:val="0"/>
            <w:vAlign w:val="center"/>
          </w:tcPr>
          <w:p w14:paraId="18C26C2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可能危险，需要注意</w:t>
            </w:r>
          </w:p>
        </w:tc>
      </w:tr>
      <w:tr w14:paraId="7C0C38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8" w:type="pct"/>
            <w:tcBorders>
              <w:tl2br w:val="nil"/>
              <w:tr2bl w:val="nil"/>
            </w:tcBorders>
            <w:noWrap w:val="0"/>
            <w:vAlign w:val="center"/>
          </w:tcPr>
          <w:p w14:paraId="6B13EA9A">
            <w:pPr>
              <w:keepNext w:val="0"/>
              <w:keepLines w:val="0"/>
              <w:pageBreakBefore w:val="0"/>
              <w:widowControl w:val="0"/>
              <w:numPr>
                <w:ilvl w:val="0"/>
                <w:numId w:val="46"/>
              </w:numPr>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sz w:val="24"/>
                <w:szCs w:val="24"/>
                <w:lang w:val="en-US" w:eastAsia="zh-CN"/>
              </w:rPr>
            </w:pPr>
          </w:p>
        </w:tc>
        <w:tc>
          <w:tcPr>
            <w:tcW w:w="896" w:type="pct"/>
            <w:tcBorders>
              <w:tl2br w:val="nil"/>
              <w:tr2bl w:val="nil"/>
            </w:tcBorders>
            <w:noWrap w:val="0"/>
            <w:vAlign w:val="center"/>
          </w:tcPr>
          <w:p w14:paraId="25FC239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rPr>
              <w:t>火灾</w:t>
            </w:r>
          </w:p>
        </w:tc>
        <w:tc>
          <w:tcPr>
            <w:tcW w:w="423" w:type="pct"/>
            <w:tcBorders>
              <w:tl2br w:val="nil"/>
              <w:tr2bl w:val="nil"/>
            </w:tcBorders>
            <w:noWrap w:val="0"/>
            <w:vAlign w:val="center"/>
          </w:tcPr>
          <w:p w14:paraId="7A4D08B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397" w:type="pct"/>
            <w:tcBorders>
              <w:tl2br w:val="nil"/>
              <w:tr2bl w:val="nil"/>
            </w:tcBorders>
            <w:noWrap w:val="0"/>
            <w:vAlign w:val="center"/>
          </w:tcPr>
          <w:p w14:paraId="14E87A4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548" w:type="pct"/>
            <w:tcBorders>
              <w:tl2br w:val="nil"/>
              <w:tr2bl w:val="nil"/>
            </w:tcBorders>
            <w:noWrap w:val="0"/>
            <w:vAlign w:val="center"/>
          </w:tcPr>
          <w:p w14:paraId="7AB13AEF">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w:t>
            </w:r>
          </w:p>
        </w:tc>
        <w:tc>
          <w:tcPr>
            <w:tcW w:w="467" w:type="pct"/>
            <w:tcBorders>
              <w:tl2br w:val="nil"/>
              <w:tr2bl w:val="nil"/>
            </w:tcBorders>
            <w:noWrap w:val="0"/>
            <w:vAlign w:val="center"/>
          </w:tcPr>
          <w:p w14:paraId="2343C11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21</w:t>
            </w:r>
          </w:p>
        </w:tc>
        <w:tc>
          <w:tcPr>
            <w:tcW w:w="1708" w:type="pct"/>
            <w:tcBorders>
              <w:tl2br w:val="nil"/>
              <w:tr2bl w:val="nil"/>
            </w:tcBorders>
            <w:noWrap w:val="0"/>
            <w:vAlign w:val="center"/>
          </w:tcPr>
          <w:p w14:paraId="13D3A60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可能危险，需要注意</w:t>
            </w:r>
          </w:p>
        </w:tc>
      </w:tr>
      <w:tr w14:paraId="44070C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8" w:type="pct"/>
            <w:tcBorders>
              <w:tl2br w:val="nil"/>
              <w:tr2bl w:val="nil"/>
            </w:tcBorders>
            <w:noWrap w:val="0"/>
            <w:vAlign w:val="center"/>
          </w:tcPr>
          <w:p w14:paraId="55F814D0">
            <w:pPr>
              <w:keepNext w:val="0"/>
              <w:keepLines w:val="0"/>
              <w:pageBreakBefore w:val="0"/>
              <w:widowControl w:val="0"/>
              <w:numPr>
                <w:ilvl w:val="0"/>
                <w:numId w:val="46"/>
              </w:numPr>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sz w:val="24"/>
                <w:szCs w:val="24"/>
                <w:lang w:val="en-US" w:eastAsia="zh-CN"/>
              </w:rPr>
            </w:pPr>
          </w:p>
        </w:tc>
        <w:tc>
          <w:tcPr>
            <w:tcW w:w="896" w:type="pct"/>
            <w:tcBorders>
              <w:tl2br w:val="nil"/>
              <w:tr2bl w:val="nil"/>
            </w:tcBorders>
            <w:noWrap w:val="0"/>
            <w:vAlign w:val="center"/>
          </w:tcPr>
          <w:p w14:paraId="3A2EBBF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rPr>
              <w:t>高处坠落</w:t>
            </w:r>
          </w:p>
        </w:tc>
        <w:tc>
          <w:tcPr>
            <w:tcW w:w="423" w:type="pct"/>
            <w:tcBorders>
              <w:tl2br w:val="nil"/>
              <w:tr2bl w:val="nil"/>
            </w:tcBorders>
            <w:noWrap w:val="0"/>
            <w:vAlign w:val="center"/>
          </w:tcPr>
          <w:p w14:paraId="115034B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397" w:type="pct"/>
            <w:tcBorders>
              <w:tl2br w:val="nil"/>
              <w:tr2bl w:val="nil"/>
            </w:tcBorders>
            <w:noWrap w:val="0"/>
            <w:vAlign w:val="center"/>
          </w:tcPr>
          <w:p w14:paraId="744EC2C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548" w:type="pct"/>
            <w:tcBorders>
              <w:tl2br w:val="nil"/>
              <w:tr2bl w:val="nil"/>
            </w:tcBorders>
            <w:noWrap w:val="0"/>
            <w:vAlign w:val="center"/>
          </w:tcPr>
          <w:p w14:paraId="5260C81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15</w:t>
            </w:r>
          </w:p>
        </w:tc>
        <w:tc>
          <w:tcPr>
            <w:tcW w:w="467" w:type="pct"/>
            <w:tcBorders>
              <w:tl2br w:val="nil"/>
              <w:tr2bl w:val="nil"/>
            </w:tcBorders>
            <w:noWrap w:val="0"/>
            <w:vAlign w:val="center"/>
          </w:tcPr>
          <w:p w14:paraId="3C39E63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90</w:t>
            </w:r>
          </w:p>
        </w:tc>
        <w:tc>
          <w:tcPr>
            <w:tcW w:w="1708" w:type="pct"/>
            <w:tcBorders>
              <w:tl2br w:val="nil"/>
              <w:tr2bl w:val="nil"/>
            </w:tcBorders>
            <w:noWrap w:val="0"/>
            <w:vAlign w:val="center"/>
          </w:tcPr>
          <w:p w14:paraId="14C21CC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显著危险，需要整改</w:t>
            </w:r>
          </w:p>
        </w:tc>
      </w:tr>
      <w:tr w14:paraId="4C5731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8" w:type="pct"/>
            <w:tcBorders>
              <w:tl2br w:val="nil"/>
              <w:tr2bl w:val="nil"/>
            </w:tcBorders>
            <w:noWrap w:val="0"/>
            <w:vAlign w:val="center"/>
          </w:tcPr>
          <w:p w14:paraId="4605983B">
            <w:pPr>
              <w:keepNext w:val="0"/>
              <w:keepLines w:val="0"/>
              <w:pageBreakBefore w:val="0"/>
              <w:widowControl w:val="0"/>
              <w:numPr>
                <w:ilvl w:val="0"/>
                <w:numId w:val="46"/>
              </w:numPr>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sz w:val="24"/>
                <w:szCs w:val="24"/>
                <w:lang w:val="en-US" w:eastAsia="zh-CN"/>
              </w:rPr>
            </w:pPr>
          </w:p>
        </w:tc>
        <w:tc>
          <w:tcPr>
            <w:tcW w:w="896" w:type="pct"/>
            <w:tcBorders>
              <w:tl2br w:val="nil"/>
              <w:tr2bl w:val="nil"/>
            </w:tcBorders>
            <w:noWrap w:val="0"/>
            <w:vAlign w:val="center"/>
          </w:tcPr>
          <w:p w14:paraId="2E99CDD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rPr>
              <w:t>粉尘</w:t>
            </w:r>
          </w:p>
        </w:tc>
        <w:tc>
          <w:tcPr>
            <w:tcW w:w="423" w:type="pct"/>
            <w:tcBorders>
              <w:tl2br w:val="nil"/>
              <w:tr2bl w:val="nil"/>
            </w:tcBorders>
            <w:noWrap w:val="0"/>
            <w:vAlign w:val="center"/>
          </w:tcPr>
          <w:p w14:paraId="0AB9A726">
            <w:pPr>
              <w:spacing w:line="240" w:lineRule="auto"/>
              <w:ind w:left="0" w:leftChars="0" w:right="0" w:rightChars="0" w:firstLine="0" w:firstLineChars="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10</w:t>
            </w:r>
          </w:p>
        </w:tc>
        <w:tc>
          <w:tcPr>
            <w:tcW w:w="397" w:type="pct"/>
            <w:tcBorders>
              <w:tl2br w:val="nil"/>
              <w:tr2bl w:val="nil"/>
            </w:tcBorders>
            <w:noWrap w:val="0"/>
            <w:vAlign w:val="center"/>
          </w:tcPr>
          <w:p w14:paraId="3260C2EC">
            <w:pPr>
              <w:spacing w:line="240" w:lineRule="auto"/>
              <w:ind w:left="0" w:leftChars="0" w:right="0" w:rightChars="0" w:firstLine="0" w:firstLineChars="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6</w:t>
            </w:r>
          </w:p>
        </w:tc>
        <w:tc>
          <w:tcPr>
            <w:tcW w:w="548" w:type="pct"/>
            <w:tcBorders>
              <w:tl2br w:val="nil"/>
              <w:tr2bl w:val="nil"/>
            </w:tcBorders>
            <w:noWrap w:val="0"/>
            <w:vAlign w:val="center"/>
          </w:tcPr>
          <w:p w14:paraId="6DFBEF90">
            <w:pPr>
              <w:spacing w:line="240" w:lineRule="auto"/>
              <w:ind w:left="0" w:leftChars="0" w:right="0" w:rightChars="0" w:firstLine="0" w:firstLineChars="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1</w:t>
            </w:r>
          </w:p>
        </w:tc>
        <w:tc>
          <w:tcPr>
            <w:tcW w:w="467" w:type="pct"/>
            <w:tcBorders>
              <w:tl2br w:val="nil"/>
              <w:tr2bl w:val="nil"/>
            </w:tcBorders>
            <w:noWrap w:val="0"/>
            <w:vAlign w:val="center"/>
          </w:tcPr>
          <w:p w14:paraId="5A6E939A">
            <w:pPr>
              <w:spacing w:line="240" w:lineRule="auto"/>
              <w:ind w:left="0" w:leftChars="0" w:right="0" w:rightChars="0" w:firstLine="0" w:firstLineChars="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60</w:t>
            </w:r>
          </w:p>
        </w:tc>
        <w:tc>
          <w:tcPr>
            <w:tcW w:w="1708" w:type="pct"/>
            <w:tcBorders>
              <w:tl2br w:val="nil"/>
              <w:tr2bl w:val="nil"/>
            </w:tcBorders>
            <w:noWrap w:val="0"/>
            <w:vAlign w:val="center"/>
          </w:tcPr>
          <w:p w14:paraId="6587EA1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可能危险，需要注意</w:t>
            </w:r>
          </w:p>
        </w:tc>
      </w:tr>
      <w:tr w14:paraId="625CAB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8" w:type="pct"/>
            <w:tcBorders>
              <w:tl2br w:val="nil"/>
              <w:tr2bl w:val="nil"/>
            </w:tcBorders>
            <w:noWrap w:val="0"/>
            <w:vAlign w:val="center"/>
          </w:tcPr>
          <w:p w14:paraId="0F3EF3DC">
            <w:pPr>
              <w:keepNext w:val="0"/>
              <w:keepLines w:val="0"/>
              <w:pageBreakBefore w:val="0"/>
              <w:widowControl w:val="0"/>
              <w:numPr>
                <w:ilvl w:val="0"/>
                <w:numId w:val="46"/>
              </w:numPr>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sz w:val="24"/>
                <w:szCs w:val="24"/>
                <w:lang w:val="en-US" w:eastAsia="zh-CN"/>
              </w:rPr>
            </w:pPr>
          </w:p>
        </w:tc>
        <w:tc>
          <w:tcPr>
            <w:tcW w:w="896" w:type="pct"/>
            <w:tcBorders>
              <w:tl2br w:val="nil"/>
              <w:tr2bl w:val="nil"/>
            </w:tcBorders>
            <w:noWrap w:val="0"/>
            <w:vAlign w:val="center"/>
          </w:tcPr>
          <w:p w14:paraId="7814CB9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rPr>
              <w:t>噪声</w:t>
            </w:r>
          </w:p>
        </w:tc>
        <w:tc>
          <w:tcPr>
            <w:tcW w:w="423" w:type="pct"/>
            <w:tcBorders>
              <w:tl2br w:val="nil"/>
              <w:tr2bl w:val="nil"/>
            </w:tcBorders>
            <w:noWrap w:val="0"/>
            <w:vAlign w:val="center"/>
          </w:tcPr>
          <w:p w14:paraId="247CCD7E">
            <w:pPr>
              <w:spacing w:line="240" w:lineRule="auto"/>
              <w:ind w:left="0" w:leftChars="0" w:right="0" w:rightChars="0" w:firstLine="0" w:firstLineChars="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10</w:t>
            </w:r>
          </w:p>
        </w:tc>
        <w:tc>
          <w:tcPr>
            <w:tcW w:w="397" w:type="pct"/>
            <w:tcBorders>
              <w:tl2br w:val="nil"/>
              <w:tr2bl w:val="nil"/>
            </w:tcBorders>
            <w:noWrap w:val="0"/>
            <w:vAlign w:val="center"/>
          </w:tcPr>
          <w:p w14:paraId="1EC0DA7D">
            <w:pPr>
              <w:spacing w:line="240" w:lineRule="auto"/>
              <w:ind w:left="0" w:leftChars="0" w:right="0" w:rightChars="0" w:firstLine="0" w:firstLineChars="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6</w:t>
            </w:r>
          </w:p>
        </w:tc>
        <w:tc>
          <w:tcPr>
            <w:tcW w:w="548" w:type="pct"/>
            <w:tcBorders>
              <w:tl2br w:val="nil"/>
              <w:tr2bl w:val="nil"/>
            </w:tcBorders>
            <w:noWrap w:val="0"/>
            <w:vAlign w:val="center"/>
          </w:tcPr>
          <w:p w14:paraId="43DAADEB">
            <w:pPr>
              <w:spacing w:line="240" w:lineRule="auto"/>
              <w:ind w:left="0" w:leftChars="0" w:right="0" w:rightChars="0" w:firstLine="0" w:firstLineChars="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1</w:t>
            </w:r>
          </w:p>
        </w:tc>
        <w:tc>
          <w:tcPr>
            <w:tcW w:w="467" w:type="pct"/>
            <w:tcBorders>
              <w:tl2br w:val="nil"/>
              <w:tr2bl w:val="nil"/>
            </w:tcBorders>
            <w:noWrap w:val="0"/>
            <w:vAlign w:val="center"/>
          </w:tcPr>
          <w:p w14:paraId="10DFD0FF">
            <w:pPr>
              <w:spacing w:line="240" w:lineRule="auto"/>
              <w:ind w:left="0" w:leftChars="0" w:right="0" w:rightChars="0" w:firstLine="0" w:firstLineChars="0"/>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60</w:t>
            </w:r>
          </w:p>
        </w:tc>
        <w:tc>
          <w:tcPr>
            <w:tcW w:w="1708" w:type="pct"/>
            <w:tcBorders>
              <w:tl2br w:val="nil"/>
              <w:tr2bl w:val="nil"/>
            </w:tcBorders>
            <w:noWrap w:val="0"/>
            <w:vAlign w:val="center"/>
          </w:tcPr>
          <w:p w14:paraId="48C6B9C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可能危险，需要注意</w:t>
            </w:r>
          </w:p>
        </w:tc>
      </w:tr>
    </w:tbl>
    <w:p w14:paraId="00E2FFC3">
      <w:pPr>
        <w:pStyle w:val="4"/>
        <w:bidi w:val="0"/>
      </w:pPr>
      <w:bookmarkStart w:id="175" w:name="_Toc19142"/>
      <w:r>
        <w:rPr>
          <w:rFonts w:hint="eastAsia"/>
        </w:rPr>
        <w:t>安全检查表分析评价</w:t>
      </w:r>
      <w:bookmarkEnd w:id="175"/>
    </w:p>
    <w:p w14:paraId="3CDC6F3E">
      <w:pPr>
        <w:bidi w:val="0"/>
        <w:rPr>
          <w:rFonts w:hint="eastAsia" w:ascii="宋体" w:hAnsi="宋体" w:eastAsia="宋体" w:cs="宋体"/>
        </w:rPr>
      </w:pPr>
      <w:r>
        <w:rPr>
          <w:rFonts w:hint="eastAsia" w:ascii="宋体" w:hAnsi="宋体" w:eastAsia="宋体" w:cs="宋体"/>
        </w:rPr>
        <w:t>根据</w:t>
      </w:r>
      <w:r>
        <w:rPr>
          <w:rFonts w:hint="eastAsia" w:ascii="宋体" w:hAnsi="宋体" w:eastAsia="宋体" w:cs="宋体"/>
          <w:lang w:val="en-US" w:eastAsia="zh-CN"/>
        </w:rPr>
        <w:t>《金属非金属矿山安全规程》(GB16423-2020)、</w:t>
      </w:r>
      <w:r>
        <w:rPr>
          <w:rFonts w:hint="eastAsia" w:ascii="宋体" w:hAnsi="宋体" w:eastAsia="宋体" w:cs="宋体"/>
        </w:rPr>
        <w:t>《工业企业总平面设计规范》（GB 50187-2012）</w:t>
      </w:r>
      <w:r>
        <w:rPr>
          <w:rFonts w:hint="eastAsia" w:ascii="宋体" w:hAnsi="宋体" w:eastAsia="宋体" w:cs="宋体"/>
          <w:lang w:val="en-US" w:eastAsia="zh-CN"/>
        </w:rPr>
        <w:t>、</w:t>
      </w:r>
      <w:r>
        <w:rPr>
          <w:rFonts w:hint="eastAsia" w:ascii="宋体" w:hAnsi="宋体" w:eastAsia="宋体" w:cs="宋体"/>
        </w:rPr>
        <w:t>《工业企业设计卫生标准》</w:t>
      </w:r>
      <w:r>
        <w:rPr>
          <w:rFonts w:hint="eastAsia" w:ascii="宋体" w:hAnsi="宋体" w:cs="宋体"/>
          <w:lang w:eastAsia="zh-CN"/>
        </w:rPr>
        <w:t>（</w:t>
      </w:r>
      <w:r>
        <w:rPr>
          <w:rFonts w:hint="eastAsia" w:ascii="宋体" w:hAnsi="宋体" w:eastAsia="宋体" w:cs="宋体"/>
        </w:rPr>
        <w:t>GBZ1</w:t>
      </w:r>
      <w:r>
        <w:rPr>
          <w:rFonts w:hint="eastAsia" w:ascii="宋体" w:hAnsi="宋体" w:eastAsia="宋体" w:cs="宋体"/>
          <w:lang w:val="en-US" w:eastAsia="zh-CN"/>
        </w:rPr>
        <w:t>-</w:t>
      </w:r>
      <w:r>
        <w:rPr>
          <w:rFonts w:hint="eastAsia" w:ascii="宋体" w:hAnsi="宋体" w:eastAsia="宋体" w:cs="宋体"/>
        </w:rPr>
        <w:t>20</w:t>
      </w:r>
      <w:r>
        <w:rPr>
          <w:rFonts w:hint="eastAsia" w:ascii="宋体" w:hAnsi="宋体" w:eastAsia="宋体" w:cs="宋体"/>
          <w:lang w:val="en-US" w:eastAsia="zh-CN"/>
        </w:rPr>
        <w:t>10</w:t>
      </w:r>
      <w:r>
        <w:rPr>
          <w:rFonts w:hint="eastAsia" w:ascii="宋体" w:hAnsi="宋体" w:cs="宋体"/>
          <w:lang w:val="en-US" w:eastAsia="zh-CN"/>
        </w:rPr>
        <w:t>）、</w:t>
      </w:r>
      <w:r>
        <w:rPr>
          <w:rFonts w:hint="eastAsia" w:ascii="宋体" w:hAnsi="宋体" w:eastAsia="宋体" w:cs="宋体"/>
        </w:rPr>
        <w:t>《小型露天采石场安全管理与监督检查规定》（原国家安全监管总局令78号修正）中的相关内容对项目</w:t>
      </w:r>
      <w:r>
        <w:rPr>
          <w:rFonts w:hint="eastAsia" w:ascii="宋体" w:hAnsi="宋体" w:eastAsia="宋体" w:cs="宋体"/>
          <w:lang w:val="en-US" w:eastAsia="zh-CN"/>
        </w:rPr>
        <w:t>总平面布置</w:t>
      </w:r>
      <w:r>
        <w:rPr>
          <w:rFonts w:hint="eastAsia" w:ascii="宋体" w:hAnsi="宋体" w:eastAsia="宋体" w:cs="宋体"/>
        </w:rPr>
        <w:t>进行对照检查。</w:t>
      </w:r>
    </w:p>
    <w:p w14:paraId="34AB105C">
      <w:pPr>
        <w:pStyle w:val="11"/>
        <w:ind w:left="0" w:leftChars="0" w:firstLine="0" w:firstLineChars="0"/>
        <w:jc w:val="center"/>
        <w:rPr>
          <w:rFonts w:hint="eastAsia" w:eastAsia="宋体"/>
          <w:lang w:eastAsia="zh-CN"/>
        </w:rPr>
      </w:pPr>
      <w:r>
        <w:t xml:space="preserve">表 </w:t>
      </w:r>
      <w:r>
        <w:fldChar w:fldCharType="begin"/>
      </w:r>
      <w:r>
        <w:instrText xml:space="preserve"> STYLEREF 1 \s </w:instrText>
      </w:r>
      <w:r>
        <w:fldChar w:fldCharType="separate"/>
      </w:r>
      <w:r>
        <w:t>3</w:t>
      </w:r>
      <w:r>
        <w:fldChar w:fldCharType="end"/>
      </w:r>
      <w:r>
        <w:rPr>
          <w:rFonts w:hint="eastAsia"/>
          <w:lang w:eastAsia="zh-CN"/>
        </w:rPr>
        <w:t>-</w:t>
      </w:r>
      <w:r>
        <w:fldChar w:fldCharType="begin"/>
      </w:r>
      <w:r>
        <w:instrText xml:space="preserve"> SEQ 表 \* ARABIC \s 1 </w:instrText>
      </w:r>
      <w:r>
        <w:fldChar w:fldCharType="separate"/>
      </w:r>
      <w:r>
        <w:t>9</w:t>
      </w:r>
      <w:r>
        <w:fldChar w:fldCharType="end"/>
      </w:r>
      <w:r>
        <w:rPr>
          <w:rFonts w:hint="eastAsia"/>
          <w:lang w:eastAsia="zh-CN"/>
        </w:rPr>
        <w:t xml:space="preserve"> 总平面布置安全检查表</w:t>
      </w:r>
    </w:p>
    <w:tbl>
      <w:tblPr>
        <w:tblStyle w:val="29"/>
        <w:tblW w:w="4883" w:type="pct"/>
        <w:tblInd w:w="10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08"/>
        <w:gridCol w:w="4121"/>
        <w:gridCol w:w="1991"/>
        <w:gridCol w:w="1621"/>
        <w:gridCol w:w="664"/>
      </w:tblGrid>
      <w:tr w14:paraId="1C0F92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85" w:type="pct"/>
            <w:tcBorders>
              <w:tl2br w:val="nil"/>
              <w:tr2bl w:val="nil"/>
            </w:tcBorders>
            <w:noWrap w:val="0"/>
            <w:vAlign w:val="center"/>
          </w:tcPr>
          <w:p w14:paraId="62614F5A">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序号</w:t>
            </w:r>
          </w:p>
        </w:tc>
        <w:tc>
          <w:tcPr>
            <w:tcW w:w="2314" w:type="pct"/>
            <w:tcBorders>
              <w:tl2br w:val="nil"/>
              <w:tr2bl w:val="nil"/>
            </w:tcBorders>
            <w:noWrap w:val="0"/>
            <w:vAlign w:val="center"/>
          </w:tcPr>
          <w:p w14:paraId="718691D6">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检查项目</w:t>
            </w:r>
          </w:p>
        </w:tc>
        <w:tc>
          <w:tcPr>
            <w:tcW w:w="1118" w:type="pct"/>
            <w:tcBorders>
              <w:tl2br w:val="nil"/>
              <w:tr2bl w:val="nil"/>
            </w:tcBorders>
            <w:noWrap w:val="0"/>
            <w:vAlign w:val="center"/>
          </w:tcPr>
          <w:p w14:paraId="2CCF83D7">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检查依据</w:t>
            </w:r>
          </w:p>
        </w:tc>
        <w:tc>
          <w:tcPr>
            <w:tcW w:w="910" w:type="pct"/>
            <w:tcBorders>
              <w:tl2br w:val="nil"/>
              <w:tr2bl w:val="nil"/>
            </w:tcBorders>
            <w:noWrap w:val="0"/>
            <w:vAlign w:val="center"/>
          </w:tcPr>
          <w:p w14:paraId="5A0937C0">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spacing w:val="4"/>
                <w:kern w:val="10"/>
                <w:position w:val="2"/>
                <w:sz w:val="21"/>
                <w:szCs w:val="21"/>
              </w:rPr>
            </w:pPr>
            <w:r>
              <w:rPr>
                <w:rFonts w:hint="eastAsia" w:ascii="宋体" w:hAnsi="宋体" w:eastAsia="宋体" w:cs="宋体"/>
                <w:b/>
                <w:spacing w:val="4"/>
                <w:kern w:val="10"/>
                <w:position w:val="2"/>
                <w:sz w:val="21"/>
                <w:szCs w:val="21"/>
              </w:rPr>
              <w:t>设计检查情况</w:t>
            </w:r>
          </w:p>
        </w:tc>
        <w:tc>
          <w:tcPr>
            <w:tcW w:w="371" w:type="pct"/>
            <w:tcBorders>
              <w:tl2br w:val="nil"/>
              <w:tr2bl w:val="nil"/>
            </w:tcBorders>
            <w:noWrap w:val="0"/>
            <w:vAlign w:val="center"/>
          </w:tcPr>
          <w:p w14:paraId="325490D0">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检查结果</w:t>
            </w:r>
          </w:p>
        </w:tc>
      </w:tr>
      <w:tr w14:paraId="1BD53B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5"/>
            <w:tcBorders>
              <w:tl2br w:val="nil"/>
              <w:tr2bl w:val="nil"/>
            </w:tcBorders>
            <w:noWrap w:val="0"/>
            <w:vAlign w:val="center"/>
          </w:tcPr>
          <w:p w14:paraId="023BF5E0">
            <w:pPr>
              <w:keepNext w:val="0"/>
              <w:keepLines w:val="0"/>
              <w:pageBreakBefore w:val="0"/>
              <w:widowControl w:val="0"/>
              <w:numPr>
                <w:ilvl w:val="0"/>
                <w:numId w:val="47"/>
              </w:numPr>
              <w:kinsoku/>
              <w:wordWrap/>
              <w:overflowPunct/>
              <w:topLinePunct w:val="0"/>
              <w:autoSpaceDE/>
              <w:autoSpaceDN/>
              <w:bidi w:val="0"/>
              <w:spacing w:line="240" w:lineRule="auto"/>
              <w:ind w:left="0" w:leftChars="0" w:right="0" w:rightChars="0" w:firstLine="420" w:firstLineChars="0"/>
              <w:jc w:val="left"/>
              <w:textAlignment w:val="auto"/>
              <w:rPr>
                <w:rFonts w:hint="eastAsia"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厂址</w:t>
            </w:r>
          </w:p>
        </w:tc>
      </w:tr>
      <w:tr w14:paraId="5C9E2A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85" w:type="pct"/>
            <w:tcBorders>
              <w:tl2br w:val="nil"/>
              <w:tr2bl w:val="nil"/>
            </w:tcBorders>
            <w:noWrap w:val="0"/>
            <w:vAlign w:val="center"/>
          </w:tcPr>
          <w:p w14:paraId="2303BF1F">
            <w:pPr>
              <w:keepNext w:val="0"/>
              <w:keepLines w:val="0"/>
              <w:pageBreakBefore w:val="0"/>
              <w:widowControl w:val="0"/>
              <w:numPr>
                <w:ilvl w:val="0"/>
                <w:numId w:val="48"/>
              </w:numPr>
              <w:kinsoku/>
              <w:wordWrap/>
              <w:overflowPunct/>
              <w:topLinePunct w:val="0"/>
              <w:autoSpaceDE/>
              <w:autoSpaceDN/>
              <w:bidi w:val="0"/>
              <w:spacing w:line="240" w:lineRule="auto"/>
              <w:ind w:left="425" w:leftChars="0" w:right="0" w:rightChars="0" w:hanging="425" w:firstLineChars="0"/>
              <w:jc w:val="center"/>
              <w:textAlignment w:val="auto"/>
              <w:rPr>
                <w:rFonts w:hint="eastAsia" w:ascii="宋体" w:hAnsi="宋体" w:eastAsia="宋体" w:cs="宋体"/>
                <w:b/>
                <w:bCs/>
                <w:color w:val="000000"/>
                <w:sz w:val="21"/>
                <w:szCs w:val="21"/>
              </w:rPr>
            </w:pPr>
          </w:p>
        </w:tc>
        <w:tc>
          <w:tcPr>
            <w:tcW w:w="2314" w:type="pct"/>
            <w:tcBorders>
              <w:tl2br w:val="nil"/>
              <w:tr2bl w:val="nil"/>
            </w:tcBorders>
            <w:noWrap w:val="0"/>
            <w:vAlign w:val="center"/>
          </w:tcPr>
          <w:p w14:paraId="6E7F615C">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厂址选择应符合国家的工业布局、城乡总体规划及土地利用总体规划的要求，并应按照国家规定的程序进行。</w:t>
            </w:r>
          </w:p>
        </w:tc>
        <w:tc>
          <w:tcPr>
            <w:tcW w:w="1118" w:type="pct"/>
            <w:tcBorders>
              <w:tl2br w:val="nil"/>
              <w:tr2bl w:val="nil"/>
            </w:tcBorders>
            <w:noWrap w:val="0"/>
            <w:vAlign w:val="center"/>
          </w:tcPr>
          <w:p w14:paraId="75149A19">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《工业企业总平面设计规范》</w:t>
            </w:r>
          </w:p>
          <w:p w14:paraId="13716AA5">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(GB 50187-2012)</w:t>
            </w:r>
          </w:p>
          <w:p w14:paraId="764925AF">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第3.0.1条</w:t>
            </w:r>
          </w:p>
        </w:tc>
        <w:tc>
          <w:tcPr>
            <w:tcW w:w="910" w:type="pct"/>
            <w:tcBorders>
              <w:tl2br w:val="nil"/>
              <w:tr2bl w:val="nil"/>
            </w:tcBorders>
            <w:noWrap w:val="0"/>
            <w:vAlign w:val="center"/>
          </w:tcPr>
          <w:p w14:paraId="65A5DB87">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000000"/>
                <w:sz w:val="21"/>
                <w:szCs w:val="21"/>
              </w:rPr>
              <w:t>厂址选址符合工业布局</w:t>
            </w:r>
            <w:r>
              <w:rPr>
                <w:rFonts w:hint="eastAsia" w:ascii="宋体" w:hAnsi="宋体" w:eastAsia="宋体" w:cs="宋体"/>
                <w:color w:val="000000"/>
                <w:sz w:val="21"/>
                <w:szCs w:val="21"/>
                <w:lang w:eastAsia="zh-CN"/>
              </w:rPr>
              <w:t>。</w:t>
            </w:r>
          </w:p>
        </w:tc>
        <w:tc>
          <w:tcPr>
            <w:tcW w:w="371" w:type="pct"/>
            <w:tcBorders>
              <w:tl2br w:val="nil"/>
              <w:tr2bl w:val="nil"/>
            </w:tcBorders>
            <w:noWrap w:val="0"/>
            <w:vAlign w:val="center"/>
          </w:tcPr>
          <w:p w14:paraId="697B3D4A">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符合</w:t>
            </w:r>
          </w:p>
        </w:tc>
      </w:tr>
      <w:tr w14:paraId="412B0A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85" w:type="pct"/>
            <w:tcBorders>
              <w:tl2br w:val="nil"/>
              <w:tr2bl w:val="nil"/>
            </w:tcBorders>
            <w:noWrap w:val="0"/>
            <w:vAlign w:val="center"/>
          </w:tcPr>
          <w:p w14:paraId="4E20E0C3">
            <w:pPr>
              <w:keepNext w:val="0"/>
              <w:keepLines w:val="0"/>
              <w:pageBreakBefore w:val="0"/>
              <w:widowControl w:val="0"/>
              <w:numPr>
                <w:ilvl w:val="0"/>
                <w:numId w:val="48"/>
              </w:numPr>
              <w:kinsoku/>
              <w:wordWrap/>
              <w:overflowPunct/>
              <w:topLinePunct w:val="0"/>
              <w:autoSpaceDE/>
              <w:autoSpaceDN/>
              <w:bidi w:val="0"/>
              <w:spacing w:line="240" w:lineRule="auto"/>
              <w:ind w:left="425" w:leftChars="0" w:right="0" w:rightChars="0" w:hanging="425" w:firstLineChars="0"/>
              <w:jc w:val="center"/>
              <w:textAlignment w:val="auto"/>
              <w:rPr>
                <w:rFonts w:hint="eastAsia" w:ascii="宋体" w:hAnsi="宋体" w:eastAsia="宋体" w:cs="宋体"/>
                <w:b/>
                <w:bCs/>
                <w:color w:val="000000"/>
                <w:sz w:val="21"/>
                <w:szCs w:val="21"/>
              </w:rPr>
            </w:pPr>
          </w:p>
        </w:tc>
        <w:tc>
          <w:tcPr>
            <w:tcW w:w="2314" w:type="pct"/>
            <w:tcBorders>
              <w:tl2br w:val="nil"/>
              <w:tr2bl w:val="nil"/>
            </w:tcBorders>
            <w:noWrap w:val="0"/>
            <w:vAlign w:val="center"/>
          </w:tcPr>
          <w:p w14:paraId="7EFC183A">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配套和服务工业企业的居住区、交通运输、动力公用设施、废料场及环境保护工程、施工基地等用地，应与厂区用地同时选择。</w:t>
            </w:r>
          </w:p>
        </w:tc>
        <w:tc>
          <w:tcPr>
            <w:tcW w:w="1118" w:type="pct"/>
            <w:tcBorders>
              <w:tl2br w:val="nil"/>
              <w:tr2bl w:val="nil"/>
            </w:tcBorders>
            <w:noWrap w:val="0"/>
            <w:vAlign w:val="center"/>
          </w:tcPr>
          <w:p w14:paraId="12AA553B">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《工业企业总平面设计规范》</w:t>
            </w:r>
          </w:p>
          <w:p w14:paraId="3DC39B7C">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(GB 50187-2012)</w:t>
            </w:r>
          </w:p>
          <w:p w14:paraId="1CCA49AB">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第3.0.2条</w:t>
            </w:r>
          </w:p>
        </w:tc>
        <w:tc>
          <w:tcPr>
            <w:tcW w:w="910" w:type="pct"/>
            <w:tcBorders>
              <w:tl2br w:val="nil"/>
              <w:tr2bl w:val="nil"/>
            </w:tcBorders>
            <w:noWrap w:val="0"/>
            <w:vAlign w:val="center"/>
          </w:tcPr>
          <w:p w14:paraId="63BE57EA">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000000"/>
                <w:sz w:val="21"/>
                <w:szCs w:val="21"/>
              </w:rPr>
              <w:t>拟建</w:t>
            </w:r>
            <w:r>
              <w:rPr>
                <w:rFonts w:hint="eastAsia" w:ascii="宋体" w:hAnsi="宋体" w:eastAsia="宋体" w:cs="宋体"/>
                <w:color w:val="000000"/>
                <w:sz w:val="21"/>
                <w:szCs w:val="21"/>
                <w:lang w:val="en-US" w:eastAsia="zh-CN"/>
              </w:rPr>
              <w:t>项目</w:t>
            </w:r>
            <w:r>
              <w:rPr>
                <w:rFonts w:hint="eastAsia" w:ascii="宋体" w:hAnsi="宋体" w:eastAsia="宋体" w:cs="宋体"/>
                <w:color w:val="000000"/>
                <w:sz w:val="21"/>
                <w:szCs w:val="21"/>
              </w:rPr>
              <w:t>居住区、交通运输、动力公用设施完备</w:t>
            </w:r>
            <w:r>
              <w:rPr>
                <w:rFonts w:hint="eastAsia" w:ascii="宋体" w:hAnsi="宋体" w:eastAsia="宋体" w:cs="宋体"/>
                <w:color w:val="000000"/>
                <w:sz w:val="21"/>
                <w:szCs w:val="21"/>
                <w:lang w:eastAsia="zh-CN"/>
              </w:rPr>
              <w:t>。</w:t>
            </w:r>
          </w:p>
        </w:tc>
        <w:tc>
          <w:tcPr>
            <w:tcW w:w="371" w:type="pct"/>
            <w:tcBorders>
              <w:tl2br w:val="nil"/>
              <w:tr2bl w:val="nil"/>
            </w:tcBorders>
            <w:noWrap w:val="0"/>
            <w:vAlign w:val="center"/>
          </w:tcPr>
          <w:p w14:paraId="63B367DB">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符合</w:t>
            </w:r>
          </w:p>
        </w:tc>
      </w:tr>
      <w:tr w14:paraId="2CCF67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85" w:type="pct"/>
            <w:tcBorders>
              <w:tl2br w:val="nil"/>
              <w:tr2bl w:val="nil"/>
            </w:tcBorders>
            <w:noWrap w:val="0"/>
            <w:vAlign w:val="center"/>
          </w:tcPr>
          <w:p w14:paraId="20A9A41B">
            <w:pPr>
              <w:keepNext w:val="0"/>
              <w:keepLines w:val="0"/>
              <w:pageBreakBefore w:val="0"/>
              <w:widowControl w:val="0"/>
              <w:numPr>
                <w:ilvl w:val="0"/>
                <w:numId w:val="48"/>
              </w:numPr>
              <w:kinsoku/>
              <w:wordWrap/>
              <w:overflowPunct/>
              <w:topLinePunct w:val="0"/>
              <w:autoSpaceDE/>
              <w:autoSpaceDN/>
              <w:bidi w:val="0"/>
              <w:spacing w:line="240" w:lineRule="auto"/>
              <w:ind w:left="425" w:leftChars="0" w:right="0" w:rightChars="0" w:hanging="425" w:firstLineChars="0"/>
              <w:jc w:val="center"/>
              <w:textAlignment w:val="auto"/>
              <w:rPr>
                <w:rFonts w:hint="eastAsia" w:ascii="宋体" w:hAnsi="宋体" w:eastAsia="宋体" w:cs="宋体"/>
                <w:b/>
                <w:bCs/>
                <w:color w:val="000000"/>
                <w:sz w:val="21"/>
                <w:szCs w:val="21"/>
              </w:rPr>
            </w:pPr>
          </w:p>
        </w:tc>
        <w:tc>
          <w:tcPr>
            <w:tcW w:w="2314" w:type="pct"/>
            <w:tcBorders>
              <w:tl2br w:val="nil"/>
              <w:tr2bl w:val="nil"/>
            </w:tcBorders>
            <w:noWrap w:val="0"/>
            <w:vAlign w:val="center"/>
          </w:tcPr>
          <w:p w14:paraId="0B08CC46">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厂址应有便利和经济的交通运输条件，与厂外铁路、公路的连接应便捷、工程量小。</w:t>
            </w:r>
          </w:p>
        </w:tc>
        <w:tc>
          <w:tcPr>
            <w:tcW w:w="1118" w:type="pct"/>
            <w:tcBorders>
              <w:tl2br w:val="nil"/>
              <w:tr2bl w:val="nil"/>
            </w:tcBorders>
            <w:noWrap w:val="0"/>
            <w:vAlign w:val="center"/>
          </w:tcPr>
          <w:p w14:paraId="6A9B715C">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《工业企业总平面设计规范》</w:t>
            </w:r>
          </w:p>
          <w:p w14:paraId="7BFE5B60">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(GB 50187-2012)</w:t>
            </w:r>
          </w:p>
          <w:p w14:paraId="4B727A1C">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第3.0.5条</w:t>
            </w:r>
          </w:p>
        </w:tc>
        <w:tc>
          <w:tcPr>
            <w:tcW w:w="910" w:type="pct"/>
            <w:tcBorders>
              <w:tl2br w:val="nil"/>
              <w:tr2bl w:val="nil"/>
            </w:tcBorders>
            <w:noWrap w:val="0"/>
            <w:vAlign w:val="center"/>
          </w:tcPr>
          <w:p w14:paraId="3E310E78">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项目厂址与外界有国道连接。</w:t>
            </w:r>
          </w:p>
        </w:tc>
        <w:tc>
          <w:tcPr>
            <w:tcW w:w="371" w:type="pct"/>
            <w:tcBorders>
              <w:tl2br w:val="nil"/>
              <w:tr2bl w:val="nil"/>
            </w:tcBorders>
            <w:noWrap w:val="0"/>
            <w:vAlign w:val="center"/>
          </w:tcPr>
          <w:p w14:paraId="5CFD9B16">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符合</w:t>
            </w:r>
          </w:p>
        </w:tc>
      </w:tr>
      <w:tr w14:paraId="09B431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85" w:type="pct"/>
            <w:tcBorders>
              <w:tl2br w:val="nil"/>
              <w:tr2bl w:val="nil"/>
            </w:tcBorders>
            <w:noWrap w:val="0"/>
            <w:vAlign w:val="center"/>
          </w:tcPr>
          <w:p w14:paraId="6F2FBA87">
            <w:pPr>
              <w:keepNext w:val="0"/>
              <w:keepLines w:val="0"/>
              <w:pageBreakBefore w:val="0"/>
              <w:widowControl w:val="0"/>
              <w:numPr>
                <w:ilvl w:val="0"/>
                <w:numId w:val="48"/>
              </w:numPr>
              <w:kinsoku/>
              <w:wordWrap/>
              <w:overflowPunct/>
              <w:topLinePunct w:val="0"/>
              <w:autoSpaceDE/>
              <w:autoSpaceDN/>
              <w:bidi w:val="0"/>
              <w:spacing w:line="240" w:lineRule="auto"/>
              <w:ind w:left="425" w:leftChars="0" w:right="0" w:rightChars="0" w:hanging="425" w:firstLineChars="0"/>
              <w:jc w:val="center"/>
              <w:textAlignment w:val="auto"/>
              <w:rPr>
                <w:rFonts w:hint="eastAsia" w:ascii="宋体" w:hAnsi="宋体" w:eastAsia="宋体" w:cs="宋体"/>
                <w:b/>
                <w:bCs/>
                <w:color w:val="000000"/>
                <w:sz w:val="21"/>
                <w:szCs w:val="21"/>
              </w:rPr>
            </w:pPr>
          </w:p>
        </w:tc>
        <w:tc>
          <w:tcPr>
            <w:tcW w:w="2314" w:type="pct"/>
            <w:tcBorders>
              <w:tl2br w:val="nil"/>
              <w:tr2bl w:val="nil"/>
            </w:tcBorders>
            <w:noWrap w:val="0"/>
            <w:vAlign w:val="center"/>
          </w:tcPr>
          <w:p w14:paraId="140FDDD0">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厂址应具有满足生产、生活及发展所必需的水源和电源。 水源和电源与厂址之间的管线连接应短捷，且用水、用电量大的工业企业宜靠近水源及电源地。</w:t>
            </w:r>
          </w:p>
        </w:tc>
        <w:tc>
          <w:tcPr>
            <w:tcW w:w="1118" w:type="pct"/>
            <w:tcBorders>
              <w:tl2br w:val="nil"/>
              <w:tr2bl w:val="nil"/>
            </w:tcBorders>
            <w:noWrap w:val="0"/>
            <w:vAlign w:val="center"/>
          </w:tcPr>
          <w:p w14:paraId="3CE35C19">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《工业企业总平面设计规范》</w:t>
            </w:r>
          </w:p>
          <w:p w14:paraId="5C0F6AF4">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(GB 50187-2012)</w:t>
            </w:r>
          </w:p>
          <w:p w14:paraId="78CBF88A">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第3.0.6条</w:t>
            </w:r>
          </w:p>
        </w:tc>
        <w:tc>
          <w:tcPr>
            <w:tcW w:w="910" w:type="pct"/>
            <w:tcBorders>
              <w:tl2br w:val="nil"/>
              <w:tr2bl w:val="nil"/>
            </w:tcBorders>
            <w:noWrap w:val="0"/>
            <w:vAlign w:val="center"/>
          </w:tcPr>
          <w:p w14:paraId="7E96E91D">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000000"/>
                <w:sz w:val="21"/>
                <w:szCs w:val="21"/>
              </w:rPr>
              <w:t>水源、电源供应有保障</w:t>
            </w:r>
            <w:r>
              <w:rPr>
                <w:rFonts w:hint="eastAsia" w:ascii="宋体" w:hAnsi="宋体" w:eastAsia="宋体" w:cs="宋体"/>
                <w:color w:val="000000"/>
                <w:sz w:val="21"/>
                <w:szCs w:val="21"/>
                <w:lang w:eastAsia="zh-CN"/>
              </w:rPr>
              <w:t>。</w:t>
            </w:r>
          </w:p>
        </w:tc>
        <w:tc>
          <w:tcPr>
            <w:tcW w:w="371" w:type="pct"/>
            <w:tcBorders>
              <w:tl2br w:val="nil"/>
              <w:tr2bl w:val="nil"/>
            </w:tcBorders>
            <w:noWrap w:val="0"/>
            <w:vAlign w:val="center"/>
          </w:tcPr>
          <w:p w14:paraId="22CBE32D">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FF"/>
                <w:kern w:val="2"/>
                <w:sz w:val="21"/>
                <w:szCs w:val="21"/>
                <w:lang w:val="en-US" w:eastAsia="zh-CN" w:bidi="ar-SA"/>
              </w:rPr>
            </w:pPr>
            <w:r>
              <w:rPr>
                <w:rFonts w:hint="eastAsia" w:ascii="宋体" w:hAnsi="宋体" w:eastAsia="宋体" w:cs="宋体"/>
                <w:color w:val="auto"/>
                <w:kern w:val="2"/>
                <w:sz w:val="21"/>
                <w:szCs w:val="21"/>
                <w:lang w:val="en-US" w:eastAsia="zh-CN" w:bidi="ar-SA"/>
              </w:rPr>
              <w:t>符合</w:t>
            </w:r>
          </w:p>
        </w:tc>
      </w:tr>
      <w:tr w14:paraId="21F2A3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85" w:type="pct"/>
            <w:tcBorders>
              <w:tl2br w:val="nil"/>
              <w:tr2bl w:val="nil"/>
            </w:tcBorders>
            <w:noWrap w:val="0"/>
            <w:vAlign w:val="center"/>
          </w:tcPr>
          <w:p w14:paraId="1C9214BD">
            <w:pPr>
              <w:keepNext w:val="0"/>
              <w:keepLines w:val="0"/>
              <w:pageBreakBefore w:val="0"/>
              <w:widowControl w:val="0"/>
              <w:numPr>
                <w:ilvl w:val="0"/>
                <w:numId w:val="48"/>
              </w:numPr>
              <w:kinsoku/>
              <w:wordWrap/>
              <w:overflowPunct/>
              <w:topLinePunct w:val="0"/>
              <w:autoSpaceDE/>
              <w:autoSpaceDN/>
              <w:bidi w:val="0"/>
              <w:spacing w:line="240" w:lineRule="auto"/>
              <w:ind w:left="425" w:leftChars="0" w:right="0" w:rightChars="0" w:hanging="425" w:firstLineChars="0"/>
              <w:jc w:val="center"/>
              <w:textAlignment w:val="auto"/>
              <w:rPr>
                <w:rFonts w:hint="eastAsia" w:ascii="宋体" w:hAnsi="宋体" w:eastAsia="宋体" w:cs="宋体"/>
                <w:b/>
                <w:bCs/>
                <w:color w:val="000000"/>
                <w:sz w:val="21"/>
                <w:szCs w:val="21"/>
              </w:rPr>
            </w:pPr>
          </w:p>
        </w:tc>
        <w:tc>
          <w:tcPr>
            <w:tcW w:w="2314" w:type="pct"/>
            <w:tcBorders>
              <w:tl2br w:val="nil"/>
              <w:tr2bl w:val="nil"/>
            </w:tcBorders>
            <w:noWrap w:val="0"/>
            <w:vAlign w:val="center"/>
          </w:tcPr>
          <w:p w14:paraId="0771BADF">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厂址应具有满足建设工程需要的工程地质条件和水文地质条件。</w:t>
            </w:r>
          </w:p>
        </w:tc>
        <w:tc>
          <w:tcPr>
            <w:tcW w:w="1118" w:type="pct"/>
            <w:tcBorders>
              <w:tl2br w:val="nil"/>
              <w:tr2bl w:val="nil"/>
            </w:tcBorders>
            <w:noWrap w:val="0"/>
            <w:vAlign w:val="center"/>
          </w:tcPr>
          <w:p w14:paraId="48E38E4F">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《工业企业总平面设计规范》</w:t>
            </w:r>
          </w:p>
          <w:p w14:paraId="671FFD2A">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(GB 50187-2012)</w:t>
            </w:r>
          </w:p>
          <w:p w14:paraId="254E34FE">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第3.0.8条</w:t>
            </w:r>
          </w:p>
        </w:tc>
        <w:tc>
          <w:tcPr>
            <w:tcW w:w="910" w:type="pct"/>
            <w:tcBorders>
              <w:tl2br w:val="nil"/>
              <w:tr2bl w:val="nil"/>
            </w:tcBorders>
            <w:noWrap w:val="0"/>
            <w:vAlign w:val="center"/>
          </w:tcPr>
          <w:p w14:paraId="5B8ED2D9">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工程地质及水文地质条件都满足。</w:t>
            </w:r>
          </w:p>
        </w:tc>
        <w:tc>
          <w:tcPr>
            <w:tcW w:w="371" w:type="pct"/>
            <w:tcBorders>
              <w:tl2br w:val="nil"/>
              <w:tr2bl w:val="nil"/>
            </w:tcBorders>
            <w:noWrap w:val="0"/>
            <w:vAlign w:val="center"/>
          </w:tcPr>
          <w:p w14:paraId="72A1AE1D">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FF"/>
                <w:kern w:val="2"/>
                <w:sz w:val="21"/>
                <w:szCs w:val="21"/>
                <w:lang w:val="en-US" w:eastAsia="zh-CN" w:bidi="ar-SA"/>
              </w:rPr>
            </w:pPr>
            <w:r>
              <w:rPr>
                <w:rFonts w:hint="eastAsia" w:ascii="宋体" w:hAnsi="宋体" w:eastAsia="宋体" w:cs="宋体"/>
                <w:color w:val="auto"/>
                <w:kern w:val="2"/>
                <w:sz w:val="21"/>
                <w:szCs w:val="21"/>
                <w:lang w:val="en-US" w:eastAsia="zh-CN" w:bidi="ar-SA"/>
              </w:rPr>
              <w:t>符合</w:t>
            </w:r>
          </w:p>
        </w:tc>
      </w:tr>
      <w:tr w14:paraId="1A4063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85" w:type="pct"/>
            <w:tcBorders>
              <w:tl2br w:val="nil"/>
              <w:tr2bl w:val="nil"/>
            </w:tcBorders>
            <w:noWrap w:val="0"/>
            <w:vAlign w:val="center"/>
          </w:tcPr>
          <w:p w14:paraId="012FF984">
            <w:pPr>
              <w:keepNext w:val="0"/>
              <w:keepLines w:val="0"/>
              <w:pageBreakBefore w:val="0"/>
              <w:widowControl w:val="0"/>
              <w:numPr>
                <w:ilvl w:val="0"/>
                <w:numId w:val="48"/>
              </w:numPr>
              <w:kinsoku/>
              <w:wordWrap/>
              <w:overflowPunct/>
              <w:topLinePunct w:val="0"/>
              <w:autoSpaceDE/>
              <w:autoSpaceDN/>
              <w:bidi w:val="0"/>
              <w:spacing w:line="240" w:lineRule="auto"/>
              <w:ind w:left="425" w:leftChars="0" w:right="0" w:rightChars="0" w:hanging="425" w:firstLineChars="0"/>
              <w:jc w:val="center"/>
              <w:textAlignment w:val="auto"/>
              <w:rPr>
                <w:rFonts w:hint="eastAsia" w:ascii="宋体" w:hAnsi="宋体" w:eastAsia="宋体" w:cs="宋体"/>
                <w:b/>
                <w:bCs/>
                <w:color w:val="000000"/>
                <w:sz w:val="21"/>
                <w:szCs w:val="21"/>
              </w:rPr>
            </w:pPr>
          </w:p>
        </w:tc>
        <w:tc>
          <w:tcPr>
            <w:tcW w:w="2314" w:type="pct"/>
            <w:tcBorders>
              <w:tl2br w:val="nil"/>
              <w:tr2bl w:val="nil"/>
            </w:tcBorders>
            <w:noWrap w:val="0"/>
            <w:vAlign w:val="center"/>
          </w:tcPr>
          <w:p w14:paraId="51567AEB">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厂址应满足近期建设所必需的场地面积和适宜的建厂地形，并应根据工业企业远期发展规划的需要，留有适当的发展余地。</w:t>
            </w:r>
          </w:p>
        </w:tc>
        <w:tc>
          <w:tcPr>
            <w:tcW w:w="1118" w:type="pct"/>
            <w:tcBorders>
              <w:tl2br w:val="nil"/>
              <w:tr2bl w:val="nil"/>
            </w:tcBorders>
            <w:noWrap w:val="0"/>
            <w:vAlign w:val="center"/>
          </w:tcPr>
          <w:p w14:paraId="1E7C9DCB">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《工业企业总平面设计规范》</w:t>
            </w:r>
          </w:p>
          <w:p w14:paraId="0AEB229A">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(GB 50187-2012)</w:t>
            </w:r>
          </w:p>
          <w:p w14:paraId="114E5B30">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第3.0.9条</w:t>
            </w:r>
          </w:p>
        </w:tc>
        <w:tc>
          <w:tcPr>
            <w:tcW w:w="910" w:type="pct"/>
            <w:tcBorders>
              <w:tl2br w:val="nil"/>
              <w:tr2bl w:val="nil"/>
            </w:tcBorders>
            <w:noWrap w:val="0"/>
            <w:vAlign w:val="center"/>
          </w:tcPr>
          <w:p w14:paraId="7E0E0C3C">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满足要求。</w:t>
            </w:r>
          </w:p>
        </w:tc>
        <w:tc>
          <w:tcPr>
            <w:tcW w:w="371" w:type="pct"/>
            <w:tcBorders>
              <w:tl2br w:val="nil"/>
              <w:tr2bl w:val="nil"/>
            </w:tcBorders>
            <w:noWrap w:val="0"/>
            <w:vAlign w:val="center"/>
          </w:tcPr>
          <w:p w14:paraId="48D0A210">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FF"/>
                <w:kern w:val="2"/>
                <w:sz w:val="21"/>
                <w:szCs w:val="21"/>
                <w:lang w:val="en-US" w:eastAsia="zh-CN" w:bidi="ar-SA"/>
              </w:rPr>
            </w:pPr>
            <w:r>
              <w:rPr>
                <w:rFonts w:hint="eastAsia" w:ascii="宋体" w:hAnsi="宋体" w:eastAsia="宋体" w:cs="宋体"/>
                <w:color w:val="auto"/>
                <w:kern w:val="2"/>
                <w:sz w:val="21"/>
                <w:szCs w:val="21"/>
                <w:lang w:val="en-US" w:eastAsia="zh-CN" w:bidi="ar-SA"/>
              </w:rPr>
              <w:t>符合</w:t>
            </w:r>
          </w:p>
        </w:tc>
      </w:tr>
      <w:tr w14:paraId="12F5A9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85" w:type="pct"/>
            <w:tcBorders>
              <w:tl2br w:val="nil"/>
              <w:tr2bl w:val="nil"/>
            </w:tcBorders>
            <w:noWrap w:val="0"/>
            <w:vAlign w:val="center"/>
          </w:tcPr>
          <w:p w14:paraId="2443B3E7">
            <w:pPr>
              <w:keepNext w:val="0"/>
              <w:keepLines w:val="0"/>
              <w:pageBreakBefore w:val="0"/>
              <w:widowControl w:val="0"/>
              <w:numPr>
                <w:ilvl w:val="0"/>
                <w:numId w:val="48"/>
              </w:numPr>
              <w:kinsoku/>
              <w:wordWrap/>
              <w:overflowPunct/>
              <w:topLinePunct w:val="0"/>
              <w:autoSpaceDE/>
              <w:autoSpaceDN/>
              <w:bidi w:val="0"/>
              <w:spacing w:line="240" w:lineRule="auto"/>
              <w:ind w:left="425" w:leftChars="0" w:right="0" w:rightChars="0" w:hanging="425" w:firstLineChars="0"/>
              <w:jc w:val="center"/>
              <w:textAlignment w:val="auto"/>
              <w:rPr>
                <w:rFonts w:hint="eastAsia" w:ascii="宋体" w:hAnsi="宋体" w:eastAsia="宋体" w:cs="宋体"/>
                <w:b/>
                <w:bCs/>
                <w:color w:val="000000"/>
                <w:sz w:val="21"/>
                <w:szCs w:val="21"/>
              </w:rPr>
            </w:pPr>
          </w:p>
        </w:tc>
        <w:tc>
          <w:tcPr>
            <w:tcW w:w="2314" w:type="pct"/>
            <w:tcBorders>
              <w:tl2br w:val="nil"/>
              <w:tr2bl w:val="nil"/>
            </w:tcBorders>
            <w:noWrap w:val="0"/>
            <w:vAlign w:val="center"/>
          </w:tcPr>
          <w:p w14:paraId="23A11C2C">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厂址应有利于同邻近工业企业和依托城镇在生产、交通运输、动力</w:t>
            </w:r>
            <w:r>
              <w:rPr>
                <w:rFonts w:hint="eastAsia" w:ascii="宋体" w:hAnsi="宋体" w:cs="宋体"/>
                <w:color w:val="auto"/>
                <w:sz w:val="21"/>
                <w:szCs w:val="21"/>
                <w:lang w:val="en-US" w:eastAsia="zh-CN"/>
              </w:rPr>
              <w:t>供应</w:t>
            </w:r>
            <w:r>
              <w:rPr>
                <w:rFonts w:hint="eastAsia" w:ascii="宋体" w:hAnsi="宋体" w:eastAsia="宋体" w:cs="宋体"/>
                <w:color w:val="auto"/>
                <w:sz w:val="21"/>
                <w:szCs w:val="21"/>
                <w:lang w:val="en-US" w:eastAsia="zh-CN"/>
              </w:rPr>
              <w:t>、机修和器材供应、综合利用、发展循环经济和生活设施等方面的协作。</w:t>
            </w:r>
          </w:p>
        </w:tc>
        <w:tc>
          <w:tcPr>
            <w:tcW w:w="1118" w:type="pct"/>
            <w:tcBorders>
              <w:tl2br w:val="nil"/>
              <w:tr2bl w:val="nil"/>
            </w:tcBorders>
            <w:noWrap w:val="0"/>
            <w:vAlign w:val="center"/>
          </w:tcPr>
          <w:p w14:paraId="5906528B">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《工业企业总平面设计规范》</w:t>
            </w:r>
          </w:p>
          <w:p w14:paraId="45E43BE6">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(GB 50187-2012)</w:t>
            </w:r>
          </w:p>
          <w:p w14:paraId="5F9CEDB4">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第3.0.11条</w:t>
            </w:r>
          </w:p>
        </w:tc>
        <w:tc>
          <w:tcPr>
            <w:tcW w:w="910" w:type="pct"/>
            <w:tcBorders>
              <w:tl2br w:val="nil"/>
              <w:tr2bl w:val="nil"/>
            </w:tcBorders>
            <w:noWrap w:val="0"/>
            <w:vAlign w:val="center"/>
          </w:tcPr>
          <w:p w14:paraId="502BA791">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项目与物贸</w:t>
            </w:r>
            <w:r>
              <w:rPr>
                <w:rFonts w:hint="eastAsia" w:ascii="宋体" w:hAnsi="宋体" w:cs="宋体"/>
                <w:color w:val="auto"/>
                <w:sz w:val="21"/>
                <w:szCs w:val="21"/>
                <w:lang w:val="en-US" w:eastAsia="zh-CN"/>
              </w:rPr>
              <w:t>乡</w:t>
            </w:r>
            <w:r>
              <w:rPr>
                <w:rFonts w:hint="eastAsia" w:ascii="宋体" w:hAnsi="宋体" w:eastAsia="宋体" w:cs="宋体"/>
                <w:color w:val="auto"/>
                <w:sz w:val="21"/>
                <w:szCs w:val="21"/>
                <w:lang w:val="en-US" w:eastAsia="zh-CN"/>
              </w:rPr>
              <w:t>的其他企业能相互协作。</w:t>
            </w:r>
          </w:p>
        </w:tc>
        <w:tc>
          <w:tcPr>
            <w:tcW w:w="371" w:type="pct"/>
            <w:tcBorders>
              <w:tl2br w:val="nil"/>
              <w:tr2bl w:val="nil"/>
            </w:tcBorders>
            <w:noWrap w:val="0"/>
            <w:vAlign w:val="center"/>
          </w:tcPr>
          <w:p w14:paraId="1B4CB8B8">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FF"/>
                <w:kern w:val="2"/>
                <w:sz w:val="21"/>
                <w:szCs w:val="21"/>
                <w:lang w:val="en-US" w:eastAsia="zh-CN" w:bidi="ar-SA"/>
              </w:rPr>
            </w:pPr>
            <w:r>
              <w:rPr>
                <w:rFonts w:hint="eastAsia" w:ascii="宋体" w:hAnsi="宋体" w:eastAsia="宋体" w:cs="宋体"/>
                <w:color w:val="auto"/>
                <w:kern w:val="2"/>
                <w:sz w:val="21"/>
                <w:szCs w:val="21"/>
                <w:lang w:val="en-US" w:eastAsia="zh-CN" w:bidi="ar-SA"/>
              </w:rPr>
              <w:t>符合</w:t>
            </w:r>
          </w:p>
        </w:tc>
      </w:tr>
      <w:tr w14:paraId="58C964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85" w:type="pct"/>
            <w:tcBorders>
              <w:tl2br w:val="nil"/>
              <w:tr2bl w:val="nil"/>
            </w:tcBorders>
            <w:noWrap w:val="0"/>
            <w:vAlign w:val="center"/>
          </w:tcPr>
          <w:p w14:paraId="2C23316E">
            <w:pPr>
              <w:keepNext w:val="0"/>
              <w:keepLines w:val="0"/>
              <w:pageBreakBefore w:val="0"/>
              <w:widowControl w:val="0"/>
              <w:numPr>
                <w:ilvl w:val="0"/>
                <w:numId w:val="48"/>
              </w:numPr>
              <w:kinsoku/>
              <w:wordWrap/>
              <w:overflowPunct/>
              <w:topLinePunct w:val="0"/>
              <w:autoSpaceDE/>
              <w:autoSpaceDN/>
              <w:bidi w:val="0"/>
              <w:spacing w:line="240" w:lineRule="auto"/>
              <w:ind w:left="425" w:leftChars="0" w:right="0" w:rightChars="0" w:hanging="425" w:firstLineChars="0"/>
              <w:jc w:val="center"/>
              <w:textAlignment w:val="auto"/>
              <w:rPr>
                <w:rFonts w:hint="eastAsia" w:ascii="宋体" w:hAnsi="宋体" w:eastAsia="宋体" w:cs="宋体"/>
                <w:b/>
                <w:bCs/>
                <w:color w:val="000000"/>
                <w:sz w:val="21"/>
                <w:szCs w:val="21"/>
              </w:rPr>
            </w:pPr>
          </w:p>
        </w:tc>
        <w:tc>
          <w:tcPr>
            <w:tcW w:w="2314" w:type="pct"/>
            <w:tcBorders>
              <w:tl2br w:val="nil"/>
              <w:tr2bl w:val="nil"/>
            </w:tcBorders>
            <w:noWrap w:val="0"/>
            <w:vAlign w:val="center"/>
          </w:tcPr>
          <w:p w14:paraId="3C535F7D">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厂址应位于不受洪水、潮水或内涝威胁的地带，并应符合下列规定：</w:t>
            </w:r>
          </w:p>
          <w:p w14:paraId="59F52CA8">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1）当厂址不可避免地位于受洪水、潮水或内涝威胁的地带时，必须采取防洪、排涝的防护措施。</w:t>
            </w:r>
          </w:p>
        </w:tc>
        <w:tc>
          <w:tcPr>
            <w:tcW w:w="1118" w:type="pct"/>
            <w:tcBorders>
              <w:tl2br w:val="nil"/>
              <w:tr2bl w:val="nil"/>
            </w:tcBorders>
            <w:noWrap w:val="0"/>
            <w:vAlign w:val="center"/>
          </w:tcPr>
          <w:p w14:paraId="7BFCDFA0">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《工业企业总平面设计规范》</w:t>
            </w:r>
          </w:p>
          <w:p w14:paraId="1AB6B278">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(GB 50187-2012)</w:t>
            </w:r>
          </w:p>
          <w:p w14:paraId="0A15D147">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FF"/>
                <w:kern w:val="2"/>
                <w:sz w:val="21"/>
                <w:szCs w:val="21"/>
                <w:lang w:val="en-US" w:eastAsia="zh-CN" w:bidi="ar-SA"/>
              </w:rPr>
            </w:pPr>
            <w:r>
              <w:rPr>
                <w:rFonts w:hint="eastAsia" w:ascii="宋体" w:hAnsi="宋体" w:eastAsia="宋体" w:cs="宋体"/>
                <w:color w:val="auto"/>
                <w:sz w:val="21"/>
                <w:szCs w:val="21"/>
                <w:lang w:val="en-US" w:eastAsia="zh-CN"/>
              </w:rPr>
              <w:t>第3.0.12条</w:t>
            </w:r>
          </w:p>
        </w:tc>
        <w:tc>
          <w:tcPr>
            <w:tcW w:w="910" w:type="pct"/>
            <w:tcBorders>
              <w:tl2br w:val="nil"/>
              <w:tr2bl w:val="nil"/>
            </w:tcBorders>
            <w:noWrap w:val="0"/>
            <w:vAlign w:val="center"/>
          </w:tcPr>
          <w:p w14:paraId="485CE244">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厂址所处位置不受洪水、潮水或内涝危险。</w:t>
            </w:r>
          </w:p>
        </w:tc>
        <w:tc>
          <w:tcPr>
            <w:tcW w:w="371" w:type="pct"/>
            <w:tcBorders>
              <w:tl2br w:val="nil"/>
              <w:tr2bl w:val="nil"/>
            </w:tcBorders>
            <w:noWrap w:val="0"/>
            <w:vAlign w:val="center"/>
          </w:tcPr>
          <w:p w14:paraId="63A39FE1">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FF"/>
                <w:kern w:val="2"/>
                <w:sz w:val="21"/>
                <w:szCs w:val="21"/>
                <w:lang w:val="en-US" w:eastAsia="zh-CN" w:bidi="ar-SA"/>
              </w:rPr>
            </w:pPr>
            <w:r>
              <w:rPr>
                <w:rFonts w:hint="eastAsia" w:ascii="宋体" w:hAnsi="宋体" w:eastAsia="宋体" w:cs="宋体"/>
                <w:color w:val="auto"/>
                <w:kern w:val="2"/>
                <w:sz w:val="21"/>
                <w:szCs w:val="21"/>
                <w:lang w:val="en-US" w:eastAsia="zh-CN" w:bidi="ar-SA"/>
              </w:rPr>
              <w:t>符合</w:t>
            </w:r>
          </w:p>
        </w:tc>
      </w:tr>
      <w:tr w14:paraId="40A2AA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85" w:type="pct"/>
            <w:tcBorders>
              <w:tl2br w:val="nil"/>
              <w:tr2bl w:val="nil"/>
            </w:tcBorders>
            <w:noWrap w:val="0"/>
            <w:vAlign w:val="center"/>
          </w:tcPr>
          <w:p w14:paraId="5A49D7B4">
            <w:pPr>
              <w:keepNext w:val="0"/>
              <w:keepLines w:val="0"/>
              <w:pageBreakBefore w:val="0"/>
              <w:widowControl w:val="0"/>
              <w:numPr>
                <w:ilvl w:val="0"/>
                <w:numId w:val="48"/>
              </w:numPr>
              <w:kinsoku/>
              <w:wordWrap/>
              <w:overflowPunct/>
              <w:topLinePunct w:val="0"/>
              <w:autoSpaceDE/>
              <w:autoSpaceDN/>
              <w:bidi w:val="0"/>
              <w:spacing w:line="240" w:lineRule="auto"/>
              <w:ind w:left="425" w:leftChars="0" w:right="0" w:rightChars="0" w:hanging="425" w:firstLineChars="0"/>
              <w:jc w:val="center"/>
              <w:textAlignment w:val="auto"/>
              <w:rPr>
                <w:rFonts w:hint="eastAsia" w:ascii="宋体" w:hAnsi="宋体" w:eastAsia="宋体" w:cs="宋体"/>
                <w:b/>
                <w:bCs/>
                <w:color w:val="000000"/>
                <w:sz w:val="21"/>
                <w:szCs w:val="21"/>
              </w:rPr>
            </w:pPr>
          </w:p>
        </w:tc>
        <w:tc>
          <w:tcPr>
            <w:tcW w:w="2314" w:type="pct"/>
            <w:tcBorders>
              <w:tl2br w:val="nil"/>
              <w:tr2bl w:val="nil"/>
            </w:tcBorders>
            <w:shd w:val="clear" w:color="auto" w:fill="auto"/>
            <w:noWrap w:val="0"/>
            <w:vAlign w:val="center"/>
          </w:tcPr>
          <w:p w14:paraId="2239AA16">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相邻的采石场开采范围之间最小距离应当大于300米。对可能危及对方生产安全的，双方应当签订安全生产管理协议，明确各自的安全生产管理职责和应当采取的安全措施，指定专门人员进行安全检查与协调。</w:t>
            </w:r>
          </w:p>
        </w:tc>
        <w:tc>
          <w:tcPr>
            <w:tcW w:w="1118" w:type="pct"/>
            <w:tcBorders>
              <w:tl2br w:val="nil"/>
              <w:tr2bl w:val="nil"/>
            </w:tcBorders>
            <w:shd w:val="clear" w:color="auto" w:fill="auto"/>
            <w:noWrap w:val="0"/>
            <w:vAlign w:val="center"/>
          </w:tcPr>
          <w:p w14:paraId="69B8FB57">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《小型露天采石场安全管理与监督检查规定》（原国家安全监管总局令78号修正）</w:t>
            </w:r>
          </w:p>
          <w:p w14:paraId="3FF0FE77">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第十二条</w:t>
            </w:r>
          </w:p>
        </w:tc>
        <w:tc>
          <w:tcPr>
            <w:tcW w:w="910" w:type="pct"/>
            <w:tcBorders>
              <w:tl2br w:val="nil"/>
              <w:tr2bl w:val="nil"/>
            </w:tcBorders>
            <w:shd w:val="clear" w:color="auto" w:fill="auto"/>
            <w:noWrap w:val="0"/>
            <w:vAlign w:val="center"/>
          </w:tcPr>
          <w:p w14:paraId="5334A55C">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矿界外300米范围无其他矿权。</w:t>
            </w:r>
          </w:p>
        </w:tc>
        <w:tc>
          <w:tcPr>
            <w:tcW w:w="371" w:type="pct"/>
            <w:tcBorders>
              <w:tl2br w:val="nil"/>
              <w:tr2bl w:val="nil"/>
            </w:tcBorders>
            <w:shd w:val="clear" w:color="auto" w:fill="auto"/>
            <w:noWrap w:val="0"/>
            <w:vAlign w:val="center"/>
          </w:tcPr>
          <w:p w14:paraId="38BDD9A1">
            <w:pPr>
              <w:keepNext w:val="0"/>
              <w:keepLines w:val="0"/>
              <w:pageBreakBefore w:val="0"/>
              <w:widowControl w:val="0"/>
              <w:kinsoku/>
              <w:wordWrap/>
              <w:overflowPunct/>
              <w:topLinePunct w:val="0"/>
              <w:autoSpaceDE/>
              <w:autoSpaceDN/>
              <w:bidi w:val="0"/>
              <w:spacing w:line="500" w:lineRule="exact"/>
              <w:ind w:left="0" w:leftChars="0" w:right="0" w:rightChars="0" w:firstLine="0" w:firstLineChars="0"/>
              <w:jc w:val="center"/>
              <w:textAlignment w:val="auto"/>
              <w:rPr>
                <w:rFonts w:hint="eastAsia" w:ascii="宋体" w:hAnsi="宋体" w:eastAsia="宋体" w:cs="宋体"/>
                <w:b w:val="0"/>
                <w:bCs w:val="0"/>
                <w:color w:val="auto"/>
                <w:kern w:val="2"/>
                <w:sz w:val="21"/>
                <w:szCs w:val="21"/>
                <w:lang w:val="en-US" w:eastAsia="zh-CN" w:bidi="ar-SA"/>
              </w:rPr>
            </w:pPr>
            <w:r>
              <w:rPr>
                <w:rFonts w:hint="eastAsia" w:ascii="宋体" w:hAnsi="宋体" w:cs="宋体"/>
                <w:b w:val="0"/>
                <w:bCs w:val="0"/>
                <w:color w:val="auto"/>
                <w:sz w:val="21"/>
                <w:szCs w:val="21"/>
                <w:lang w:val="en-US" w:eastAsia="zh-CN"/>
              </w:rPr>
              <w:t>符合</w:t>
            </w:r>
          </w:p>
        </w:tc>
      </w:tr>
      <w:tr w14:paraId="62016E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5"/>
            <w:tcBorders>
              <w:tl2br w:val="nil"/>
              <w:tr2bl w:val="nil"/>
            </w:tcBorders>
            <w:noWrap w:val="0"/>
            <w:vAlign w:val="center"/>
          </w:tcPr>
          <w:p w14:paraId="437E9767">
            <w:pPr>
              <w:keepNext w:val="0"/>
              <w:keepLines w:val="0"/>
              <w:pageBreakBefore w:val="0"/>
              <w:widowControl w:val="0"/>
              <w:numPr>
                <w:ilvl w:val="0"/>
                <w:numId w:val="0"/>
              </w:numPr>
              <w:kinsoku/>
              <w:wordWrap/>
              <w:overflowPunct/>
              <w:topLinePunct w:val="0"/>
              <w:autoSpaceDE/>
              <w:autoSpaceDN/>
              <w:bidi w:val="0"/>
              <w:spacing w:line="240" w:lineRule="auto"/>
              <w:ind w:left="420" w:leftChars="0" w:right="0" w:rightChars="0"/>
              <w:jc w:val="both"/>
              <w:textAlignment w:val="auto"/>
              <w:rPr>
                <w:rFonts w:hint="default" w:ascii="宋体" w:hAnsi="宋体" w:eastAsia="宋体" w:cs="宋体"/>
                <w:color w:val="auto"/>
                <w:kern w:val="2"/>
                <w:sz w:val="21"/>
                <w:szCs w:val="21"/>
                <w:lang w:val="en-US" w:eastAsia="zh-CN" w:bidi="ar-SA"/>
              </w:rPr>
            </w:pPr>
            <w:r>
              <w:rPr>
                <w:rFonts w:hint="eastAsia" w:ascii="宋体" w:hAnsi="宋体" w:eastAsia="宋体" w:cs="宋体"/>
                <w:b/>
                <w:bCs/>
                <w:color w:val="000000"/>
                <w:sz w:val="21"/>
                <w:szCs w:val="21"/>
                <w:lang w:val="en-US" w:eastAsia="zh-CN"/>
              </w:rPr>
              <w:t>二、总平面布置</w:t>
            </w:r>
          </w:p>
        </w:tc>
      </w:tr>
      <w:tr w14:paraId="11C258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85" w:type="pct"/>
            <w:tcBorders>
              <w:tl2br w:val="nil"/>
              <w:tr2bl w:val="nil"/>
            </w:tcBorders>
            <w:noWrap w:val="0"/>
            <w:vAlign w:val="center"/>
          </w:tcPr>
          <w:p w14:paraId="3847002A">
            <w:pPr>
              <w:keepNext w:val="0"/>
              <w:keepLines w:val="0"/>
              <w:pageBreakBefore w:val="0"/>
              <w:widowControl w:val="0"/>
              <w:numPr>
                <w:ilvl w:val="0"/>
                <w:numId w:val="48"/>
              </w:numPr>
              <w:kinsoku/>
              <w:wordWrap/>
              <w:overflowPunct/>
              <w:topLinePunct w:val="0"/>
              <w:autoSpaceDE/>
              <w:autoSpaceDN/>
              <w:bidi w:val="0"/>
              <w:spacing w:line="240" w:lineRule="auto"/>
              <w:ind w:left="425" w:leftChars="0" w:right="0" w:rightChars="0" w:hanging="425" w:firstLineChars="0"/>
              <w:jc w:val="center"/>
              <w:textAlignment w:val="auto"/>
              <w:rPr>
                <w:rFonts w:hint="eastAsia" w:ascii="宋体" w:hAnsi="宋体" w:eastAsia="宋体" w:cs="宋体"/>
                <w:b/>
                <w:bCs/>
                <w:color w:val="000000"/>
                <w:sz w:val="21"/>
                <w:szCs w:val="21"/>
              </w:rPr>
            </w:pPr>
          </w:p>
        </w:tc>
        <w:tc>
          <w:tcPr>
            <w:tcW w:w="2314" w:type="pct"/>
            <w:tcBorders>
              <w:tl2br w:val="nil"/>
              <w:tr2bl w:val="nil"/>
            </w:tcBorders>
            <w:noWrap w:val="0"/>
            <w:vAlign w:val="center"/>
          </w:tcPr>
          <w:p w14:paraId="100A18C6">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厂区、居住区、交通运输、动力公用设施、防洪排涝、废料场、尾矿场、排土场、环境保护工程和综合利用场地等均应同时规划。</w:t>
            </w:r>
          </w:p>
        </w:tc>
        <w:tc>
          <w:tcPr>
            <w:tcW w:w="1118" w:type="pct"/>
            <w:tcBorders>
              <w:tl2br w:val="nil"/>
              <w:tr2bl w:val="nil"/>
            </w:tcBorders>
            <w:noWrap w:val="0"/>
            <w:vAlign w:val="center"/>
          </w:tcPr>
          <w:p w14:paraId="1A8582B7">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《工业企业总平面设计规范》</w:t>
            </w:r>
          </w:p>
          <w:p w14:paraId="12CB6A79">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(GB 50187-2012)</w:t>
            </w:r>
          </w:p>
          <w:p w14:paraId="302FCCD7">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第4.1.3条</w:t>
            </w:r>
          </w:p>
        </w:tc>
        <w:tc>
          <w:tcPr>
            <w:tcW w:w="910" w:type="pct"/>
            <w:tcBorders>
              <w:tl2br w:val="nil"/>
              <w:tr2bl w:val="nil"/>
            </w:tcBorders>
            <w:noWrap w:val="0"/>
            <w:vAlign w:val="center"/>
          </w:tcPr>
          <w:p w14:paraId="245FEF42">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已同时规划和设计。</w:t>
            </w:r>
          </w:p>
        </w:tc>
        <w:tc>
          <w:tcPr>
            <w:tcW w:w="371" w:type="pct"/>
            <w:tcBorders>
              <w:tl2br w:val="nil"/>
              <w:tr2bl w:val="nil"/>
            </w:tcBorders>
            <w:noWrap w:val="0"/>
            <w:vAlign w:val="center"/>
          </w:tcPr>
          <w:p w14:paraId="525257FC">
            <w:pPr>
              <w:keepNext w:val="0"/>
              <w:keepLines w:val="0"/>
              <w:pageBreakBefore w:val="0"/>
              <w:widowControl w:val="0"/>
              <w:kinsoku/>
              <w:wordWrap/>
              <w:overflowPunct/>
              <w:topLinePunct w:val="0"/>
              <w:autoSpaceDE/>
              <w:autoSpaceDN/>
              <w:bidi w:val="0"/>
              <w:spacing w:line="500" w:lineRule="exact"/>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符合</w:t>
            </w:r>
          </w:p>
        </w:tc>
      </w:tr>
      <w:tr w14:paraId="4D7854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85" w:type="pct"/>
            <w:tcBorders>
              <w:tl2br w:val="nil"/>
              <w:tr2bl w:val="nil"/>
            </w:tcBorders>
            <w:noWrap w:val="0"/>
            <w:vAlign w:val="center"/>
          </w:tcPr>
          <w:p w14:paraId="2984D5F7">
            <w:pPr>
              <w:keepNext w:val="0"/>
              <w:keepLines w:val="0"/>
              <w:pageBreakBefore w:val="0"/>
              <w:widowControl w:val="0"/>
              <w:numPr>
                <w:ilvl w:val="0"/>
                <w:numId w:val="48"/>
              </w:numPr>
              <w:kinsoku/>
              <w:wordWrap/>
              <w:overflowPunct/>
              <w:topLinePunct w:val="0"/>
              <w:autoSpaceDE/>
              <w:autoSpaceDN/>
              <w:bidi w:val="0"/>
              <w:spacing w:line="240" w:lineRule="auto"/>
              <w:ind w:left="425" w:leftChars="0" w:right="0" w:rightChars="0" w:hanging="425" w:firstLineChars="0"/>
              <w:jc w:val="center"/>
              <w:textAlignment w:val="auto"/>
              <w:rPr>
                <w:rFonts w:hint="eastAsia" w:ascii="宋体" w:hAnsi="宋体" w:eastAsia="宋体" w:cs="宋体"/>
                <w:b/>
                <w:bCs/>
                <w:color w:val="000000"/>
                <w:sz w:val="21"/>
                <w:szCs w:val="21"/>
              </w:rPr>
            </w:pPr>
          </w:p>
        </w:tc>
        <w:tc>
          <w:tcPr>
            <w:tcW w:w="2314" w:type="pct"/>
            <w:tcBorders>
              <w:tl2br w:val="nil"/>
              <w:tr2bl w:val="nil"/>
            </w:tcBorders>
            <w:noWrap w:val="0"/>
            <w:vAlign w:val="center"/>
          </w:tcPr>
          <w:p w14:paraId="06A4C115">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总平面布置应节约集约用地，提高土地利用率。布置时并应符合下列要求：1在符合生产流程、操作要求和使用功能的前提下，建筑物、构筑物等设施，应采用联合、集中、多层布置；2应按企业规模和功能分区，合理地确定通道宽度；3厂区功能分区及建筑物、构筑物的外形宜规整；4功能分区内各项设施的布置，应紧凑、合理。</w:t>
            </w:r>
          </w:p>
        </w:tc>
        <w:tc>
          <w:tcPr>
            <w:tcW w:w="1118" w:type="pct"/>
            <w:tcBorders>
              <w:tl2br w:val="nil"/>
              <w:tr2bl w:val="nil"/>
            </w:tcBorders>
            <w:noWrap w:val="0"/>
            <w:vAlign w:val="center"/>
          </w:tcPr>
          <w:p w14:paraId="642CD87D">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《工业企业总平面设计规范》</w:t>
            </w:r>
          </w:p>
          <w:p w14:paraId="18440235">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(GB 50187-2012)</w:t>
            </w:r>
          </w:p>
          <w:p w14:paraId="6943E2E6">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第5.1.2条</w:t>
            </w:r>
          </w:p>
        </w:tc>
        <w:tc>
          <w:tcPr>
            <w:tcW w:w="910" w:type="pct"/>
            <w:tcBorders>
              <w:tl2br w:val="nil"/>
              <w:tr2bl w:val="nil"/>
            </w:tcBorders>
            <w:noWrap w:val="0"/>
            <w:vAlign w:val="center"/>
          </w:tcPr>
          <w:p w14:paraId="544405E6">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根据功能区进行划分。</w:t>
            </w:r>
          </w:p>
        </w:tc>
        <w:tc>
          <w:tcPr>
            <w:tcW w:w="371" w:type="pct"/>
            <w:tcBorders>
              <w:tl2br w:val="nil"/>
              <w:tr2bl w:val="nil"/>
            </w:tcBorders>
            <w:noWrap w:val="0"/>
            <w:vAlign w:val="center"/>
          </w:tcPr>
          <w:p w14:paraId="2C1990B9">
            <w:pPr>
              <w:widowControl w:val="0"/>
              <w:kinsoku/>
              <w:wordWrap/>
              <w:overflowPunct/>
              <w:topLinePunct w:val="0"/>
              <w:bidi w:val="0"/>
              <w:spacing w:line="360" w:lineRule="auto"/>
              <w:ind w:firstLine="0" w:firstLineChars="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符合</w:t>
            </w:r>
          </w:p>
        </w:tc>
      </w:tr>
      <w:tr w14:paraId="46BD2D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85" w:type="pct"/>
            <w:tcBorders>
              <w:tl2br w:val="nil"/>
              <w:tr2bl w:val="nil"/>
            </w:tcBorders>
            <w:noWrap w:val="0"/>
            <w:vAlign w:val="center"/>
          </w:tcPr>
          <w:p w14:paraId="047D999E">
            <w:pPr>
              <w:keepNext w:val="0"/>
              <w:keepLines w:val="0"/>
              <w:pageBreakBefore w:val="0"/>
              <w:widowControl w:val="0"/>
              <w:numPr>
                <w:ilvl w:val="0"/>
                <w:numId w:val="48"/>
              </w:numPr>
              <w:kinsoku/>
              <w:wordWrap/>
              <w:overflowPunct/>
              <w:topLinePunct w:val="0"/>
              <w:autoSpaceDE/>
              <w:autoSpaceDN/>
              <w:bidi w:val="0"/>
              <w:spacing w:line="240" w:lineRule="auto"/>
              <w:ind w:left="425" w:leftChars="0" w:right="0" w:rightChars="0" w:hanging="425" w:firstLineChars="0"/>
              <w:jc w:val="center"/>
              <w:textAlignment w:val="auto"/>
              <w:rPr>
                <w:rFonts w:hint="eastAsia" w:ascii="宋体" w:hAnsi="宋体" w:eastAsia="宋体" w:cs="宋体"/>
                <w:b/>
                <w:bCs/>
                <w:color w:val="000000"/>
                <w:sz w:val="21"/>
                <w:szCs w:val="21"/>
              </w:rPr>
            </w:pPr>
          </w:p>
        </w:tc>
        <w:tc>
          <w:tcPr>
            <w:tcW w:w="2314" w:type="pct"/>
            <w:tcBorders>
              <w:tl2br w:val="nil"/>
              <w:tr2bl w:val="nil"/>
            </w:tcBorders>
            <w:noWrap w:val="0"/>
            <w:vAlign w:val="center"/>
          </w:tcPr>
          <w:p w14:paraId="6C656B5C">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厂区的通道宽度，应符合下列要求：</w:t>
            </w:r>
          </w:p>
          <w:p w14:paraId="4F220057">
            <w:pPr>
              <w:pStyle w:val="18"/>
              <w:keepNext w:val="0"/>
              <w:keepLines w:val="0"/>
              <w:pageBreakBefore w:val="0"/>
              <w:widowControl w:val="0"/>
              <w:numPr>
                <w:ilvl w:val="0"/>
                <w:numId w:val="49"/>
              </w:numPr>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应符合通道两侧建筑物、构筑物及露天设施对防火、安全与卫生间距的要求；</w:t>
            </w:r>
          </w:p>
          <w:p w14:paraId="32351F63">
            <w:pPr>
              <w:pStyle w:val="18"/>
              <w:keepNext w:val="0"/>
              <w:keepLines w:val="0"/>
              <w:pageBreakBefore w:val="0"/>
              <w:widowControl w:val="0"/>
              <w:numPr>
                <w:ilvl w:val="0"/>
                <w:numId w:val="49"/>
              </w:numPr>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应符合铁路、道路与带式输送机通廊等工业运输线路的布置要求；</w:t>
            </w:r>
          </w:p>
          <w:p w14:paraId="4F92B50C">
            <w:pPr>
              <w:pStyle w:val="18"/>
              <w:keepNext w:val="0"/>
              <w:keepLines w:val="0"/>
              <w:pageBreakBefore w:val="0"/>
              <w:widowControl w:val="0"/>
              <w:numPr>
                <w:ilvl w:val="0"/>
                <w:numId w:val="0"/>
              </w:numPr>
              <w:kinsoku/>
              <w:wordWrap/>
              <w:overflowPunct/>
              <w:topLinePunct w:val="0"/>
              <w:autoSpaceDE/>
              <w:autoSpaceDN/>
              <w:bidi w:val="0"/>
              <w:spacing w:line="240" w:lineRule="auto"/>
              <w:ind w:leftChars="0" w:right="0" w:right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w:t>
            </w:r>
            <w:r>
              <w:rPr>
                <w:rFonts w:hint="eastAsia" w:ascii="宋体" w:hAnsi="宋体" w:cs="宋体"/>
                <w:color w:val="auto"/>
                <w:sz w:val="21"/>
                <w:szCs w:val="21"/>
                <w:lang w:val="en-US" w:eastAsia="zh-CN"/>
              </w:rPr>
              <w:t>）</w:t>
            </w:r>
            <w:r>
              <w:rPr>
                <w:rFonts w:hint="eastAsia" w:ascii="宋体" w:hAnsi="宋体" w:eastAsia="宋体" w:cs="宋体"/>
                <w:color w:val="auto"/>
                <w:sz w:val="21"/>
                <w:szCs w:val="21"/>
                <w:lang w:val="en-US" w:eastAsia="zh-CN"/>
              </w:rPr>
              <w:t>应符合各种工程管线的布置要求；</w:t>
            </w:r>
          </w:p>
          <w:p w14:paraId="32CFD451">
            <w:pPr>
              <w:pStyle w:val="18"/>
              <w:keepNext w:val="0"/>
              <w:keepLines w:val="0"/>
              <w:pageBreakBefore w:val="0"/>
              <w:widowControl w:val="0"/>
              <w:numPr>
                <w:ilvl w:val="0"/>
                <w:numId w:val="0"/>
              </w:numPr>
              <w:kinsoku/>
              <w:wordWrap/>
              <w:overflowPunct/>
              <w:topLinePunct w:val="0"/>
              <w:autoSpaceDE/>
              <w:autoSpaceDN/>
              <w:bidi w:val="0"/>
              <w:spacing w:line="240" w:lineRule="auto"/>
              <w:ind w:leftChars="0" w:right="0" w:right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w:t>
            </w:r>
            <w:r>
              <w:rPr>
                <w:rFonts w:hint="eastAsia" w:ascii="宋体" w:hAnsi="宋体" w:cs="宋体"/>
                <w:color w:val="auto"/>
                <w:sz w:val="21"/>
                <w:szCs w:val="21"/>
                <w:lang w:val="en-US" w:eastAsia="zh-CN"/>
              </w:rPr>
              <w:t>）</w:t>
            </w:r>
            <w:r>
              <w:rPr>
                <w:rFonts w:hint="eastAsia" w:ascii="宋体" w:hAnsi="宋体" w:eastAsia="宋体" w:cs="宋体"/>
                <w:color w:val="auto"/>
                <w:sz w:val="21"/>
                <w:szCs w:val="21"/>
                <w:lang w:val="en-US" w:eastAsia="zh-CN"/>
              </w:rPr>
              <w:t>应符合绿化布置的要求；</w:t>
            </w:r>
          </w:p>
          <w:p w14:paraId="0D4DCAB2">
            <w:pPr>
              <w:pStyle w:val="18"/>
              <w:keepNext w:val="0"/>
              <w:keepLines w:val="0"/>
              <w:pageBreakBefore w:val="0"/>
              <w:widowControl w:val="0"/>
              <w:numPr>
                <w:ilvl w:val="0"/>
                <w:numId w:val="0"/>
              </w:numPr>
              <w:kinsoku/>
              <w:wordWrap/>
              <w:overflowPunct/>
              <w:topLinePunct w:val="0"/>
              <w:autoSpaceDE/>
              <w:autoSpaceDN/>
              <w:bidi w:val="0"/>
              <w:spacing w:line="240" w:lineRule="auto"/>
              <w:ind w:leftChars="0" w:right="0" w:right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w:t>
            </w:r>
            <w:r>
              <w:rPr>
                <w:rFonts w:hint="eastAsia" w:ascii="宋体" w:hAnsi="宋体" w:cs="宋体"/>
                <w:color w:val="auto"/>
                <w:sz w:val="21"/>
                <w:szCs w:val="21"/>
                <w:lang w:val="en-US" w:eastAsia="zh-CN"/>
              </w:rPr>
              <w:t>）</w:t>
            </w:r>
            <w:r>
              <w:rPr>
                <w:rFonts w:hint="eastAsia" w:ascii="宋体" w:hAnsi="宋体" w:eastAsia="宋体" w:cs="宋体"/>
                <w:color w:val="auto"/>
                <w:sz w:val="21"/>
                <w:szCs w:val="21"/>
                <w:lang w:val="en-US" w:eastAsia="zh-CN"/>
              </w:rPr>
              <w:t>应符合施工、安装与检修的要求；</w:t>
            </w:r>
          </w:p>
          <w:p w14:paraId="14D50977">
            <w:pPr>
              <w:pStyle w:val="18"/>
              <w:keepNext w:val="0"/>
              <w:keepLines w:val="0"/>
              <w:pageBreakBefore w:val="0"/>
              <w:widowControl w:val="0"/>
              <w:numPr>
                <w:ilvl w:val="0"/>
                <w:numId w:val="0"/>
              </w:numPr>
              <w:kinsoku/>
              <w:wordWrap/>
              <w:overflowPunct/>
              <w:topLinePunct w:val="0"/>
              <w:autoSpaceDE/>
              <w:autoSpaceDN/>
              <w:bidi w:val="0"/>
              <w:spacing w:line="240" w:lineRule="auto"/>
              <w:ind w:leftChars="0" w:right="0" w:right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6</w:t>
            </w:r>
            <w:r>
              <w:rPr>
                <w:rFonts w:hint="eastAsia" w:ascii="宋体" w:hAnsi="宋体" w:cs="宋体"/>
                <w:color w:val="auto"/>
                <w:sz w:val="21"/>
                <w:szCs w:val="21"/>
                <w:lang w:val="en-US" w:eastAsia="zh-CN"/>
              </w:rPr>
              <w:t>）</w:t>
            </w:r>
            <w:r>
              <w:rPr>
                <w:rFonts w:hint="eastAsia" w:ascii="宋体" w:hAnsi="宋体" w:eastAsia="宋体" w:cs="宋体"/>
                <w:color w:val="auto"/>
                <w:sz w:val="21"/>
                <w:szCs w:val="21"/>
                <w:lang w:val="en-US" w:eastAsia="zh-CN"/>
              </w:rPr>
              <w:t>应符合竖向设计的要求；</w:t>
            </w:r>
          </w:p>
          <w:p w14:paraId="58442480">
            <w:pPr>
              <w:pStyle w:val="18"/>
              <w:keepNext w:val="0"/>
              <w:keepLines w:val="0"/>
              <w:pageBreakBefore w:val="0"/>
              <w:widowControl w:val="0"/>
              <w:numPr>
                <w:ilvl w:val="0"/>
                <w:numId w:val="0"/>
              </w:numPr>
              <w:kinsoku/>
              <w:wordWrap/>
              <w:overflowPunct/>
              <w:topLinePunct w:val="0"/>
              <w:autoSpaceDE/>
              <w:autoSpaceDN/>
              <w:bidi w:val="0"/>
              <w:spacing w:line="240" w:lineRule="auto"/>
              <w:ind w:leftChars="0" w:right="0" w:right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7</w:t>
            </w:r>
            <w:r>
              <w:rPr>
                <w:rFonts w:hint="eastAsia" w:ascii="宋体" w:hAnsi="宋体" w:cs="宋体"/>
                <w:color w:val="auto"/>
                <w:sz w:val="21"/>
                <w:szCs w:val="21"/>
                <w:lang w:val="en-US" w:eastAsia="zh-CN"/>
              </w:rPr>
              <w:t>）</w:t>
            </w:r>
            <w:r>
              <w:rPr>
                <w:rFonts w:hint="eastAsia" w:ascii="宋体" w:hAnsi="宋体" w:eastAsia="宋体" w:cs="宋体"/>
                <w:color w:val="auto"/>
                <w:sz w:val="21"/>
                <w:szCs w:val="21"/>
                <w:lang w:val="en-US" w:eastAsia="zh-CN"/>
              </w:rPr>
              <w:t>应符合预留发展用地的要求。</w:t>
            </w:r>
          </w:p>
        </w:tc>
        <w:tc>
          <w:tcPr>
            <w:tcW w:w="1118" w:type="pct"/>
            <w:tcBorders>
              <w:tl2br w:val="nil"/>
              <w:tr2bl w:val="nil"/>
            </w:tcBorders>
            <w:noWrap w:val="0"/>
            <w:vAlign w:val="center"/>
          </w:tcPr>
          <w:p w14:paraId="5993A6EE">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《工业企业总平面设计规范》</w:t>
            </w:r>
          </w:p>
          <w:p w14:paraId="5663BC6A">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(GB 50187-2012)</w:t>
            </w:r>
          </w:p>
          <w:p w14:paraId="628F0ECC">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第5.1.4条</w:t>
            </w:r>
          </w:p>
        </w:tc>
        <w:tc>
          <w:tcPr>
            <w:tcW w:w="910" w:type="pct"/>
            <w:tcBorders>
              <w:tl2br w:val="nil"/>
              <w:tr2bl w:val="nil"/>
            </w:tcBorders>
            <w:noWrap w:val="0"/>
            <w:vAlign w:val="center"/>
          </w:tcPr>
          <w:p w14:paraId="01B707CE">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项目各通道宽度满足要求。</w:t>
            </w:r>
          </w:p>
        </w:tc>
        <w:tc>
          <w:tcPr>
            <w:tcW w:w="371" w:type="pct"/>
            <w:tcBorders>
              <w:tl2br w:val="nil"/>
              <w:tr2bl w:val="nil"/>
            </w:tcBorders>
            <w:noWrap w:val="0"/>
            <w:vAlign w:val="center"/>
          </w:tcPr>
          <w:p w14:paraId="1B15E59A">
            <w:pPr>
              <w:widowControl w:val="0"/>
              <w:kinsoku/>
              <w:wordWrap/>
              <w:overflowPunct/>
              <w:topLinePunct w:val="0"/>
              <w:bidi w:val="0"/>
              <w:spacing w:line="360" w:lineRule="auto"/>
              <w:ind w:firstLine="0" w:firstLineChars="0"/>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符合</w:t>
            </w:r>
          </w:p>
        </w:tc>
      </w:tr>
      <w:tr w14:paraId="10E784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85" w:type="pct"/>
            <w:tcBorders>
              <w:tl2br w:val="nil"/>
              <w:tr2bl w:val="nil"/>
            </w:tcBorders>
            <w:noWrap w:val="0"/>
            <w:vAlign w:val="center"/>
          </w:tcPr>
          <w:p w14:paraId="7CBC6B27">
            <w:pPr>
              <w:keepNext w:val="0"/>
              <w:keepLines w:val="0"/>
              <w:pageBreakBefore w:val="0"/>
              <w:widowControl w:val="0"/>
              <w:numPr>
                <w:ilvl w:val="0"/>
                <w:numId w:val="48"/>
              </w:numPr>
              <w:kinsoku/>
              <w:wordWrap/>
              <w:overflowPunct/>
              <w:topLinePunct w:val="0"/>
              <w:autoSpaceDE/>
              <w:autoSpaceDN/>
              <w:bidi w:val="0"/>
              <w:spacing w:line="240" w:lineRule="auto"/>
              <w:ind w:left="425" w:leftChars="0" w:right="0" w:rightChars="0" w:hanging="425" w:firstLineChars="0"/>
              <w:jc w:val="center"/>
              <w:textAlignment w:val="auto"/>
              <w:rPr>
                <w:rFonts w:hint="eastAsia" w:ascii="宋体" w:hAnsi="宋体" w:eastAsia="宋体" w:cs="宋体"/>
                <w:b/>
                <w:bCs/>
                <w:color w:val="000000"/>
                <w:sz w:val="21"/>
                <w:szCs w:val="21"/>
              </w:rPr>
            </w:pPr>
          </w:p>
        </w:tc>
        <w:tc>
          <w:tcPr>
            <w:tcW w:w="2314" w:type="pct"/>
            <w:tcBorders>
              <w:tl2br w:val="nil"/>
              <w:tr2bl w:val="nil"/>
            </w:tcBorders>
            <w:noWrap w:val="0"/>
            <w:vAlign w:val="center"/>
          </w:tcPr>
          <w:p w14:paraId="6D99AC72">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公用设施的布置，宜位于其负荷中心或靠近主要用户。</w:t>
            </w:r>
          </w:p>
        </w:tc>
        <w:tc>
          <w:tcPr>
            <w:tcW w:w="1118" w:type="pct"/>
            <w:tcBorders>
              <w:tl2br w:val="nil"/>
              <w:tr2bl w:val="nil"/>
            </w:tcBorders>
            <w:noWrap w:val="0"/>
            <w:vAlign w:val="center"/>
          </w:tcPr>
          <w:p w14:paraId="639BD27A">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《工业企业总平面设计规范》</w:t>
            </w:r>
          </w:p>
          <w:p w14:paraId="2929EFDD">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(GB 50187-2012)</w:t>
            </w:r>
          </w:p>
          <w:p w14:paraId="7410B7E7">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第5.3.1条</w:t>
            </w:r>
          </w:p>
        </w:tc>
        <w:tc>
          <w:tcPr>
            <w:tcW w:w="910" w:type="pct"/>
            <w:tcBorders>
              <w:tl2br w:val="nil"/>
              <w:tr2bl w:val="nil"/>
            </w:tcBorders>
            <w:noWrap w:val="0"/>
            <w:vAlign w:val="center"/>
          </w:tcPr>
          <w:p w14:paraId="03F3F307">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公用设施多为利旧工程，现状布置合理。</w:t>
            </w:r>
          </w:p>
        </w:tc>
        <w:tc>
          <w:tcPr>
            <w:tcW w:w="371" w:type="pct"/>
            <w:tcBorders>
              <w:tl2br w:val="nil"/>
              <w:tr2bl w:val="nil"/>
            </w:tcBorders>
            <w:noWrap w:val="0"/>
            <w:vAlign w:val="center"/>
          </w:tcPr>
          <w:p w14:paraId="49DDE0C1">
            <w:pPr>
              <w:widowControl w:val="0"/>
              <w:kinsoku/>
              <w:wordWrap/>
              <w:overflowPunct/>
              <w:topLinePunct w:val="0"/>
              <w:bidi w:val="0"/>
              <w:spacing w:line="360" w:lineRule="auto"/>
              <w:ind w:firstLine="0" w:firstLineChars="0"/>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符合</w:t>
            </w:r>
          </w:p>
        </w:tc>
      </w:tr>
      <w:tr w14:paraId="78EA68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85" w:type="pct"/>
            <w:tcBorders>
              <w:tl2br w:val="nil"/>
              <w:tr2bl w:val="nil"/>
            </w:tcBorders>
            <w:noWrap w:val="0"/>
            <w:vAlign w:val="center"/>
          </w:tcPr>
          <w:p w14:paraId="67802D3F">
            <w:pPr>
              <w:keepNext w:val="0"/>
              <w:keepLines w:val="0"/>
              <w:pageBreakBefore w:val="0"/>
              <w:widowControl w:val="0"/>
              <w:numPr>
                <w:ilvl w:val="0"/>
                <w:numId w:val="48"/>
              </w:numPr>
              <w:kinsoku/>
              <w:wordWrap/>
              <w:overflowPunct/>
              <w:topLinePunct w:val="0"/>
              <w:autoSpaceDE/>
              <w:autoSpaceDN/>
              <w:bidi w:val="0"/>
              <w:spacing w:line="240" w:lineRule="auto"/>
              <w:ind w:left="425" w:leftChars="0" w:right="0" w:rightChars="0" w:hanging="425" w:firstLineChars="0"/>
              <w:jc w:val="center"/>
              <w:textAlignment w:val="auto"/>
              <w:rPr>
                <w:rFonts w:hint="eastAsia" w:ascii="宋体" w:hAnsi="宋体" w:eastAsia="宋体" w:cs="宋体"/>
                <w:b/>
                <w:bCs/>
                <w:color w:val="000000"/>
                <w:sz w:val="21"/>
                <w:szCs w:val="21"/>
              </w:rPr>
            </w:pPr>
          </w:p>
        </w:tc>
        <w:tc>
          <w:tcPr>
            <w:tcW w:w="2314" w:type="pct"/>
            <w:tcBorders>
              <w:tl2br w:val="nil"/>
              <w:tr2bl w:val="nil"/>
            </w:tcBorders>
            <w:noWrap w:val="0"/>
            <w:vAlign w:val="center"/>
          </w:tcPr>
          <w:p w14:paraId="4499DBCD">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工业企业厂区总平面布置应明确功能分区</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可分为生产区、非生产区、辅助生产区。其工程用地应根据卫生要求，结合工业企业性质、规模、生产流程、交通运输、场地自然条件、技术经济条件等合理布局。</w:t>
            </w:r>
          </w:p>
        </w:tc>
        <w:tc>
          <w:tcPr>
            <w:tcW w:w="1118" w:type="pct"/>
            <w:tcBorders>
              <w:tl2br w:val="nil"/>
              <w:tr2bl w:val="nil"/>
            </w:tcBorders>
            <w:noWrap w:val="0"/>
            <w:vAlign w:val="center"/>
          </w:tcPr>
          <w:p w14:paraId="76314664">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《工业企业设计卫生标准》</w:t>
            </w:r>
          </w:p>
          <w:p w14:paraId="77E2F673">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val="en-US" w:eastAsia="en-US"/>
              </w:rPr>
              <w:t>GBZ 1</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lang w:val="en-US" w:eastAsia="en-US"/>
              </w:rPr>
              <w:t>2010</w:t>
            </w:r>
            <w:r>
              <w:rPr>
                <w:rFonts w:hint="eastAsia" w:ascii="宋体" w:hAnsi="宋体" w:eastAsia="宋体" w:cs="宋体"/>
                <w:color w:val="auto"/>
                <w:sz w:val="21"/>
                <w:szCs w:val="21"/>
                <w:lang w:val="en-US" w:eastAsia="zh-CN"/>
              </w:rPr>
              <w:t>)</w:t>
            </w:r>
          </w:p>
          <w:p w14:paraId="3061DBBE">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第</w:t>
            </w:r>
            <w:r>
              <w:rPr>
                <w:rFonts w:hint="eastAsia" w:ascii="宋体" w:hAnsi="宋体" w:eastAsia="宋体" w:cs="宋体"/>
                <w:color w:val="auto"/>
                <w:sz w:val="21"/>
                <w:szCs w:val="21"/>
                <w:lang w:val="en-US" w:eastAsia="en-US"/>
              </w:rPr>
              <w:t>5.2.1.1</w:t>
            </w:r>
            <w:r>
              <w:rPr>
                <w:rFonts w:hint="eastAsia" w:ascii="宋体" w:hAnsi="宋体" w:eastAsia="宋体" w:cs="宋体"/>
                <w:color w:val="auto"/>
                <w:sz w:val="21"/>
                <w:szCs w:val="21"/>
                <w:lang w:val="en-US" w:eastAsia="zh-CN"/>
              </w:rPr>
              <w:t>条</w:t>
            </w:r>
          </w:p>
        </w:tc>
        <w:tc>
          <w:tcPr>
            <w:tcW w:w="910" w:type="pct"/>
            <w:tcBorders>
              <w:tl2br w:val="nil"/>
              <w:tr2bl w:val="nil"/>
            </w:tcBorders>
            <w:noWrap w:val="0"/>
            <w:vAlign w:val="center"/>
          </w:tcPr>
          <w:p w14:paraId="119AE345">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项目总平面布置紧凑、合理。</w:t>
            </w:r>
          </w:p>
        </w:tc>
        <w:tc>
          <w:tcPr>
            <w:tcW w:w="371" w:type="pct"/>
            <w:tcBorders>
              <w:tl2br w:val="nil"/>
              <w:tr2bl w:val="nil"/>
            </w:tcBorders>
            <w:noWrap w:val="0"/>
            <w:vAlign w:val="center"/>
          </w:tcPr>
          <w:p w14:paraId="63BE43B1">
            <w:pPr>
              <w:keepNext w:val="0"/>
              <w:keepLines w:val="0"/>
              <w:pageBreakBefore w:val="0"/>
              <w:widowControl w:val="0"/>
              <w:kinsoku/>
              <w:wordWrap/>
              <w:overflowPunct/>
              <w:topLinePunct w:val="0"/>
              <w:autoSpaceDE/>
              <w:autoSpaceDN/>
              <w:bidi w:val="0"/>
              <w:spacing w:line="500" w:lineRule="exact"/>
              <w:ind w:left="0" w:leftChars="0" w:right="0" w:rightChars="0" w:firstLine="0" w:firstLineChars="0"/>
              <w:jc w:val="center"/>
              <w:textAlignment w:val="auto"/>
              <w:rPr>
                <w:rFonts w:hint="eastAsia" w:ascii="宋体" w:hAnsi="宋体" w:eastAsia="宋体" w:cs="宋体"/>
                <w:b/>
                <w:bCs/>
                <w:color w:val="auto"/>
                <w:kern w:val="2"/>
                <w:sz w:val="21"/>
                <w:szCs w:val="21"/>
                <w:lang w:val="en-US" w:eastAsia="zh-CN" w:bidi="ar-SA"/>
              </w:rPr>
            </w:pPr>
            <w:r>
              <w:rPr>
                <w:rFonts w:hint="eastAsia" w:ascii="宋体" w:hAnsi="宋体" w:eastAsia="宋体" w:cs="宋体"/>
                <w:b w:val="0"/>
                <w:bCs w:val="0"/>
                <w:color w:val="auto"/>
                <w:sz w:val="21"/>
                <w:szCs w:val="21"/>
                <w:lang w:val="en-US" w:eastAsia="zh-CN"/>
              </w:rPr>
              <w:t>符合</w:t>
            </w:r>
          </w:p>
        </w:tc>
      </w:tr>
      <w:tr w14:paraId="47515A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85" w:type="pct"/>
            <w:tcBorders>
              <w:tl2br w:val="nil"/>
              <w:tr2bl w:val="nil"/>
            </w:tcBorders>
            <w:noWrap w:val="0"/>
            <w:vAlign w:val="center"/>
          </w:tcPr>
          <w:p w14:paraId="6F65457B">
            <w:pPr>
              <w:keepNext w:val="0"/>
              <w:keepLines w:val="0"/>
              <w:pageBreakBefore w:val="0"/>
              <w:widowControl w:val="0"/>
              <w:numPr>
                <w:ilvl w:val="0"/>
                <w:numId w:val="48"/>
              </w:numPr>
              <w:kinsoku/>
              <w:wordWrap/>
              <w:overflowPunct/>
              <w:topLinePunct w:val="0"/>
              <w:autoSpaceDE/>
              <w:autoSpaceDN/>
              <w:bidi w:val="0"/>
              <w:spacing w:line="240" w:lineRule="auto"/>
              <w:ind w:left="425" w:leftChars="0" w:right="0" w:rightChars="0" w:hanging="425" w:firstLineChars="0"/>
              <w:jc w:val="center"/>
              <w:textAlignment w:val="auto"/>
              <w:rPr>
                <w:rFonts w:hint="eastAsia" w:ascii="宋体" w:hAnsi="宋体" w:eastAsia="宋体" w:cs="宋体"/>
                <w:b/>
                <w:bCs/>
                <w:color w:val="000000"/>
                <w:sz w:val="21"/>
                <w:szCs w:val="21"/>
              </w:rPr>
            </w:pPr>
          </w:p>
        </w:tc>
        <w:tc>
          <w:tcPr>
            <w:tcW w:w="2314" w:type="pct"/>
            <w:tcBorders>
              <w:tl2br w:val="nil"/>
              <w:tr2bl w:val="nil"/>
            </w:tcBorders>
            <w:noWrap w:val="0"/>
            <w:vAlign w:val="center"/>
          </w:tcPr>
          <w:p w14:paraId="2771F702">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矿山企业的办公区、生活区、工业场地、地面建筑等，不应设在危崖、塌陷区、崩落区，不应设在受尘毒、污风影响区域内，不应受洪水、泥石流、爆破威胁。</w:t>
            </w:r>
          </w:p>
        </w:tc>
        <w:tc>
          <w:tcPr>
            <w:tcW w:w="1118" w:type="pct"/>
            <w:tcBorders>
              <w:tl2br w:val="nil"/>
              <w:tr2bl w:val="nil"/>
            </w:tcBorders>
            <w:noWrap w:val="0"/>
            <w:vAlign w:val="center"/>
          </w:tcPr>
          <w:p w14:paraId="3938B393">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《金属非金属矿山安全规程》(GB16423-2020)</w:t>
            </w:r>
          </w:p>
          <w:p w14:paraId="0AC5D2D4">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第4.6.1条</w:t>
            </w:r>
          </w:p>
        </w:tc>
        <w:tc>
          <w:tcPr>
            <w:tcW w:w="910" w:type="pct"/>
            <w:tcBorders>
              <w:tl2br w:val="nil"/>
              <w:tr2bl w:val="nil"/>
            </w:tcBorders>
            <w:noWrap w:val="0"/>
            <w:vAlign w:val="center"/>
          </w:tcPr>
          <w:p w14:paraId="38AE3ED4">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矿山已有的建（构）筑物不在上述影响范围区域。</w:t>
            </w:r>
          </w:p>
        </w:tc>
        <w:tc>
          <w:tcPr>
            <w:tcW w:w="371" w:type="pct"/>
            <w:tcBorders>
              <w:tl2br w:val="nil"/>
              <w:tr2bl w:val="nil"/>
            </w:tcBorders>
            <w:noWrap w:val="0"/>
            <w:vAlign w:val="center"/>
          </w:tcPr>
          <w:p w14:paraId="5461E7F7">
            <w:pPr>
              <w:keepNext w:val="0"/>
              <w:keepLines w:val="0"/>
              <w:pageBreakBefore w:val="0"/>
              <w:widowControl w:val="0"/>
              <w:kinsoku/>
              <w:wordWrap/>
              <w:overflowPunct/>
              <w:topLinePunct w:val="0"/>
              <w:autoSpaceDE/>
              <w:autoSpaceDN/>
              <w:bidi w:val="0"/>
              <w:spacing w:line="500" w:lineRule="exact"/>
              <w:ind w:left="0" w:leftChars="0" w:right="0" w:rightChars="0" w:firstLine="0" w:firstLineChars="0"/>
              <w:jc w:val="center"/>
              <w:textAlignment w:val="auto"/>
              <w:rPr>
                <w:rFonts w:hint="eastAsia" w:ascii="宋体" w:hAnsi="宋体" w:eastAsia="宋体" w:cs="宋体"/>
                <w:b w:val="0"/>
                <w:bCs w:val="0"/>
                <w:color w:val="auto"/>
                <w:kern w:val="2"/>
                <w:sz w:val="21"/>
                <w:szCs w:val="21"/>
                <w:lang w:val="en-US" w:eastAsia="zh-CN" w:bidi="ar-SA"/>
              </w:rPr>
            </w:pPr>
            <w:r>
              <w:rPr>
                <w:rFonts w:hint="eastAsia" w:ascii="宋体" w:hAnsi="宋体" w:eastAsia="宋体" w:cs="宋体"/>
                <w:b w:val="0"/>
                <w:bCs w:val="0"/>
                <w:color w:val="auto"/>
                <w:sz w:val="21"/>
                <w:szCs w:val="21"/>
                <w:lang w:val="en-US" w:eastAsia="zh-CN"/>
              </w:rPr>
              <w:t>符合</w:t>
            </w:r>
          </w:p>
        </w:tc>
      </w:tr>
      <w:tr w14:paraId="1A0F78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85" w:type="pct"/>
            <w:tcBorders>
              <w:tl2br w:val="nil"/>
              <w:tr2bl w:val="nil"/>
            </w:tcBorders>
            <w:noWrap w:val="0"/>
            <w:vAlign w:val="center"/>
          </w:tcPr>
          <w:p w14:paraId="1FA8F1CC">
            <w:pPr>
              <w:keepNext w:val="0"/>
              <w:keepLines w:val="0"/>
              <w:pageBreakBefore w:val="0"/>
              <w:widowControl w:val="0"/>
              <w:numPr>
                <w:ilvl w:val="0"/>
                <w:numId w:val="48"/>
              </w:numPr>
              <w:kinsoku/>
              <w:wordWrap/>
              <w:overflowPunct/>
              <w:topLinePunct w:val="0"/>
              <w:autoSpaceDE/>
              <w:autoSpaceDN/>
              <w:bidi w:val="0"/>
              <w:spacing w:line="240" w:lineRule="auto"/>
              <w:ind w:left="425" w:leftChars="0" w:right="0" w:rightChars="0" w:hanging="425" w:firstLineChars="0"/>
              <w:jc w:val="center"/>
              <w:textAlignment w:val="auto"/>
              <w:rPr>
                <w:rFonts w:hint="eastAsia" w:ascii="宋体" w:hAnsi="宋体" w:eastAsia="宋体" w:cs="宋体"/>
                <w:b/>
                <w:bCs/>
                <w:color w:val="000000"/>
                <w:sz w:val="21"/>
                <w:szCs w:val="21"/>
              </w:rPr>
            </w:pPr>
            <w:bookmarkStart w:id="176" w:name="_Toc23458"/>
          </w:p>
        </w:tc>
        <w:tc>
          <w:tcPr>
            <w:tcW w:w="2314" w:type="pct"/>
            <w:tcBorders>
              <w:tl2br w:val="nil"/>
              <w:tr2bl w:val="nil"/>
            </w:tcBorders>
            <w:noWrap w:val="0"/>
            <w:vAlign w:val="center"/>
          </w:tcPr>
          <w:p w14:paraId="64E89345">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距工作台阶坡底线50米范围内不得从事碎石加工作业。</w:t>
            </w:r>
          </w:p>
        </w:tc>
        <w:tc>
          <w:tcPr>
            <w:tcW w:w="1118" w:type="pct"/>
            <w:tcBorders>
              <w:tl2br w:val="nil"/>
              <w:tr2bl w:val="nil"/>
            </w:tcBorders>
            <w:noWrap w:val="0"/>
            <w:vAlign w:val="center"/>
          </w:tcPr>
          <w:p w14:paraId="0ED20696">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《小型露天采石场安全管理与监督检查规定》（原国家安全监管总局令78号修正）</w:t>
            </w:r>
          </w:p>
          <w:p w14:paraId="33BA4C11">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第二十一条</w:t>
            </w:r>
          </w:p>
        </w:tc>
        <w:tc>
          <w:tcPr>
            <w:tcW w:w="910" w:type="pct"/>
            <w:tcBorders>
              <w:tl2br w:val="nil"/>
              <w:tr2bl w:val="nil"/>
            </w:tcBorders>
            <w:noWrap w:val="0"/>
            <w:vAlign w:val="center"/>
          </w:tcPr>
          <w:p w14:paraId="4B917FB7">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《初步设计》中已设置50m范围的禁采区。</w:t>
            </w:r>
          </w:p>
        </w:tc>
        <w:tc>
          <w:tcPr>
            <w:tcW w:w="371" w:type="pct"/>
            <w:tcBorders>
              <w:tl2br w:val="nil"/>
              <w:tr2bl w:val="nil"/>
            </w:tcBorders>
            <w:noWrap w:val="0"/>
            <w:vAlign w:val="center"/>
          </w:tcPr>
          <w:p w14:paraId="2EA4C4D8">
            <w:pPr>
              <w:keepNext w:val="0"/>
              <w:keepLines w:val="0"/>
              <w:pageBreakBefore w:val="0"/>
              <w:widowControl w:val="0"/>
              <w:kinsoku/>
              <w:wordWrap/>
              <w:overflowPunct/>
              <w:topLinePunct w:val="0"/>
              <w:autoSpaceDE/>
              <w:autoSpaceDN/>
              <w:bidi w:val="0"/>
              <w:spacing w:line="500" w:lineRule="exact"/>
              <w:ind w:left="0" w:leftChars="0" w:right="0" w:rightChars="0" w:firstLine="0" w:firstLineChars="0"/>
              <w:jc w:val="center"/>
              <w:textAlignment w:val="auto"/>
              <w:rPr>
                <w:rFonts w:hint="default" w:ascii="宋体" w:hAnsi="宋体" w:eastAsia="宋体" w:cs="宋体"/>
                <w:b w:val="0"/>
                <w:bCs w:val="0"/>
                <w:color w:val="auto"/>
                <w:sz w:val="21"/>
                <w:szCs w:val="21"/>
                <w:lang w:val="en-US" w:eastAsia="zh-CN"/>
              </w:rPr>
            </w:pPr>
            <w:r>
              <w:rPr>
                <w:rFonts w:hint="eastAsia" w:ascii="宋体" w:hAnsi="宋体" w:cs="宋体"/>
                <w:b w:val="0"/>
                <w:bCs w:val="0"/>
                <w:color w:val="auto"/>
                <w:sz w:val="21"/>
                <w:szCs w:val="21"/>
                <w:lang w:val="en-US" w:eastAsia="zh-CN"/>
              </w:rPr>
              <w:t>符合</w:t>
            </w:r>
          </w:p>
        </w:tc>
      </w:tr>
      <w:tr w14:paraId="547BE9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85" w:type="pct"/>
            <w:tcBorders>
              <w:tl2br w:val="nil"/>
              <w:tr2bl w:val="nil"/>
            </w:tcBorders>
            <w:noWrap w:val="0"/>
            <w:vAlign w:val="center"/>
          </w:tcPr>
          <w:p w14:paraId="007F38A6">
            <w:pPr>
              <w:keepNext w:val="0"/>
              <w:keepLines w:val="0"/>
              <w:pageBreakBefore w:val="0"/>
              <w:widowControl w:val="0"/>
              <w:numPr>
                <w:ilvl w:val="0"/>
                <w:numId w:val="48"/>
              </w:numPr>
              <w:kinsoku/>
              <w:wordWrap/>
              <w:overflowPunct/>
              <w:topLinePunct w:val="0"/>
              <w:autoSpaceDE/>
              <w:autoSpaceDN/>
              <w:bidi w:val="0"/>
              <w:spacing w:line="240" w:lineRule="auto"/>
              <w:ind w:left="425" w:leftChars="0" w:right="0" w:rightChars="0" w:hanging="425" w:firstLineChars="0"/>
              <w:jc w:val="center"/>
              <w:textAlignment w:val="auto"/>
              <w:rPr>
                <w:rFonts w:hint="eastAsia" w:ascii="宋体" w:hAnsi="宋体" w:eastAsia="宋体" w:cs="宋体"/>
                <w:b/>
                <w:bCs/>
                <w:color w:val="000000"/>
                <w:sz w:val="21"/>
                <w:szCs w:val="21"/>
              </w:rPr>
            </w:pPr>
          </w:p>
        </w:tc>
        <w:tc>
          <w:tcPr>
            <w:tcW w:w="2314" w:type="pct"/>
            <w:tcBorders>
              <w:tl2br w:val="nil"/>
              <w:tr2bl w:val="nil"/>
            </w:tcBorders>
            <w:noWrap w:val="0"/>
            <w:vAlign w:val="center"/>
          </w:tcPr>
          <w:p w14:paraId="2B273DF0">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对于未委托具备相应资质的设计单位编制开采设计或者开采方案，以及周边300米范围内存在生产生活设施的小型露天采石场，不得对其进行审查和验收。</w:t>
            </w:r>
          </w:p>
        </w:tc>
        <w:tc>
          <w:tcPr>
            <w:tcW w:w="1118" w:type="pct"/>
            <w:tcBorders>
              <w:tl2br w:val="nil"/>
              <w:tr2bl w:val="nil"/>
            </w:tcBorders>
            <w:noWrap w:val="0"/>
            <w:vAlign w:val="center"/>
          </w:tcPr>
          <w:p w14:paraId="0930AE77">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《小型露天采石场安全管理与监督检查规定》（原国家安全监管总局令78号修正）</w:t>
            </w:r>
          </w:p>
          <w:p w14:paraId="03B7155F">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第三十一条</w:t>
            </w:r>
          </w:p>
        </w:tc>
        <w:tc>
          <w:tcPr>
            <w:tcW w:w="910" w:type="pct"/>
            <w:tcBorders>
              <w:tl2br w:val="nil"/>
              <w:tr2bl w:val="nil"/>
            </w:tcBorders>
            <w:noWrap w:val="0"/>
            <w:vAlign w:val="center"/>
          </w:tcPr>
          <w:p w14:paraId="31CEF44F">
            <w:pPr>
              <w:pStyle w:val="18"/>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矿界300m</w:t>
            </w:r>
            <w:r>
              <w:rPr>
                <w:rFonts w:hint="eastAsia" w:ascii="宋体" w:hAnsi="宋体" w:cs="宋体"/>
                <w:color w:val="auto"/>
                <w:sz w:val="21"/>
                <w:szCs w:val="21"/>
                <w:lang w:val="en-US" w:eastAsia="zh-CN"/>
              </w:rPr>
              <w:t>内</w:t>
            </w:r>
            <w:r>
              <w:rPr>
                <w:rFonts w:hint="eastAsia" w:ascii="宋体" w:hAnsi="宋体" w:eastAsia="宋体" w:cs="宋体"/>
                <w:color w:val="auto"/>
                <w:sz w:val="21"/>
                <w:szCs w:val="21"/>
                <w:lang w:val="en-US" w:eastAsia="zh-CN"/>
              </w:rPr>
              <w:t>无村庄，无民房。</w:t>
            </w:r>
          </w:p>
        </w:tc>
        <w:tc>
          <w:tcPr>
            <w:tcW w:w="371" w:type="pct"/>
            <w:tcBorders>
              <w:tl2br w:val="nil"/>
              <w:tr2bl w:val="nil"/>
            </w:tcBorders>
            <w:noWrap w:val="0"/>
            <w:vAlign w:val="center"/>
          </w:tcPr>
          <w:p w14:paraId="53FE1126">
            <w:pPr>
              <w:keepNext w:val="0"/>
              <w:keepLines w:val="0"/>
              <w:pageBreakBefore w:val="0"/>
              <w:widowControl w:val="0"/>
              <w:kinsoku/>
              <w:wordWrap/>
              <w:overflowPunct/>
              <w:topLinePunct w:val="0"/>
              <w:autoSpaceDE/>
              <w:autoSpaceDN/>
              <w:bidi w:val="0"/>
              <w:spacing w:line="500" w:lineRule="exact"/>
              <w:ind w:left="0" w:leftChars="0" w:right="0" w:rightChars="0" w:firstLine="0" w:firstLineChars="0"/>
              <w:jc w:val="center"/>
              <w:textAlignment w:val="auto"/>
              <w:rPr>
                <w:rFonts w:hint="default" w:ascii="宋体" w:hAnsi="宋体" w:eastAsia="宋体" w:cs="宋体"/>
                <w:b w:val="0"/>
                <w:bCs w:val="0"/>
                <w:color w:val="auto"/>
                <w:sz w:val="21"/>
                <w:szCs w:val="21"/>
                <w:lang w:val="en-US" w:eastAsia="zh-CN"/>
              </w:rPr>
            </w:pPr>
            <w:r>
              <w:rPr>
                <w:rFonts w:hint="eastAsia" w:ascii="宋体" w:hAnsi="宋体" w:cs="宋体"/>
                <w:b w:val="0"/>
                <w:bCs w:val="0"/>
                <w:color w:val="auto"/>
                <w:sz w:val="21"/>
                <w:szCs w:val="21"/>
                <w:lang w:val="en-US" w:eastAsia="zh-CN"/>
              </w:rPr>
              <w:t>符合</w:t>
            </w:r>
          </w:p>
        </w:tc>
      </w:tr>
    </w:tbl>
    <w:p w14:paraId="56F59D51">
      <w:pPr>
        <w:pStyle w:val="4"/>
        <w:bidi w:val="0"/>
      </w:pPr>
      <w:r>
        <w:rPr>
          <w:rFonts w:hint="eastAsia"/>
        </w:rPr>
        <w:t>《</w:t>
      </w:r>
      <w:r>
        <w:rPr>
          <w:rFonts w:hint="eastAsia"/>
          <w:lang w:eastAsia="zh-CN"/>
        </w:rPr>
        <w:t>初步设计</w:t>
      </w:r>
      <w:r>
        <w:rPr>
          <w:rFonts w:hint="eastAsia"/>
        </w:rPr>
        <w:t>》评述</w:t>
      </w:r>
      <w:bookmarkEnd w:id="176"/>
      <w:r>
        <w:rPr>
          <w:rFonts w:hint="eastAsia"/>
        </w:rPr>
        <w:t xml:space="preserve">  </w:t>
      </w:r>
    </w:p>
    <w:p w14:paraId="4D007F74">
      <w:pPr>
        <w:bidi w:val="0"/>
        <w:rPr>
          <w:rFonts w:hint="eastAsia"/>
        </w:rPr>
      </w:pPr>
      <w:r>
        <w:rPr>
          <w:rFonts w:hint="eastAsia"/>
        </w:rPr>
        <w:t>矿山的办公生活区</w:t>
      </w:r>
      <w:r>
        <w:rPr>
          <w:rFonts w:hint="eastAsia"/>
          <w:lang w:eastAsia="zh-CN"/>
        </w:rPr>
        <w:t>有一部分位于矿界外，</w:t>
      </w:r>
      <w:r>
        <w:rPr>
          <w:rFonts w:hint="eastAsia"/>
        </w:rPr>
        <w:t>破碎洗沙系统、工业场地等均位于矿界</w:t>
      </w:r>
      <w:r>
        <w:rPr>
          <w:rFonts w:hint="eastAsia"/>
          <w:lang w:eastAsia="zh-CN"/>
        </w:rPr>
        <w:t>内</w:t>
      </w:r>
      <w:r>
        <w:rPr>
          <w:rFonts w:hint="eastAsia"/>
        </w:rPr>
        <w:t>，已修筑完成并正常使用；供电由附近村庄引入</w:t>
      </w:r>
      <w:r>
        <w:rPr>
          <w:rFonts w:hint="eastAsia"/>
          <w:lang w:eastAsia="zh-CN"/>
        </w:rPr>
        <w:t>，配备</w:t>
      </w:r>
      <w:r>
        <w:rPr>
          <w:rFonts w:hint="eastAsia"/>
        </w:rPr>
        <w:t>两台变压器</w:t>
      </w:r>
      <w:r>
        <w:rPr>
          <w:rFonts w:hint="eastAsia"/>
          <w:lang w:eastAsia="zh-CN"/>
        </w:rPr>
        <w:t>，一台</w:t>
      </w:r>
      <w:r>
        <w:rPr>
          <w:rFonts w:hint="eastAsia"/>
          <w:lang w:val="en-US" w:eastAsia="zh-CN"/>
        </w:rPr>
        <w:t>500kVA变压器（生产用）</w:t>
      </w:r>
      <w:r>
        <w:rPr>
          <w:rFonts w:hint="eastAsia"/>
        </w:rPr>
        <w:t>位于</w:t>
      </w:r>
      <w:r>
        <w:rPr>
          <w:rFonts w:hint="eastAsia"/>
          <w:lang w:eastAsia="zh-CN"/>
        </w:rPr>
        <w:t>破碎站配电室</w:t>
      </w:r>
      <w:r>
        <w:rPr>
          <w:rFonts w:hint="eastAsia"/>
        </w:rPr>
        <w:t>旁</w:t>
      </w:r>
      <w:r>
        <w:rPr>
          <w:rFonts w:hint="eastAsia"/>
          <w:lang w:eastAsia="zh-CN"/>
        </w:rPr>
        <w:t>，一台</w:t>
      </w:r>
      <w:r>
        <w:rPr>
          <w:rFonts w:hint="eastAsia"/>
          <w:lang w:val="en-US" w:eastAsia="zh-CN"/>
        </w:rPr>
        <w:t>250kVA（生活用）位于生活办公区旁</w:t>
      </w:r>
      <w:r>
        <w:rPr>
          <w:rFonts w:hint="eastAsia"/>
        </w:rPr>
        <w:t>；矿山生产用水量不大，生产用水水源来自矿山蓄水池，生活用水水源来自附近村庄自来水。</w:t>
      </w:r>
    </w:p>
    <w:p w14:paraId="6BCFEB77">
      <w:pPr>
        <w:bidi w:val="0"/>
        <w:rPr>
          <w:rFonts w:hint="eastAsia"/>
        </w:rPr>
      </w:pPr>
      <w:bookmarkStart w:id="177" w:name="_Toc11555"/>
      <w:r>
        <w:rPr>
          <w:rFonts w:hint="eastAsia"/>
        </w:rPr>
        <w:t>矿区周围300米范围内无</w:t>
      </w:r>
      <w:r>
        <w:rPr>
          <w:rFonts w:hint="eastAsia"/>
          <w:lang w:val="en-US" w:eastAsia="zh-CN"/>
        </w:rPr>
        <w:t>民房，无</w:t>
      </w:r>
      <w:r>
        <w:rPr>
          <w:rFonts w:hint="eastAsia"/>
        </w:rPr>
        <w:t>重要通讯设施；无重要建筑设施和工业设施；无自然保护区、风景旅游点、学校、文物古迹、地质遗迹、珍稀动植物存在。</w:t>
      </w:r>
    </w:p>
    <w:p w14:paraId="63A9A98E">
      <w:pPr>
        <w:pStyle w:val="4"/>
        <w:bidi w:val="0"/>
      </w:pPr>
      <w:r>
        <w:t>单元小结</w:t>
      </w:r>
      <w:bookmarkEnd w:id="177"/>
    </w:p>
    <w:p w14:paraId="6A09601C">
      <w:pPr>
        <w:bidi w:val="0"/>
        <w:rPr>
          <w:rFonts w:hint="eastAsia" w:ascii="宋体" w:hAnsi="宋体" w:eastAsia="宋体" w:cs="宋体"/>
          <w:lang w:val="en-US" w:eastAsia="zh-CN"/>
        </w:rPr>
      </w:pPr>
      <w:r>
        <w:rPr>
          <w:rFonts w:hint="eastAsia" w:ascii="宋体" w:hAnsi="宋体" w:eastAsia="宋体" w:cs="宋体"/>
          <w:lang w:val="en-US" w:eastAsia="zh-CN"/>
        </w:rPr>
        <w:t>设计对总平面布置进行了合理的设计布置，通过评价，总体布局符合《金属非金属矿山安全规程》(GB16423-2020)、《工业企业总平面设计规范》(GB50187-2012)、《工业企业设计卫生标准》（GBZ1-2010）、《小型露天采石场安全管理与监督检查规定》（原国家安全监管总局令78号修正）的要求。</w:t>
      </w:r>
    </w:p>
    <w:p w14:paraId="4832D157">
      <w:pPr>
        <w:pStyle w:val="3"/>
        <w:bidi w:val="0"/>
      </w:pPr>
      <w:bookmarkStart w:id="178" w:name="_Toc17167"/>
      <w:r>
        <w:rPr>
          <w:rFonts w:hint="eastAsia"/>
        </w:rPr>
        <w:t>开拓运输单元</w:t>
      </w:r>
      <w:bookmarkEnd w:id="178"/>
    </w:p>
    <w:p w14:paraId="277455B4">
      <w:pPr>
        <w:pStyle w:val="4"/>
        <w:bidi w:val="0"/>
      </w:pPr>
      <w:bookmarkStart w:id="179" w:name="_Toc24050"/>
      <w:r>
        <w:rPr>
          <w:rFonts w:hint="eastAsia"/>
        </w:rPr>
        <w:t>危险有害因素辨识与分析</w:t>
      </w:r>
      <w:bookmarkEnd w:id="179"/>
    </w:p>
    <w:p w14:paraId="60ED5395">
      <w:pPr>
        <w:bidi w:val="0"/>
        <w:rPr>
          <w:rFonts w:hint="eastAsia" w:ascii="Times New Roman" w:hAnsi="Times New Roman" w:eastAsia="宋体" w:cs="Times New Roman"/>
        </w:rPr>
      </w:pPr>
      <w:r>
        <w:rPr>
          <w:rFonts w:hint="eastAsia" w:ascii="Times New Roman" w:hAnsi="Times New Roman" w:eastAsia="宋体" w:cs="Times New Roman"/>
        </w:rPr>
        <w:t>根据本项目的开拓运输方案，</w:t>
      </w:r>
      <w:r>
        <w:rPr>
          <w:rFonts w:hint="eastAsia" w:ascii="Times New Roman" w:hAnsi="Times New Roman" w:eastAsia="宋体" w:cs="Times New Roman"/>
          <w:lang w:val="en-US" w:eastAsia="zh-CN"/>
        </w:rPr>
        <w:t>开拓运输</w:t>
      </w:r>
      <w:r>
        <w:rPr>
          <w:rFonts w:hint="eastAsia" w:ascii="Times New Roman" w:hAnsi="Times New Roman" w:eastAsia="宋体" w:cs="Times New Roman"/>
        </w:rPr>
        <w:t>生产过程中可能存在的主要危险、有害因素有：物体打击</w:t>
      </w:r>
      <w:r>
        <w:rPr>
          <w:rFonts w:hint="eastAsia" w:ascii="Times New Roman" w:hAnsi="Times New Roman" w:eastAsia="宋体" w:cs="Times New Roman"/>
          <w:lang w:eastAsia="zh-CN"/>
        </w:rPr>
        <w:t>、</w:t>
      </w:r>
      <w:r>
        <w:rPr>
          <w:rFonts w:hint="eastAsia" w:ascii="Times New Roman" w:hAnsi="Times New Roman" w:eastAsia="宋体" w:cs="Times New Roman"/>
        </w:rPr>
        <w:t>车辆伤害</w:t>
      </w:r>
      <w:r>
        <w:rPr>
          <w:rFonts w:hint="eastAsia" w:ascii="Times New Roman" w:hAnsi="Times New Roman" w:eastAsia="宋体" w:cs="Times New Roman"/>
          <w:lang w:val="en-US" w:eastAsia="zh-CN"/>
        </w:rPr>
        <w:t>、触电、</w:t>
      </w:r>
      <w:r>
        <w:rPr>
          <w:rFonts w:hint="eastAsia" w:ascii="Times New Roman" w:hAnsi="Times New Roman" w:eastAsia="宋体" w:cs="Times New Roman"/>
        </w:rPr>
        <w:t>高处坠落</w:t>
      </w:r>
      <w:r>
        <w:rPr>
          <w:rFonts w:hint="eastAsia" w:ascii="Times New Roman" w:hAnsi="Times New Roman" w:eastAsia="宋体" w:cs="Times New Roman"/>
          <w:lang w:eastAsia="zh-CN"/>
        </w:rPr>
        <w:t>、</w:t>
      </w:r>
      <w:r>
        <w:rPr>
          <w:rFonts w:hint="eastAsia" w:ascii="Times New Roman" w:hAnsi="Times New Roman" w:eastAsia="宋体" w:cs="Times New Roman"/>
          <w:lang w:val="en-US" w:eastAsia="zh-CN"/>
        </w:rPr>
        <w:t>噪声、粉尘</w:t>
      </w:r>
      <w:r>
        <w:rPr>
          <w:rFonts w:hint="eastAsia" w:ascii="Times New Roman" w:hAnsi="Times New Roman" w:eastAsia="宋体" w:cs="Times New Roman"/>
        </w:rPr>
        <w:t>。</w:t>
      </w:r>
    </w:p>
    <w:p w14:paraId="00BFF63C">
      <w:pPr>
        <w:numPr>
          <w:ilvl w:val="0"/>
          <w:numId w:val="50"/>
        </w:numPr>
        <w:bidi w:val="0"/>
        <w:ind w:left="0" w:leftChars="0" w:firstLine="560" w:firstLineChars="200"/>
        <w:rPr>
          <w:rFonts w:hint="eastAsia" w:ascii="Times New Roman" w:hAnsi="Times New Roman" w:eastAsia="宋体" w:cs="Times New Roman"/>
        </w:rPr>
      </w:pPr>
      <w:r>
        <w:rPr>
          <w:rFonts w:hint="eastAsia" w:ascii="Times New Roman" w:hAnsi="Times New Roman" w:eastAsia="宋体" w:cs="Times New Roman"/>
          <w:lang w:val="en-US" w:eastAsia="zh-CN"/>
        </w:rPr>
        <w:t>物体打击</w:t>
      </w:r>
    </w:p>
    <w:p w14:paraId="4D6B5189">
      <w:pPr>
        <w:bidi w:val="0"/>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卸矿</w:t>
      </w:r>
      <w:r>
        <w:rPr>
          <w:rFonts w:hint="eastAsia" w:ascii="Times New Roman" w:hAnsi="Times New Roman" w:eastAsia="宋体" w:cs="Times New Roman"/>
        </w:rPr>
        <w:t>过程中矿岩滚落</w:t>
      </w:r>
      <w:r>
        <w:rPr>
          <w:rFonts w:hint="eastAsia" w:ascii="Times New Roman" w:hAnsi="Times New Roman" w:eastAsia="宋体" w:cs="Times New Roman"/>
          <w:lang w:eastAsia="zh-CN"/>
        </w:rPr>
        <w:t>；</w:t>
      </w:r>
      <w:r>
        <w:rPr>
          <w:rFonts w:hint="eastAsia" w:ascii="Times New Roman" w:hAnsi="Times New Roman" w:eastAsia="宋体" w:cs="Times New Roman"/>
        </w:rPr>
        <w:t>铲装时铲斗从车头或</w:t>
      </w:r>
      <w:r>
        <w:rPr>
          <w:rFonts w:hint="eastAsia" w:ascii="Times New Roman" w:hAnsi="Times New Roman" w:eastAsia="宋体" w:cs="Times New Roman"/>
          <w:lang w:val="en-US" w:eastAsia="zh-CN"/>
        </w:rPr>
        <w:t>人员上方</w:t>
      </w:r>
      <w:r>
        <w:rPr>
          <w:rFonts w:hint="eastAsia" w:ascii="Times New Roman" w:hAnsi="Times New Roman" w:eastAsia="宋体" w:cs="Times New Roman"/>
        </w:rPr>
        <w:t>经过</w:t>
      </w:r>
      <w:r>
        <w:rPr>
          <w:rFonts w:hint="eastAsia" w:ascii="Times New Roman" w:hAnsi="Times New Roman" w:eastAsia="宋体" w:cs="Times New Roman"/>
          <w:lang w:eastAsia="zh-CN"/>
        </w:rPr>
        <w:t>。</w:t>
      </w:r>
      <w:r>
        <w:rPr>
          <w:rFonts w:hint="eastAsia" w:ascii="Times New Roman" w:hAnsi="Times New Roman" w:eastAsia="宋体" w:cs="Times New Roman"/>
          <w:lang w:val="en-US" w:eastAsia="zh-CN"/>
        </w:rPr>
        <w:t>车辆运输时候装料超高，未覆盖，在经过颠簸路段时物料掉落，造成人员砸伤。</w:t>
      </w:r>
    </w:p>
    <w:p w14:paraId="0B15ADA0">
      <w:pPr>
        <w:numPr>
          <w:ilvl w:val="0"/>
          <w:numId w:val="50"/>
        </w:numPr>
        <w:bidi w:val="0"/>
        <w:ind w:left="0" w:leftChars="0" w:firstLine="560" w:firstLineChars="20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车辆伤害</w:t>
      </w:r>
    </w:p>
    <w:p w14:paraId="3266D7BA">
      <w:pPr>
        <w:bidi w:val="0"/>
        <w:rPr>
          <w:rFonts w:hint="default" w:ascii="Times New Roman" w:hAnsi="Times New Roman" w:eastAsia="宋体" w:cs="Times New Roman"/>
          <w:lang w:val="en-US" w:eastAsia="zh-CN"/>
        </w:rPr>
      </w:pPr>
      <w:r>
        <w:rPr>
          <w:rFonts w:hint="eastAsia" w:ascii="Times New Roman" w:hAnsi="Times New Roman" w:eastAsia="宋体" w:cs="Times New Roman"/>
        </w:rPr>
        <w:t>露天采场采用公路开拓，汽车运输，车辆运输密度大，故道路设计和施工质量应确保行车安全，应从本质上预防车辆相撞、翻车、坠落、路基坍塌、边坡失稳及滚石等隐患。</w:t>
      </w:r>
      <w:r>
        <w:rPr>
          <w:color w:val="000000"/>
          <w:szCs w:val="21"/>
        </w:rPr>
        <w:t>制动装置失灵、车速过快</w:t>
      </w:r>
      <w:r>
        <w:rPr>
          <w:rFonts w:hint="eastAsia"/>
          <w:color w:val="000000"/>
          <w:szCs w:val="21"/>
          <w:lang w:eastAsia="zh-CN"/>
        </w:rPr>
        <w:t>；</w:t>
      </w:r>
      <w:r>
        <w:rPr>
          <w:rFonts w:hint="eastAsia"/>
          <w:color w:val="000000"/>
          <w:szCs w:val="21"/>
          <w:lang w:val="en-US" w:eastAsia="zh-CN"/>
        </w:rPr>
        <w:t>无证驾驶。</w:t>
      </w:r>
    </w:p>
    <w:p w14:paraId="5BF8A76C">
      <w:pPr>
        <w:numPr>
          <w:ilvl w:val="0"/>
          <w:numId w:val="50"/>
        </w:numPr>
        <w:bidi w:val="0"/>
        <w:ind w:left="0" w:leftChars="0" w:firstLine="560" w:firstLineChars="20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触电</w:t>
      </w:r>
    </w:p>
    <w:p w14:paraId="07DD1302">
      <w:pPr>
        <w:bidi w:val="0"/>
        <w:rPr>
          <w:rFonts w:hint="eastAsia" w:ascii="Times New Roman" w:hAnsi="Times New Roman" w:eastAsia="宋体" w:cs="Times New Roman"/>
          <w:lang w:val="en-US" w:eastAsia="zh-CN"/>
        </w:rPr>
      </w:pPr>
      <w:r>
        <w:rPr>
          <w:rFonts w:hint="eastAsia" w:ascii="Times New Roman" w:hAnsi="Times New Roman" w:eastAsia="宋体" w:cs="Times New Roman"/>
        </w:rPr>
        <w:t>线路绝缘老化，线路高度不足，线路不规范；电气设备缺少漏电保护等防护装置；不执行停送电制度；缺乏安全警示标志；作业无人监护；不使用安全电压；安全装置失效；个人防护措施不全；其他违章操作。</w:t>
      </w:r>
    </w:p>
    <w:p w14:paraId="54096D04">
      <w:pPr>
        <w:numPr>
          <w:ilvl w:val="0"/>
          <w:numId w:val="50"/>
        </w:numPr>
        <w:bidi w:val="0"/>
        <w:ind w:left="0" w:leftChars="0" w:firstLine="560" w:firstLineChars="20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高处坠落</w:t>
      </w:r>
    </w:p>
    <w:p w14:paraId="223F33B4">
      <w:pPr>
        <w:bidi w:val="0"/>
        <w:rPr>
          <w:rFonts w:hint="eastAsia" w:ascii="Times New Roman" w:hAnsi="Times New Roman" w:eastAsia="宋体" w:cs="Times New Roman"/>
        </w:rPr>
      </w:pPr>
      <w:r>
        <w:rPr>
          <w:rFonts w:hint="eastAsia" w:ascii="Times New Roman" w:hAnsi="Times New Roman" w:eastAsia="宋体" w:cs="Times New Roman"/>
          <w:lang w:val="en-US" w:eastAsia="zh-CN"/>
        </w:rPr>
        <w:t>运输道路宽度不足，弯道过小，坡度过大等因路况较差，导致车辆失控冲出道路发生高处坠落。作业人员在带式输送机通廊上检修或巡检时安全防护栏缺失或损坏，</w:t>
      </w:r>
      <w:r>
        <w:rPr>
          <w:rFonts w:hint="eastAsia" w:ascii="Times New Roman" w:hAnsi="Times New Roman" w:eastAsia="宋体" w:cs="Times New Roman"/>
        </w:rPr>
        <w:t>个人防护措施不全。</w:t>
      </w:r>
    </w:p>
    <w:p w14:paraId="60B875AF">
      <w:pPr>
        <w:numPr>
          <w:ilvl w:val="0"/>
          <w:numId w:val="50"/>
        </w:numPr>
        <w:bidi w:val="0"/>
        <w:ind w:left="0" w:leftChars="0" w:firstLine="560" w:firstLineChars="200"/>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噪声、粉尘危害</w:t>
      </w:r>
    </w:p>
    <w:p w14:paraId="2FC354A9">
      <w:pPr>
        <w:bidi w:val="0"/>
        <w:rPr>
          <w:rFonts w:hint="default" w:ascii="Times New Roman" w:hAnsi="Times New Roman" w:eastAsia="宋体" w:cs="Times New Roman"/>
          <w:color w:val="auto"/>
          <w:lang w:val="en-US" w:eastAsia="zh-CN"/>
        </w:rPr>
      </w:pPr>
      <w:r>
        <w:rPr>
          <w:rFonts w:hint="eastAsia"/>
          <w:color w:val="auto"/>
          <w:lang w:val="en-US" w:eastAsia="zh-CN"/>
        </w:rPr>
        <w:t>矿山采用</w:t>
      </w:r>
      <w:r>
        <w:rPr>
          <w:rFonts w:hint="eastAsia"/>
          <w:color w:val="auto"/>
          <w:lang w:eastAsia="zh-CN"/>
        </w:rPr>
        <w:t>公路开拓，矿用自卸汽车运输</w:t>
      </w:r>
      <w:r>
        <w:rPr>
          <w:rFonts w:hint="eastAsia"/>
          <w:color w:val="auto"/>
          <w:lang w:val="en-US" w:eastAsia="zh-CN"/>
        </w:rPr>
        <w:t>，机械设备和运输车辆会</w:t>
      </w:r>
      <w:r>
        <w:rPr>
          <w:rFonts w:hint="eastAsia"/>
          <w:color w:val="auto"/>
        </w:rPr>
        <w:t>产生噪声</w:t>
      </w:r>
      <w:r>
        <w:rPr>
          <w:rFonts w:hint="eastAsia"/>
          <w:color w:val="auto"/>
          <w:lang w:eastAsia="zh-CN"/>
        </w:rPr>
        <w:t>，</w:t>
      </w:r>
      <w:r>
        <w:rPr>
          <w:rFonts w:hint="eastAsia"/>
          <w:color w:val="auto"/>
          <w:lang w:val="en-US" w:eastAsia="zh-CN"/>
        </w:rPr>
        <w:t>铲装粉尘和道路扬尘，</w:t>
      </w:r>
      <w:r>
        <w:rPr>
          <w:rFonts w:hint="eastAsia"/>
          <w:color w:val="auto"/>
        </w:rPr>
        <w:t>会对周边环境造成污染</w:t>
      </w:r>
      <w:r>
        <w:rPr>
          <w:rFonts w:hint="eastAsia"/>
          <w:color w:val="auto"/>
          <w:lang w:eastAsia="zh-CN"/>
        </w:rPr>
        <w:t>。</w:t>
      </w:r>
      <w:r>
        <w:rPr>
          <w:rFonts w:hint="eastAsia"/>
          <w:color w:val="auto"/>
          <w:lang w:val="en-US" w:eastAsia="zh-CN"/>
        </w:rPr>
        <w:t>若不采取抑尘措施可能对作业人员造成职业危害</w:t>
      </w:r>
      <w:r>
        <w:rPr>
          <w:rFonts w:hint="eastAsia"/>
          <w:color w:val="auto"/>
        </w:rPr>
        <w:t>。</w:t>
      </w:r>
    </w:p>
    <w:p w14:paraId="0E2EA143">
      <w:pPr>
        <w:pStyle w:val="4"/>
        <w:bidi w:val="0"/>
        <w:rPr>
          <w:rFonts w:hint="eastAsia"/>
        </w:rPr>
      </w:pPr>
      <w:bookmarkStart w:id="180" w:name="_Toc17289"/>
      <w:r>
        <w:rPr>
          <w:rFonts w:hint="eastAsia"/>
        </w:rPr>
        <w:t>危险程度评价</w:t>
      </w:r>
      <w:bookmarkEnd w:id="180"/>
    </w:p>
    <w:p w14:paraId="03F17F86">
      <w:pPr>
        <w:bidi w:val="0"/>
        <w:rPr>
          <w:rFonts w:hint="eastAsia" w:ascii="宋体" w:hAnsi="宋体" w:eastAsia="宋体" w:cs="宋体"/>
        </w:rPr>
      </w:pPr>
      <w:r>
        <w:rPr>
          <w:rFonts w:hint="eastAsia" w:ascii="宋体" w:hAnsi="宋体" w:eastAsia="宋体" w:cs="宋体"/>
        </w:rPr>
        <w:t>开拓运输单元主要存在的危险有害因素，采用作业条件危险性评价法针对矿山开拓运输单元存在的危险因素进行危险程度评价，参照</w:t>
      </w:r>
      <w:r>
        <w:rPr>
          <w:rFonts w:hint="eastAsia" w:ascii="宋体" w:hAnsi="宋体" w:cs="宋体"/>
          <w:lang w:eastAsia="zh-CN"/>
        </w:rPr>
        <w:t>表3-5</w:t>
      </w:r>
      <w:r>
        <w:rPr>
          <w:rFonts w:hint="eastAsia" w:ascii="宋体" w:hAnsi="宋体" w:eastAsia="宋体" w:cs="宋体"/>
        </w:rPr>
        <w:t>、</w:t>
      </w:r>
      <w:r>
        <w:rPr>
          <w:rFonts w:hint="eastAsia" w:ascii="宋体" w:hAnsi="宋体" w:cs="宋体"/>
          <w:lang w:eastAsia="zh-CN"/>
        </w:rPr>
        <w:t>表3-6</w:t>
      </w:r>
      <w:r>
        <w:rPr>
          <w:rFonts w:hint="eastAsia" w:ascii="宋体" w:hAnsi="宋体" w:eastAsia="宋体" w:cs="宋体"/>
        </w:rPr>
        <w:t>、</w:t>
      </w:r>
      <w:r>
        <w:rPr>
          <w:rFonts w:hint="eastAsia" w:ascii="宋体" w:hAnsi="宋体" w:cs="宋体"/>
          <w:lang w:eastAsia="zh-CN"/>
        </w:rPr>
        <w:t>表3-7</w:t>
      </w:r>
      <w:r>
        <w:rPr>
          <w:rFonts w:hint="eastAsia" w:ascii="宋体" w:hAnsi="宋体" w:eastAsia="宋体" w:cs="宋体"/>
        </w:rPr>
        <w:t>取值范围，根据矿山实际情况取值对应表</w:t>
      </w:r>
      <w:r>
        <w:rPr>
          <w:rFonts w:hint="eastAsia" w:ascii="宋体" w:hAnsi="宋体" w:cs="宋体"/>
          <w:lang w:val="en-US" w:eastAsia="zh-CN"/>
        </w:rPr>
        <w:t>3-10</w:t>
      </w:r>
      <w:r>
        <w:rPr>
          <w:rFonts w:hint="eastAsia" w:ascii="宋体" w:hAnsi="宋体" w:eastAsia="宋体" w:cs="宋体"/>
        </w:rPr>
        <w:t>可知：</w:t>
      </w:r>
    </w:p>
    <w:p w14:paraId="4A11F323">
      <w:pPr>
        <w:pStyle w:val="11"/>
        <w:ind w:left="0" w:leftChars="0" w:firstLine="0" w:firstLineChars="0"/>
        <w:jc w:val="center"/>
        <w:rPr>
          <w:rFonts w:hint="eastAsia" w:eastAsia="宋体"/>
          <w:lang w:eastAsia="zh-CN"/>
        </w:rPr>
      </w:pPr>
      <w:r>
        <w:t xml:space="preserve">表 </w:t>
      </w:r>
      <w:r>
        <w:fldChar w:fldCharType="begin"/>
      </w:r>
      <w:r>
        <w:instrText xml:space="preserve"> STYLEREF 1 \s </w:instrText>
      </w:r>
      <w:r>
        <w:fldChar w:fldCharType="separate"/>
      </w:r>
      <w:r>
        <w:t>3</w:t>
      </w:r>
      <w:r>
        <w:fldChar w:fldCharType="end"/>
      </w:r>
      <w:r>
        <w:rPr>
          <w:rFonts w:hint="eastAsia"/>
          <w:lang w:eastAsia="zh-CN"/>
        </w:rPr>
        <w:t>-</w:t>
      </w:r>
      <w:r>
        <w:fldChar w:fldCharType="begin"/>
      </w:r>
      <w:r>
        <w:instrText xml:space="preserve"> SEQ 表 \* ARABIC \s 1 </w:instrText>
      </w:r>
      <w:r>
        <w:fldChar w:fldCharType="separate"/>
      </w:r>
      <w:r>
        <w:t>10</w:t>
      </w:r>
      <w:r>
        <w:fldChar w:fldCharType="end"/>
      </w:r>
      <w:r>
        <w:rPr>
          <w:rFonts w:hint="eastAsia"/>
          <w:lang w:eastAsia="zh-CN"/>
        </w:rPr>
        <w:t xml:space="preserve"> 开拓运输单元危险有害因素危险度分析表</w:t>
      </w:r>
    </w:p>
    <w:tbl>
      <w:tblPr>
        <w:tblStyle w:val="29"/>
        <w:tblW w:w="4851" w:type="pct"/>
        <w:tblInd w:w="10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39"/>
        <w:gridCol w:w="1419"/>
        <w:gridCol w:w="864"/>
        <w:gridCol w:w="864"/>
        <w:gridCol w:w="953"/>
        <w:gridCol w:w="953"/>
        <w:gridCol w:w="3154"/>
      </w:tblGrid>
      <w:tr w14:paraId="0A3179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1" w:type="pct"/>
            <w:tcBorders>
              <w:tl2br w:val="nil"/>
              <w:tr2bl w:val="nil"/>
            </w:tcBorders>
            <w:noWrap w:val="0"/>
            <w:vAlign w:val="center"/>
          </w:tcPr>
          <w:p w14:paraId="215FA386">
            <w:pPr>
              <w:keepNext w:val="0"/>
              <w:keepLines w:val="0"/>
              <w:pageBreakBefore w:val="0"/>
              <w:widowControl w:val="0"/>
              <w:kinsoku/>
              <w:wordWrap/>
              <w:overflowPunct/>
              <w:topLinePunct w:val="0"/>
              <w:autoSpaceDE w:val="0"/>
              <w:autoSpaceDN w:val="0"/>
              <w:bidi w:val="0"/>
              <w:adjustRightInd w:val="0"/>
              <w:spacing w:line="240" w:lineRule="auto"/>
              <w:ind w:left="0" w:leftChars="0" w:right="0" w:rightChars="0" w:firstLine="0" w:firstLineChars="0"/>
              <w:jc w:val="center"/>
              <w:textAlignment w:val="auto"/>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序号</w:t>
            </w:r>
          </w:p>
        </w:tc>
        <w:tc>
          <w:tcPr>
            <w:tcW w:w="801" w:type="pct"/>
            <w:tcBorders>
              <w:tl2br w:val="nil"/>
              <w:tr2bl w:val="nil"/>
            </w:tcBorders>
            <w:noWrap w:val="0"/>
            <w:vAlign w:val="center"/>
          </w:tcPr>
          <w:p w14:paraId="1BBDDDDC">
            <w:pPr>
              <w:keepNext w:val="0"/>
              <w:keepLines w:val="0"/>
              <w:pageBreakBefore w:val="0"/>
              <w:widowControl w:val="0"/>
              <w:kinsoku/>
              <w:wordWrap/>
              <w:overflowPunct/>
              <w:topLinePunct w:val="0"/>
              <w:autoSpaceDE w:val="0"/>
              <w:autoSpaceDN w:val="0"/>
              <w:bidi w:val="0"/>
              <w:adjustRightInd w:val="0"/>
              <w:spacing w:line="240" w:lineRule="auto"/>
              <w:ind w:left="0" w:leftChars="0" w:right="0" w:rightChars="0" w:firstLine="0" w:firstLineChars="0"/>
              <w:jc w:val="center"/>
              <w:textAlignment w:val="auto"/>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rPr>
              <w:t>危害因素</w:t>
            </w:r>
          </w:p>
        </w:tc>
        <w:tc>
          <w:tcPr>
            <w:tcW w:w="488" w:type="pct"/>
            <w:tcBorders>
              <w:tl2br w:val="nil"/>
              <w:tr2bl w:val="nil"/>
            </w:tcBorders>
            <w:noWrap w:val="0"/>
            <w:vAlign w:val="center"/>
          </w:tcPr>
          <w:p w14:paraId="7693A513">
            <w:pPr>
              <w:keepNext w:val="0"/>
              <w:keepLines w:val="0"/>
              <w:pageBreakBefore w:val="0"/>
              <w:widowControl w:val="0"/>
              <w:kinsoku/>
              <w:wordWrap/>
              <w:overflowPunct/>
              <w:topLinePunct w:val="0"/>
              <w:autoSpaceDE w:val="0"/>
              <w:autoSpaceDN w:val="0"/>
              <w:bidi w:val="0"/>
              <w:adjustRightInd w:val="0"/>
              <w:spacing w:line="240" w:lineRule="auto"/>
              <w:ind w:left="0" w:leftChars="0" w:right="0" w:rightChars="0" w:firstLine="0" w:firstLineChars="0"/>
              <w:jc w:val="center"/>
              <w:textAlignment w:val="auto"/>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rPr>
              <w:t>L</w:t>
            </w:r>
          </w:p>
        </w:tc>
        <w:tc>
          <w:tcPr>
            <w:tcW w:w="488" w:type="pct"/>
            <w:tcBorders>
              <w:tl2br w:val="nil"/>
              <w:tr2bl w:val="nil"/>
            </w:tcBorders>
            <w:noWrap w:val="0"/>
            <w:vAlign w:val="center"/>
          </w:tcPr>
          <w:p w14:paraId="655DD9F3">
            <w:pPr>
              <w:keepNext w:val="0"/>
              <w:keepLines w:val="0"/>
              <w:pageBreakBefore w:val="0"/>
              <w:widowControl w:val="0"/>
              <w:kinsoku/>
              <w:wordWrap/>
              <w:overflowPunct/>
              <w:topLinePunct w:val="0"/>
              <w:autoSpaceDE w:val="0"/>
              <w:autoSpaceDN w:val="0"/>
              <w:bidi w:val="0"/>
              <w:adjustRightInd w:val="0"/>
              <w:spacing w:line="240" w:lineRule="auto"/>
              <w:ind w:left="0" w:leftChars="0" w:right="0" w:rightChars="0" w:firstLine="0" w:firstLineChars="0"/>
              <w:jc w:val="center"/>
              <w:textAlignment w:val="auto"/>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rPr>
              <w:t>E</w:t>
            </w:r>
          </w:p>
        </w:tc>
        <w:tc>
          <w:tcPr>
            <w:tcW w:w="538" w:type="pct"/>
            <w:tcBorders>
              <w:tl2br w:val="nil"/>
              <w:tr2bl w:val="nil"/>
            </w:tcBorders>
            <w:noWrap w:val="0"/>
            <w:vAlign w:val="center"/>
          </w:tcPr>
          <w:p w14:paraId="2C96DF7D">
            <w:pPr>
              <w:keepNext w:val="0"/>
              <w:keepLines w:val="0"/>
              <w:pageBreakBefore w:val="0"/>
              <w:widowControl w:val="0"/>
              <w:kinsoku/>
              <w:wordWrap/>
              <w:overflowPunct/>
              <w:topLinePunct w:val="0"/>
              <w:autoSpaceDE w:val="0"/>
              <w:autoSpaceDN w:val="0"/>
              <w:bidi w:val="0"/>
              <w:adjustRightInd w:val="0"/>
              <w:spacing w:line="240" w:lineRule="auto"/>
              <w:ind w:left="0" w:leftChars="0" w:right="0" w:rightChars="0" w:firstLine="0" w:firstLineChars="0"/>
              <w:jc w:val="center"/>
              <w:textAlignment w:val="auto"/>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rPr>
              <w:t>C</w:t>
            </w:r>
          </w:p>
        </w:tc>
        <w:tc>
          <w:tcPr>
            <w:tcW w:w="538" w:type="pct"/>
            <w:tcBorders>
              <w:tl2br w:val="nil"/>
              <w:tr2bl w:val="nil"/>
            </w:tcBorders>
            <w:noWrap w:val="0"/>
            <w:vAlign w:val="center"/>
          </w:tcPr>
          <w:p w14:paraId="2395A5D2">
            <w:pPr>
              <w:keepNext w:val="0"/>
              <w:keepLines w:val="0"/>
              <w:pageBreakBefore w:val="0"/>
              <w:widowControl w:val="0"/>
              <w:kinsoku/>
              <w:wordWrap/>
              <w:overflowPunct/>
              <w:topLinePunct w:val="0"/>
              <w:autoSpaceDE w:val="0"/>
              <w:autoSpaceDN w:val="0"/>
              <w:bidi w:val="0"/>
              <w:adjustRightInd w:val="0"/>
              <w:spacing w:line="240" w:lineRule="auto"/>
              <w:ind w:left="0" w:leftChars="0" w:right="0" w:rightChars="0" w:firstLine="0" w:firstLineChars="0"/>
              <w:jc w:val="center"/>
              <w:textAlignment w:val="auto"/>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rPr>
              <w:t>D</w:t>
            </w:r>
          </w:p>
        </w:tc>
        <w:tc>
          <w:tcPr>
            <w:tcW w:w="1781" w:type="pct"/>
            <w:tcBorders>
              <w:tl2br w:val="nil"/>
              <w:tr2bl w:val="nil"/>
            </w:tcBorders>
            <w:noWrap w:val="0"/>
            <w:vAlign w:val="center"/>
          </w:tcPr>
          <w:p w14:paraId="7923B1BB">
            <w:pPr>
              <w:keepNext w:val="0"/>
              <w:keepLines w:val="0"/>
              <w:pageBreakBefore w:val="0"/>
              <w:widowControl w:val="0"/>
              <w:kinsoku/>
              <w:wordWrap/>
              <w:overflowPunct/>
              <w:topLinePunct w:val="0"/>
              <w:autoSpaceDE w:val="0"/>
              <w:autoSpaceDN w:val="0"/>
              <w:bidi w:val="0"/>
              <w:adjustRightInd w:val="0"/>
              <w:spacing w:line="240" w:lineRule="auto"/>
              <w:ind w:left="0" w:leftChars="0" w:right="0" w:rightChars="0" w:firstLine="0" w:firstLineChars="0"/>
              <w:jc w:val="center"/>
              <w:textAlignment w:val="auto"/>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rPr>
              <w:t>危险程度</w:t>
            </w:r>
          </w:p>
        </w:tc>
      </w:tr>
      <w:tr w14:paraId="75F5B1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1" w:type="pct"/>
            <w:tcBorders>
              <w:tl2br w:val="nil"/>
              <w:tr2bl w:val="nil"/>
            </w:tcBorders>
            <w:noWrap w:val="0"/>
            <w:vAlign w:val="center"/>
          </w:tcPr>
          <w:p w14:paraId="18BA5B6A">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val="en-US" w:eastAsia="zh-CN"/>
              </w:rPr>
              <w:t>1</w:t>
            </w:r>
          </w:p>
        </w:tc>
        <w:tc>
          <w:tcPr>
            <w:tcW w:w="801" w:type="pct"/>
            <w:tcBorders>
              <w:tl2br w:val="nil"/>
              <w:tr2bl w:val="nil"/>
            </w:tcBorders>
            <w:noWrap w:val="0"/>
            <w:vAlign w:val="center"/>
          </w:tcPr>
          <w:p w14:paraId="0E611332">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物体打击</w:t>
            </w:r>
          </w:p>
        </w:tc>
        <w:tc>
          <w:tcPr>
            <w:tcW w:w="488" w:type="pct"/>
            <w:tcBorders>
              <w:tl2br w:val="nil"/>
              <w:tr2bl w:val="nil"/>
            </w:tcBorders>
            <w:noWrap w:val="0"/>
            <w:vAlign w:val="center"/>
          </w:tcPr>
          <w:p w14:paraId="663226A0">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3</w:t>
            </w:r>
          </w:p>
        </w:tc>
        <w:tc>
          <w:tcPr>
            <w:tcW w:w="488" w:type="pct"/>
            <w:tcBorders>
              <w:tl2br w:val="nil"/>
              <w:tr2bl w:val="nil"/>
            </w:tcBorders>
            <w:noWrap w:val="0"/>
            <w:vAlign w:val="center"/>
          </w:tcPr>
          <w:p w14:paraId="3AC3CB62">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6</w:t>
            </w:r>
          </w:p>
        </w:tc>
        <w:tc>
          <w:tcPr>
            <w:tcW w:w="538" w:type="pct"/>
            <w:tcBorders>
              <w:tl2br w:val="nil"/>
              <w:tr2bl w:val="nil"/>
            </w:tcBorders>
            <w:noWrap w:val="0"/>
            <w:vAlign w:val="center"/>
          </w:tcPr>
          <w:p w14:paraId="24CCEE1B">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3</w:t>
            </w:r>
          </w:p>
        </w:tc>
        <w:tc>
          <w:tcPr>
            <w:tcW w:w="538" w:type="pct"/>
            <w:tcBorders>
              <w:tl2br w:val="nil"/>
              <w:tr2bl w:val="nil"/>
            </w:tcBorders>
            <w:noWrap w:val="0"/>
            <w:vAlign w:val="center"/>
          </w:tcPr>
          <w:p w14:paraId="4869BFE1">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54</w:t>
            </w:r>
          </w:p>
        </w:tc>
        <w:tc>
          <w:tcPr>
            <w:tcW w:w="1781" w:type="pct"/>
            <w:tcBorders>
              <w:tl2br w:val="nil"/>
              <w:tr2bl w:val="nil"/>
            </w:tcBorders>
            <w:noWrap w:val="0"/>
            <w:vAlign w:val="center"/>
          </w:tcPr>
          <w:p w14:paraId="311D6817">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可能危险，需要注意</w:t>
            </w:r>
          </w:p>
        </w:tc>
      </w:tr>
      <w:tr w14:paraId="4ECFC8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1" w:type="pct"/>
            <w:tcBorders>
              <w:tl2br w:val="nil"/>
              <w:tr2bl w:val="nil"/>
            </w:tcBorders>
            <w:noWrap w:val="0"/>
            <w:vAlign w:val="center"/>
          </w:tcPr>
          <w:p w14:paraId="7411A568">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val="en-US" w:eastAsia="zh-CN"/>
              </w:rPr>
              <w:t>2</w:t>
            </w:r>
          </w:p>
        </w:tc>
        <w:tc>
          <w:tcPr>
            <w:tcW w:w="801" w:type="pct"/>
            <w:tcBorders>
              <w:tl2br w:val="nil"/>
              <w:tr2bl w:val="nil"/>
            </w:tcBorders>
            <w:noWrap w:val="0"/>
            <w:vAlign w:val="center"/>
          </w:tcPr>
          <w:p w14:paraId="7D47F8B1">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车辆伤害</w:t>
            </w:r>
          </w:p>
        </w:tc>
        <w:tc>
          <w:tcPr>
            <w:tcW w:w="488" w:type="pct"/>
            <w:tcBorders>
              <w:tl2br w:val="nil"/>
              <w:tr2bl w:val="nil"/>
            </w:tcBorders>
            <w:noWrap w:val="0"/>
            <w:vAlign w:val="center"/>
          </w:tcPr>
          <w:p w14:paraId="7D40C2B7">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3</w:t>
            </w:r>
          </w:p>
        </w:tc>
        <w:tc>
          <w:tcPr>
            <w:tcW w:w="488" w:type="pct"/>
            <w:tcBorders>
              <w:tl2br w:val="nil"/>
              <w:tr2bl w:val="nil"/>
            </w:tcBorders>
            <w:noWrap w:val="0"/>
            <w:vAlign w:val="center"/>
          </w:tcPr>
          <w:p w14:paraId="20E7D235">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6</w:t>
            </w:r>
          </w:p>
        </w:tc>
        <w:tc>
          <w:tcPr>
            <w:tcW w:w="538" w:type="pct"/>
            <w:tcBorders>
              <w:tl2br w:val="nil"/>
              <w:tr2bl w:val="nil"/>
            </w:tcBorders>
            <w:noWrap w:val="0"/>
            <w:vAlign w:val="center"/>
          </w:tcPr>
          <w:p w14:paraId="3172EA49">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7</w:t>
            </w:r>
          </w:p>
        </w:tc>
        <w:tc>
          <w:tcPr>
            <w:tcW w:w="538" w:type="pct"/>
            <w:tcBorders>
              <w:tl2br w:val="nil"/>
              <w:tr2bl w:val="nil"/>
            </w:tcBorders>
            <w:noWrap w:val="0"/>
            <w:vAlign w:val="center"/>
          </w:tcPr>
          <w:p w14:paraId="68AF9421">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126</w:t>
            </w:r>
          </w:p>
        </w:tc>
        <w:tc>
          <w:tcPr>
            <w:tcW w:w="1781" w:type="pct"/>
            <w:tcBorders>
              <w:tl2br w:val="nil"/>
              <w:tr2bl w:val="nil"/>
            </w:tcBorders>
            <w:noWrap w:val="0"/>
            <w:vAlign w:val="center"/>
          </w:tcPr>
          <w:p w14:paraId="4B451AEE">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rPr>
              <w:t>显著危险，需要整改</w:t>
            </w:r>
          </w:p>
        </w:tc>
      </w:tr>
      <w:tr w14:paraId="0319DD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1" w:type="pct"/>
            <w:tcBorders>
              <w:tl2br w:val="nil"/>
              <w:tr2bl w:val="nil"/>
            </w:tcBorders>
            <w:noWrap w:val="0"/>
            <w:vAlign w:val="center"/>
          </w:tcPr>
          <w:p w14:paraId="031B50FF">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default" w:ascii="宋体" w:hAnsi="宋体" w:eastAsia="宋体" w:cs="宋体"/>
                <w:color w:val="auto"/>
                <w:kern w:val="0"/>
                <w:sz w:val="21"/>
                <w:szCs w:val="21"/>
                <w:lang w:val="en-US" w:eastAsia="zh-CN"/>
              </w:rPr>
            </w:pPr>
            <w:r>
              <w:rPr>
                <w:rFonts w:hint="eastAsia" w:ascii="宋体" w:hAnsi="宋体" w:cs="宋体"/>
                <w:color w:val="auto"/>
                <w:kern w:val="0"/>
                <w:sz w:val="21"/>
                <w:szCs w:val="21"/>
                <w:lang w:val="en-US" w:eastAsia="zh-CN"/>
              </w:rPr>
              <w:t>3</w:t>
            </w:r>
          </w:p>
        </w:tc>
        <w:tc>
          <w:tcPr>
            <w:tcW w:w="801" w:type="pct"/>
            <w:tcBorders>
              <w:tl2br w:val="nil"/>
              <w:tr2bl w:val="nil"/>
            </w:tcBorders>
            <w:noWrap w:val="0"/>
            <w:vAlign w:val="center"/>
          </w:tcPr>
          <w:p w14:paraId="4E812836">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default"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触电</w:t>
            </w:r>
          </w:p>
        </w:tc>
        <w:tc>
          <w:tcPr>
            <w:tcW w:w="488" w:type="pct"/>
            <w:tcBorders>
              <w:tl2br w:val="nil"/>
              <w:tr2bl w:val="nil"/>
            </w:tcBorders>
            <w:noWrap w:val="0"/>
            <w:vAlign w:val="center"/>
          </w:tcPr>
          <w:p w14:paraId="2368AB97">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3</w:t>
            </w:r>
          </w:p>
        </w:tc>
        <w:tc>
          <w:tcPr>
            <w:tcW w:w="488" w:type="pct"/>
            <w:tcBorders>
              <w:tl2br w:val="nil"/>
              <w:tr2bl w:val="nil"/>
            </w:tcBorders>
            <w:noWrap w:val="0"/>
            <w:vAlign w:val="center"/>
          </w:tcPr>
          <w:p w14:paraId="78D8B944">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2</w:t>
            </w:r>
          </w:p>
        </w:tc>
        <w:tc>
          <w:tcPr>
            <w:tcW w:w="538" w:type="pct"/>
            <w:tcBorders>
              <w:tl2br w:val="nil"/>
              <w:tr2bl w:val="nil"/>
            </w:tcBorders>
            <w:noWrap w:val="0"/>
            <w:vAlign w:val="center"/>
          </w:tcPr>
          <w:p w14:paraId="5874B464">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15</w:t>
            </w:r>
          </w:p>
        </w:tc>
        <w:tc>
          <w:tcPr>
            <w:tcW w:w="538" w:type="pct"/>
            <w:tcBorders>
              <w:tl2br w:val="nil"/>
              <w:tr2bl w:val="nil"/>
            </w:tcBorders>
            <w:noWrap w:val="0"/>
            <w:vAlign w:val="center"/>
          </w:tcPr>
          <w:p w14:paraId="12BBA9D9">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90</w:t>
            </w:r>
          </w:p>
        </w:tc>
        <w:tc>
          <w:tcPr>
            <w:tcW w:w="1781" w:type="pct"/>
            <w:tcBorders>
              <w:tl2br w:val="nil"/>
              <w:tr2bl w:val="nil"/>
            </w:tcBorders>
            <w:noWrap w:val="0"/>
            <w:vAlign w:val="center"/>
          </w:tcPr>
          <w:p w14:paraId="778E21BB">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显著危险，需要整改</w:t>
            </w:r>
          </w:p>
        </w:tc>
      </w:tr>
      <w:tr w14:paraId="7B366C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1" w:type="pct"/>
            <w:tcBorders>
              <w:tl2br w:val="nil"/>
              <w:tr2bl w:val="nil"/>
            </w:tcBorders>
            <w:noWrap w:val="0"/>
            <w:vAlign w:val="center"/>
          </w:tcPr>
          <w:p w14:paraId="16E4626D">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default" w:ascii="宋体" w:hAnsi="宋体" w:eastAsia="宋体" w:cs="宋体"/>
                <w:color w:val="auto"/>
                <w:kern w:val="0"/>
                <w:sz w:val="21"/>
                <w:szCs w:val="21"/>
                <w:lang w:val="en-US" w:eastAsia="zh-CN"/>
              </w:rPr>
            </w:pPr>
            <w:r>
              <w:rPr>
                <w:rFonts w:hint="eastAsia" w:ascii="宋体" w:hAnsi="宋体" w:cs="宋体"/>
                <w:color w:val="auto"/>
                <w:kern w:val="0"/>
                <w:sz w:val="21"/>
                <w:szCs w:val="21"/>
                <w:lang w:val="en-US" w:eastAsia="zh-CN"/>
              </w:rPr>
              <w:t>4</w:t>
            </w:r>
          </w:p>
        </w:tc>
        <w:tc>
          <w:tcPr>
            <w:tcW w:w="801" w:type="pct"/>
            <w:tcBorders>
              <w:tl2br w:val="nil"/>
              <w:tr2bl w:val="nil"/>
            </w:tcBorders>
            <w:noWrap w:val="0"/>
            <w:vAlign w:val="center"/>
          </w:tcPr>
          <w:p w14:paraId="184005F9">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高处坠落</w:t>
            </w:r>
          </w:p>
        </w:tc>
        <w:tc>
          <w:tcPr>
            <w:tcW w:w="488" w:type="pct"/>
            <w:tcBorders>
              <w:tl2br w:val="nil"/>
              <w:tr2bl w:val="nil"/>
            </w:tcBorders>
            <w:noWrap w:val="0"/>
            <w:vAlign w:val="center"/>
          </w:tcPr>
          <w:p w14:paraId="59EA2344">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3</w:t>
            </w:r>
          </w:p>
        </w:tc>
        <w:tc>
          <w:tcPr>
            <w:tcW w:w="488" w:type="pct"/>
            <w:tcBorders>
              <w:tl2br w:val="nil"/>
              <w:tr2bl w:val="nil"/>
            </w:tcBorders>
            <w:noWrap w:val="0"/>
            <w:vAlign w:val="center"/>
          </w:tcPr>
          <w:p w14:paraId="3C5F83E2">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6</w:t>
            </w:r>
          </w:p>
        </w:tc>
        <w:tc>
          <w:tcPr>
            <w:tcW w:w="538" w:type="pct"/>
            <w:tcBorders>
              <w:tl2br w:val="nil"/>
              <w:tr2bl w:val="nil"/>
            </w:tcBorders>
            <w:noWrap w:val="0"/>
            <w:vAlign w:val="center"/>
          </w:tcPr>
          <w:p w14:paraId="674858CB">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3</w:t>
            </w:r>
          </w:p>
        </w:tc>
        <w:tc>
          <w:tcPr>
            <w:tcW w:w="538" w:type="pct"/>
            <w:tcBorders>
              <w:tl2br w:val="nil"/>
              <w:tr2bl w:val="nil"/>
            </w:tcBorders>
            <w:noWrap w:val="0"/>
            <w:vAlign w:val="center"/>
          </w:tcPr>
          <w:p w14:paraId="014E03AB">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54</w:t>
            </w:r>
          </w:p>
        </w:tc>
        <w:tc>
          <w:tcPr>
            <w:tcW w:w="1781" w:type="pct"/>
            <w:tcBorders>
              <w:tl2br w:val="nil"/>
              <w:tr2bl w:val="nil"/>
            </w:tcBorders>
            <w:noWrap w:val="0"/>
            <w:vAlign w:val="center"/>
          </w:tcPr>
          <w:p w14:paraId="4B1AC750">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可能危险，需要注意</w:t>
            </w:r>
          </w:p>
        </w:tc>
      </w:tr>
      <w:tr w14:paraId="22F2A2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1" w:type="pct"/>
            <w:tcBorders>
              <w:tl2br w:val="nil"/>
              <w:tr2bl w:val="nil"/>
            </w:tcBorders>
            <w:noWrap w:val="0"/>
            <w:vAlign w:val="center"/>
          </w:tcPr>
          <w:p w14:paraId="15C099AC">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default" w:ascii="宋体" w:hAnsi="宋体" w:eastAsia="宋体" w:cs="宋体"/>
                <w:color w:val="auto"/>
                <w:kern w:val="0"/>
                <w:sz w:val="21"/>
                <w:szCs w:val="21"/>
                <w:lang w:val="en-US" w:eastAsia="zh-CN"/>
              </w:rPr>
            </w:pPr>
            <w:r>
              <w:rPr>
                <w:rFonts w:hint="eastAsia" w:ascii="宋体" w:hAnsi="宋体" w:cs="宋体"/>
                <w:color w:val="auto"/>
                <w:kern w:val="0"/>
                <w:sz w:val="21"/>
                <w:szCs w:val="21"/>
                <w:lang w:val="en-US" w:eastAsia="zh-CN"/>
              </w:rPr>
              <w:t>5</w:t>
            </w:r>
          </w:p>
        </w:tc>
        <w:tc>
          <w:tcPr>
            <w:tcW w:w="801" w:type="pct"/>
            <w:tcBorders>
              <w:tl2br w:val="nil"/>
              <w:tr2bl w:val="nil"/>
            </w:tcBorders>
            <w:noWrap w:val="0"/>
            <w:vAlign w:val="center"/>
          </w:tcPr>
          <w:p w14:paraId="3E188EE7">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粉尘</w:t>
            </w:r>
          </w:p>
        </w:tc>
        <w:tc>
          <w:tcPr>
            <w:tcW w:w="488" w:type="pct"/>
            <w:tcBorders>
              <w:tl2br w:val="nil"/>
              <w:tr2bl w:val="nil"/>
            </w:tcBorders>
            <w:noWrap w:val="0"/>
            <w:vAlign w:val="center"/>
          </w:tcPr>
          <w:p w14:paraId="61CEAA9F">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10</w:t>
            </w:r>
          </w:p>
        </w:tc>
        <w:tc>
          <w:tcPr>
            <w:tcW w:w="488" w:type="pct"/>
            <w:tcBorders>
              <w:tl2br w:val="nil"/>
              <w:tr2bl w:val="nil"/>
            </w:tcBorders>
            <w:noWrap w:val="0"/>
            <w:vAlign w:val="center"/>
          </w:tcPr>
          <w:p w14:paraId="2ECCFD21">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10</w:t>
            </w:r>
          </w:p>
        </w:tc>
        <w:tc>
          <w:tcPr>
            <w:tcW w:w="538" w:type="pct"/>
            <w:tcBorders>
              <w:tl2br w:val="nil"/>
              <w:tr2bl w:val="nil"/>
            </w:tcBorders>
            <w:noWrap w:val="0"/>
            <w:vAlign w:val="center"/>
          </w:tcPr>
          <w:p w14:paraId="1B045511">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w:t>
            </w:r>
          </w:p>
        </w:tc>
        <w:tc>
          <w:tcPr>
            <w:tcW w:w="538" w:type="pct"/>
            <w:tcBorders>
              <w:tl2br w:val="nil"/>
              <w:tr2bl w:val="nil"/>
            </w:tcBorders>
            <w:noWrap w:val="0"/>
            <w:vAlign w:val="center"/>
          </w:tcPr>
          <w:p w14:paraId="370E373B">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100</w:t>
            </w:r>
          </w:p>
        </w:tc>
        <w:tc>
          <w:tcPr>
            <w:tcW w:w="1781" w:type="pct"/>
            <w:tcBorders>
              <w:tl2br w:val="nil"/>
              <w:tr2bl w:val="nil"/>
            </w:tcBorders>
            <w:noWrap w:val="0"/>
            <w:vAlign w:val="center"/>
          </w:tcPr>
          <w:p w14:paraId="50FDCB86">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显著危险，需要整改</w:t>
            </w:r>
          </w:p>
        </w:tc>
      </w:tr>
      <w:tr w14:paraId="5CEEC3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1" w:type="pct"/>
            <w:tcBorders>
              <w:tl2br w:val="nil"/>
              <w:tr2bl w:val="nil"/>
            </w:tcBorders>
            <w:noWrap w:val="0"/>
            <w:vAlign w:val="center"/>
          </w:tcPr>
          <w:p w14:paraId="0D5286F2">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default" w:ascii="宋体" w:hAnsi="宋体" w:eastAsia="宋体" w:cs="宋体"/>
                <w:color w:val="auto"/>
                <w:kern w:val="0"/>
                <w:sz w:val="21"/>
                <w:szCs w:val="21"/>
                <w:lang w:val="en-US" w:eastAsia="zh-CN"/>
              </w:rPr>
            </w:pPr>
            <w:r>
              <w:rPr>
                <w:rFonts w:hint="eastAsia" w:ascii="宋体" w:hAnsi="宋体" w:cs="宋体"/>
                <w:color w:val="auto"/>
                <w:kern w:val="0"/>
                <w:sz w:val="21"/>
                <w:szCs w:val="21"/>
                <w:lang w:val="en-US" w:eastAsia="zh-CN"/>
              </w:rPr>
              <w:t>6</w:t>
            </w:r>
          </w:p>
        </w:tc>
        <w:tc>
          <w:tcPr>
            <w:tcW w:w="801" w:type="pct"/>
            <w:tcBorders>
              <w:tl2br w:val="nil"/>
              <w:tr2bl w:val="nil"/>
            </w:tcBorders>
            <w:noWrap w:val="0"/>
            <w:vAlign w:val="center"/>
          </w:tcPr>
          <w:p w14:paraId="3D4E230A">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噪声</w:t>
            </w:r>
          </w:p>
        </w:tc>
        <w:tc>
          <w:tcPr>
            <w:tcW w:w="488" w:type="pct"/>
            <w:tcBorders>
              <w:tl2br w:val="nil"/>
              <w:tr2bl w:val="nil"/>
            </w:tcBorders>
            <w:noWrap w:val="0"/>
            <w:vAlign w:val="center"/>
          </w:tcPr>
          <w:p w14:paraId="19D3F466">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10</w:t>
            </w:r>
          </w:p>
        </w:tc>
        <w:tc>
          <w:tcPr>
            <w:tcW w:w="488" w:type="pct"/>
            <w:tcBorders>
              <w:tl2br w:val="nil"/>
              <w:tr2bl w:val="nil"/>
            </w:tcBorders>
            <w:noWrap w:val="0"/>
            <w:vAlign w:val="center"/>
          </w:tcPr>
          <w:p w14:paraId="472B4427">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10</w:t>
            </w:r>
          </w:p>
        </w:tc>
        <w:tc>
          <w:tcPr>
            <w:tcW w:w="538" w:type="pct"/>
            <w:tcBorders>
              <w:tl2br w:val="nil"/>
              <w:tr2bl w:val="nil"/>
            </w:tcBorders>
            <w:noWrap w:val="0"/>
            <w:vAlign w:val="center"/>
          </w:tcPr>
          <w:p w14:paraId="68A14A29">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w:t>
            </w:r>
          </w:p>
        </w:tc>
        <w:tc>
          <w:tcPr>
            <w:tcW w:w="538" w:type="pct"/>
            <w:tcBorders>
              <w:tl2br w:val="nil"/>
              <w:tr2bl w:val="nil"/>
            </w:tcBorders>
            <w:noWrap w:val="0"/>
            <w:vAlign w:val="center"/>
          </w:tcPr>
          <w:p w14:paraId="70AF8570">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100</w:t>
            </w:r>
          </w:p>
        </w:tc>
        <w:tc>
          <w:tcPr>
            <w:tcW w:w="1781" w:type="pct"/>
            <w:tcBorders>
              <w:tl2br w:val="nil"/>
              <w:tr2bl w:val="nil"/>
            </w:tcBorders>
            <w:noWrap w:val="0"/>
            <w:vAlign w:val="center"/>
          </w:tcPr>
          <w:p w14:paraId="7AD1415F">
            <w:pPr>
              <w:keepNext w:val="0"/>
              <w:keepLines w:val="0"/>
              <w:pageBreakBefore w:val="0"/>
              <w:widowControl w:val="0"/>
              <w:kinsoku/>
              <w:wordWrap/>
              <w:overflowPunct/>
              <w:topLinePunct w:val="0"/>
              <w:bidi w:val="0"/>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显著危险，需要整改</w:t>
            </w:r>
          </w:p>
        </w:tc>
      </w:tr>
    </w:tbl>
    <w:p w14:paraId="76642157">
      <w:pPr>
        <w:pStyle w:val="4"/>
        <w:bidi w:val="0"/>
      </w:pPr>
      <w:bookmarkStart w:id="181" w:name="_Toc19315"/>
      <w:r>
        <w:t>预先危险性分析</w:t>
      </w:r>
      <w:r>
        <w:rPr>
          <w:rFonts w:hint="eastAsia"/>
        </w:rPr>
        <w:t>评价</w:t>
      </w:r>
      <w:bookmarkEnd w:id="181"/>
    </w:p>
    <w:p w14:paraId="5D5CE94D">
      <w:pPr>
        <w:bidi w:val="0"/>
        <w:rPr>
          <w:rFonts w:hint="eastAsia" w:ascii="宋体" w:hAnsi="宋体" w:eastAsia="宋体" w:cs="宋体"/>
          <w:lang w:val="en-US" w:eastAsia="zh-CN"/>
        </w:rPr>
      </w:pPr>
      <w:r>
        <w:rPr>
          <w:rFonts w:hint="eastAsia" w:ascii="宋体" w:hAnsi="宋体" w:eastAsia="宋体" w:cs="宋体"/>
        </w:rPr>
        <w:t>采用预先危险性分析法对</w:t>
      </w:r>
      <w:r>
        <w:rPr>
          <w:rFonts w:hint="eastAsia" w:ascii="宋体" w:hAnsi="宋体" w:eastAsia="宋体" w:cs="宋体"/>
          <w:lang w:val="en-US" w:eastAsia="zh-CN"/>
        </w:rPr>
        <w:t>开拓</w:t>
      </w:r>
      <w:r>
        <w:rPr>
          <w:rFonts w:hint="eastAsia" w:ascii="宋体" w:hAnsi="宋体" w:eastAsia="宋体" w:cs="宋体"/>
        </w:rPr>
        <w:t>运输系统中存在的危险因素进行分析评价并预测事故后果严重等级，见表</w:t>
      </w:r>
      <w:r>
        <w:rPr>
          <w:rFonts w:hint="eastAsia" w:ascii="宋体" w:hAnsi="宋体" w:cs="宋体"/>
          <w:lang w:val="en-US" w:eastAsia="zh-CN"/>
        </w:rPr>
        <w:t>3-11</w:t>
      </w:r>
      <w:r>
        <w:rPr>
          <w:rFonts w:hint="eastAsia" w:ascii="宋体" w:hAnsi="宋体" w:eastAsia="宋体" w:cs="宋体"/>
          <w:lang w:val="en-US" w:eastAsia="zh-CN"/>
        </w:rPr>
        <w:t>。</w:t>
      </w:r>
    </w:p>
    <w:p w14:paraId="3896676D">
      <w:pPr>
        <w:pStyle w:val="11"/>
        <w:ind w:left="0" w:leftChars="0" w:firstLine="0" w:firstLineChars="0"/>
        <w:jc w:val="center"/>
        <w:rPr>
          <w:rFonts w:hint="eastAsia" w:eastAsia="宋体"/>
          <w:lang w:eastAsia="zh-CN"/>
        </w:rPr>
      </w:pPr>
      <w:r>
        <w:t xml:space="preserve">表 </w:t>
      </w:r>
      <w:r>
        <w:fldChar w:fldCharType="begin"/>
      </w:r>
      <w:r>
        <w:instrText xml:space="preserve"> STYLEREF 1 \s </w:instrText>
      </w:r>
      <w:r>
        <w:fldChar w:fldCharType="separate"/>
      </w:r>
      <w:r>
        <w:t>3</w:t>
      </w:r>
      <w:r>
        <w:fldChar w:fldCharType="end"/>
      </w:r>
      <w:r>
        <w:rPr>
          <w:rFonts w:hint="eastAsia"/>
          <w:lang w:eastAsia="zh-CN"/>
        </w:rPr>
        <w:t>-</w:t>
      </w:r>
      <w:r>
        <w:fldChar w:fldCharType="begin"/>
      </w:r>
      <w:r>
        <w:instrText xml:space="preserve"> SEQ 表 \* ARABIC \s 1 </w:instrText>
      </w:r>
      <w:r>
        <w:fldChar w:fldCharType="separate"/>
      </w:r>
      <w:r>
        <w:t>11</w:t>
      </w:r>
      <w:r>
        <w:fldChar w:fldCharType="end"/>
      </w:r>
      <w:r>
        <w:rPr>
          <w:rFonts w:hint="eastAsia"/>
          <w:lang w:eastAsia="zh-CN"/>
        </w:rPr>
        <w:t xml:space="preserve"> 开拓运输单元预先危险性分析表</w:t>
      </w:r>
    </w:p>
    <w:tbl>
      <w:tblPr>
        <w:tblStyle w:val="29"/>
        <w:tblW w:w="484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74"/>
        <w:gridCol w:w="3544"/>
        <w:gridCol w:w="660"/>
        <w:gridCol w:w="644"/>
        <w:gridCol w:w="2921"/>
      </w:tblGrid>
      <w:tr w14:paraId="40498B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07" w:type="pct"/>
            <w:tcBorders>
              <w:tl2br w:val="nil"/>
              <w:tr2bl w:val="nil"/>
            </w:tcBorders>
            <w:noWrap w:val="0"/>
            <w:vAlign w:val="center"/>
          </w:tcPr>
          <w:p w14:paraId="3870EA6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b/>
                <w:bCs/>
                <w:color w:val="000000"/>
                <w:kern w:val="2"/>
                <w:sz w:val="21"/>
                <w:szCs w:val="21"/>
                <w:lang w:val="en-US" w:eastAsia="zh-CN" w:bidi="ar-SA"/>
              </w:rPr>
            </w:pPr>
            <w:r>
              <w:rPr>
                <w:rFonts w:hint="eastAsia" w:ascii="宋体" w:hAnsi="宋体" w:eastAsia="宋体" w:cs="宋体"/>
                <w:b/>
                <w:bCs/>
                <w:color w:val="000000"/>
                <w:sz w:val="21"/>
                <w:szCs w:val="21"/>
              </w:rPr>
              <w:t>危险有害因素</w:t>
            </w:r>
          </w:p>
        </w:tc>
        <w:tc>
          <w:tcPr>
            <w:tcW w:w="2003" w:type="pct"/>
            <w:tcBorders>
              <w:tl2br w:val="nil"/>
              <w:tr2bl w:val="nil"/>
            </w:tcBorders>
            <w:noWrap w:val="0"/>
            <w:vAlign w:val="center"/>
          </w:tcPr>
          <w:p w14:paraId="2A4C7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b/>
                <w:bCs/>
                <w:color w:val="000000"/>
                <w:kern w:val="2"/>
                <w:sz w:val="21"/>
                <w:szCs w:val="21"/>
                <w:lang w:val="en-US" w:eastAsia="zh-CN" w:bidi="ar-SA"/>
              </w:rPr>
            </w:pPr>
            <w:r>
              <w:rPr>
                <w:rFonts w:hint="eastAsia" w:ascii="宋体" w:hAnsi="宋体" w:eastAsia="宋体" w:cs="宋体"/>
                <w:b/>
                <w:bCs/>
                <w:color w:val="000000"/>
                <w:sz w:val="21"/>
                <w:szCs w:val="21"/>
                <w:lang w:val="en-US" w:eastAsia="zh-CN"/>
              </w:rPr>
              <w:t>触发条件</w:t>
            </w:r>
          </w:p>
        </w:tc>
        <w:tc>
          <w:tcPr>
            <w:tcW w:w="373" w:type="pct"/>
            <w:tcBorders>
              <w:tl2br w:val="nil"/>
              <w:tr2bl w:val="nil"/>
            </w:tcBorders>
            <w:noWrap w:val="0"/>
            <w:vAlign w:val="center"/>
          </w:tcPr>
          <w:p w14:paraId="526331B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事故</w:t>
            </w:r>
          </w:p>
          <w:p w14:paraId="3880A03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b/>
                <w:bCs/>
                <w:color w:val="000000"/>
                <w:kern w:val="2"/>
                <w:sz w:val="21"/>
                <w:szCs w:val="21"/>
                <w:lang w:val="en-US" w:eastAsia="zh-CN" w:bidi="ar-SA"/>
              </w:rPr>
            </w:pPr>
            <w:r>
              <w:rPr>
                <w:rFonts w:hint="eastAsia" w:ascii="宋体" w:hAnsi="宋体" w:eastAsia="宋体" w:cs="宋体"/>
                <w:b/>
                <w:bCs/>
                <w:color w:val="000000"/>
                <w:sz w:val="21"/>
                <w:szCs w:val="21"/>
              </w:rPr>
              <w:t>后果</w:t>
            </w:r>
          </w:p>
        </w:tc>
        <w:tc>
          <w:tcPr>
            <w:tcW w:w="364" w:type="pct"/>
            <w:tcBorders>
              <w:tl2br w:val="nil"/>
              <w:tr2bl w:val="nil"/>
            </w:tcBorders>
            <w:noWrap w:val="0"/>
            <w:vAlign w:val="center"/>
          </w:tcPr>
          <w:p w14:paraId="68940F6B">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危险</w:t>
            </w:r>
          </w:p>
          <w:p w14:paraId="6FC4A0A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b/>
                <w:bCs/>
                <w:color w:val="000000"/>
                <w:kern w:val="2"/>
                <w:sz w:val="21"/>
                <w:szCs w:val="21"/>
                <w:lang w:val="en-US" w:eastAsia="zh-CN" w:bidi="ar-SA"/>
              </w:rPr>
            </w:pPr>
            <w:r>
              <w:rPr>
                <w:rFonts w:hint="eastAsia" w:ascii="宋体" w:hAnsi="宋体" w:eastAsia="宋体" w:cs="宋体"/>
                <w:b/>
                <w:bCs/>
                <w:color w:val="000000"/>
                <w:sz w:val="21"/>
                <w:szCs w:val="21"/>
              </w:rPr>
              <w:t>等级</w:t>
            </w:r>
          </w:p>
        </w:tc>
        <w:tc>
          <w:tcPr>
            <w:tcW w:w="1651" w:type="pct"/>
            <w:tcBorders>
              <w:tl2br w:val="nil"/>
              <w:tr2bl w:val="nil"/>
            </w:tcBorders>
            <w:noWrap w:val="0"/>
            <w:vAlign w:val="center"/>
          </w:tcPr>
          <w:p w14:paraId="6CF8F49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b/>
                <w:bCs/>
                <w:color w:val="000000"/>
                <w:kern w:val="2"/>
                <w:sz w:val="21"/>
                <w:szCs w:val="21"/>
                <w:lang w:val="en-US" w:eastAsia="zh-CN" w:bidi="ar-SA"/>
              </w:rPr>
            </w:pPr>
            <w:r>
              <w:rPr>
                <w:rFonts w:hint="eastAsia" w:ascii="宋体" w:hAnsi="宋体" w:eastAsia="宋体" w:cs="宋体"/>
                <w:b/>
                <w:bCs/>
                <w:color w:val="000000"/>
                <w:sz w:val="21"/>
                <w:szCs w:val="21"/>
              </w:rPr>
              <w:t>对策措施</w:t>
            </w:r>
          </w:p>
        </w:tc>
      </w:tr>
      <w:tr w14:paraId="7D6835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07" w:type="pct"/>
            <w:tcBorders>
              <w:tl2br w:val="nil"/>
              <w:tr2bl w:val="nil"/>
            </w:tcBorders>
            <w:noWrap w:val="0"/>
            <w:vAlign w:val="center"/>
          </w:tcPr>
          <w:p w14:paraId="1F534F49">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车辆伤害</w:t>
            </w:r>
          </w:p>
        </w:tc>
        <w:tc>
          <w:tcPr>
            <w:tcW w:w="2003" w:type="pct"/>
            <w:tcBorders>
              <w:tl2br w:val="nil"/>
              <w:tr2bl w:val="nil"/>
            </w:tcBorders>
            <w:noWrap w:val="0"/>
            <w:vAlign w:val="center"/>
          </w:tcPr>
          <w:p w14:paraId="02D2E043">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lang w:val="en-US" w:eastAsia="zh-CN"/>
              </w:rPr>
              <w:t>1.</w:t>
            </w:r>
            <w:r>
              <w:rPr>
                <w:rFonts w:hint="eastAsia" w:ascii="宋体" w:hAnsi="宋体" w:eastAsia="宋体" w:cs="宋体"/>
                <w:color w:val="000000"/>
                <w:sz w:val="21"/>
                <w:szCs w:val="21"/>
              </w:rPr>
              <w:t>矿山运输道路等级、曲率半径等不合理；路面窄、路基强度差；道路坡度过大；</w:t>
            </w:r>
          </w:p>
          <w:p w14:paraId="30CF8CE3">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lang w:val="en-US" w:eastAsia="zh-CN"/>
              </w:rPr>
              <w:t>2.道路状况</w:t>
            </w:r>
            <w:r>
              <w:rPr>
                <w:rFonts w:hint="eastAsia" w:ascii="宋体" w:hAnsi="宋体" w:eastAsia="宋体" w:cs="宋体"/>
                <w:color w:val="000000"/>
                <w:sz w:val="21"/>
                <w:szCs w:val="21"/>
              </w:rPr>
              <w:t>差，达不到行车安全标准；</w:t>
            </w:r>
          </w:p>
          <w:p w14:paraId="575D2062">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危险路段无防护土墩等必要的安全设施和警示标志；</w:t>
            </w:r>
          </w:p>
          <w:p w14:paraId="159A95B5">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lang w:val="en-US" w:eastAsia="zh-CN"/>
              </w:rPr>
              <w:t>3.</w:t>
            </w:r>
            <w:r>
              <w:rPr>
                <w:rFonts w:hint="eastAsia" w:ascii="宋体" w:hAnsi="宋体" w:eastAsia="宋体" w:cs="宋体"/>
                <w:color w:val="000000"/>
                <w:sz w:val="21"/>
                <w:szCs w:val="21"/>
              </w:rPr>
              <w:t>运输车辆车况差，安全装置失灵；</w:t>
            </w:r>
            <w:r>
              <w:rPr>
                <w:rFonts w:hint="eastAsia" w:ascii="宋体" w:hAnsi="宋体" w:eastAsia="宋体" w:cs="宋体"/>
                <w:color w:val="000000"/>
                <w:sz w:val="21"/>
                <w:szCs w:val="21"/>
                <w:lang w:val="en-US" w:eastAsia="zh-CN"/>
              </w:rPr>
              <w:t>4.</w:t>
            </w:r>
            <w:r>
              <w:rPr>
                <w:rFonts w:hint="eastAsia" w:ascii="宋体" w:hAnsi="宋体" w:eastAsia="宋体" w:cs="宋体"/>
                <w:color w:val="000000"/>
                <w:sz w:val="21"/>
                <w:szCs w:val="21"/>
              </w:rPr>
              <w:t>超载、超速；无证驾驶等违章作业；</w:t>
            </w:r>
          </w:p>
          <w:p w14:paraId="004C0529">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lang w:val="en-US" w:eastAsia="zh-CN"/>
              </w:rPr>
              <w:t>5.</w:t>
            </w:r>
            <w:r>
              <w:rPr>
                <w:rFonts w:hint="eastAsia" w:ascii="宋体" w:hAnsi="宋体" w:eastAsia="宋体" w:cs="宋体"/>
                <w:color w:val="000000"/>
                <w:sz w:val="21"/>
                <w:szCs w:val="21"/>
              </w:rPr>
              <w:t>环境不良，如照明差、雨雪雾影响。</w:t>
            </w:r>
          </w:p>
        </w:tc>
        <w:tc>
          <w:tcPr>
            <w:tcW w:w="373" w:type="pct"/>
            <w:tcBorders>
              <w:tl2br w:val="nil"/>
              <w:tr2bl w:val="nil"/>
            </w:tcBorders>
            <w:noWrap w:val="0"/>
            <w:vAlign w:val="center"/>
          </w:tcPr>
          <w:p w14:paraId="7CFB7CF6">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人员</w:t>
            </w:r>
          </w:p>
          <w:p w14:paraId="50B6157F">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sz w:val="21"/>
                <w:szCs w:val="21"/>
              </w:rPr>
            </w:pPr>
            <w:r>
              <w:rPr>
                <w:rFonts w:hint="eastAsia" w:ascii="宋体" w:hAnsi="宋体" w:eastAsia="宋体" w:cs="宋体"/>
                <w:color w:val="000000"/>
                <w:sz w:val="21"/>
                <w:szCs w:val="21"/>
              </w:rPr>
              <w:t>伤亡</w:t>
            </w:r>
          </w:p>
          <w:p w14:paraId="19D1A489">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车辆</w:t>
            </w:r>
          </w:p>
          <w:p w14:paraId="427064C0">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损坏</w:t>
            </w:r>
          </w:p>
        </w:tc>
        <w:tc>
          <w:tcPr>
            <w:tcW w:w="364" w:type="pct"/>
            <w:tcBorders>
              <w:tl2br w:val="nil"/>
              <w:tr2bl w:val="nil"/>
            </w:tcBorders>
            <w:noWrap w:val="0"/>
            <w:vAlign w:val="center"/>
          </w:tcPr>
          <w:p w14:paraId="29C9D6A3">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Ⅲ</w:t>
            </w:r>
          </w:p>
        </w:tc>
        <w:tc>
          <w:tcPr>
            <w:tcW w:w="1651" w:type="pct"/>
            <w:tcBorders>
              <w:tl2br w:val="nil"/>
              <w:tr2bl w:val="nil"/>
            </w:tcBorders>
            <w:noWrap w:val="0"/>
            <w:vAlign w:val="center"/>
          </w:tcPr>
          <w:p w14:paraId="48527862">
            <w:pPr>
              <w:keepNext w:val="0"/>
              <w:keepLines w:val="0"/>
              <w:pageBreakBefore w:val="0"/>
              <w:widowControl w:val="0"/>
              <w:numPr>
                <w:ilvl w:val="0"/>
                <w:numId w:val="0"/>
              </w:numPr>
              <w:kinsoku/>
              <w:wordWrap/>
              <w:overflowPunct/>
              <w:topLinePunct w:val="0"/>
              <w:autoSpaceDE/>
              <w:autoSpaceDN/>
              <w:bidi w:val="0"/>
              <w:spacing w:line="240" w:lineRule="auto"/>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lang w:val="en-US" w:eastAsia="zh-CN"/>
              </w:rPr>
              <w:t>1.</w:t>
            </w:r>
            <w:r>
              <w:rPr>
                <w:rFonts w:hint="eastAsia" w:ascii="宋体" w:hAnsi="宋体" w:eastAsia="宋体" w:cs="宋体"/>
                <w:color w:val="000000"/>
                <w:sz w:val="21"/>
                <w:szCs w:val="21"/>
              </w:rPr>
              <w:t>车辆行驶前要对车况进行检查，确保车辆完好；</w:t>
            </w:r>
          </w:p>
          <w:p w14:paraId="2566B6CA">
            <w:pPr>
              <w:keepNext w:val="0"/>
              <w:keepLines w:val="0"/>
              <w:pageBreakBefore w:val="0"/>
              <w:widowControl w:val="0"/>
              <w:numPr>
                <w:ilvl w:val="0"/>
                <w:numId w:val="0"/>
              </w:numPr>
              <w:kinsoku/>
              <w:wordWrap/>
              <w:overflowPunct/>
              <w:topLinePunct w:val="0"/>
              <w:autoSpaceDE/>
              <w:autoSpaceDN/>
              <w:bidi w:val="0"/>
              <w:spacing w:line="240" w:lineRule="auto"/>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lang w:val="en-US" w:eastAsia="zh-CN"/>
              </w:rPr>
              <w:t>2.</w:t>
            </w:r>
            <w:r>
              <w:rPr>
                <w:rFonts w:hint="eastAsia" w:ascii="宋体" w:hAnsi="宋体" w:eastAsia="宋体" w:cs="宋体"/>
                <w:color w:val="000000"/>
                <w:sz w:val="21"/>
                <w:szCs w:val="21"/>
              </w:rPr>
              <w:t>在边坡、弯道等地段设置安全警示及交通安全标志，严禁超速超载行驶；</w:t>
            </w:r>
          </w:p>
          <w:p w14:paraId="1DAFC029">
            <w:pPr>
              <w:keepNext w:val="0"/>
              <w:keepLines w:val="0"/>
              <w:pageBreakBefore w:val="0"/>
              <w:widowControl w:val="0"/>
              <w:numPr>
                <w:ilvl w:val="0"/>
                <w:numId w:val="0"/>
              </w:numPr>
              <w:kinsoku/>
              <w:wordWrap/>
              <w:overflowPunct/>
              <w:topLinePunct w:val="0"/>
              <w:autoSpaceDE/>
              <w:autoSpaceDN/>
              <w:bidi w:val="0"/>
              <w:spacing w:line="240" w:lineRule="auto"/>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lang w:val="en-US" w:eastAsia="zh-CN"/>
              </w:rPr>
              <w:t>3.</w:t>
            </w:r>
            <w:r>
              <w:rPr>
                <w:rFonts w:hint="eastAsia" w:ascii="宋体" w:hAnsi="宋体" w:eastAsia="宋体" w:cs="宋体"/>
                <w:color w:val="000000"/>
                <w:sz w:val="21"/>
                <w:szCs w:val="21"/>
              </w:rPr>
              <w:t>危险地段设置安全标志和防护设施；</w:t>
            </w:r>
          </w:p>
          <w:p w14:paraId="37E6C6EB">
            <w:pPr>
              <w:keepNext w:val="0"/>
              <w:keepLines w:val="0"/>
              <w:pageBreakBefore w:val="0"/>
              <w:widowControl w:val="0"/>
              <w:numPr>
                <w:ilvl w:val="0"/>
                <w:numId w:val="0"/>
              </w:numPr>
              <w:kinsoku/>
              <w:wordWrap/>
              <w:overflowPunct/>
              <w:topLinePunct w:val="0"/>
              <w:autoSpaceDE/>
              <w:autoSpaceDN/>
              <w:bidi w:val="0"/>
              <w:spacing w:line="240" w:lineRule="auto"/>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lang w:val="en-US" w:eastAsia="zh-CN"/>
              </w:rPr>
              <w:t>4.</w:t>
            </w:r>
            <w:r>
              <w:rPr>
                <w:rFonts w:hint="eastAsia" w:ascii="宋体" w:hAnsi="宋体" w:eastAsia="宋体" w:cs="宋体"/>
                <w:color w:val="000000"/>
                <w:sz w:val="21"/>
                <w:szCs w:val="21"/>
              </w:rPr>
              <w:t>道路的施工要符合设计的标准；</w:t>
            </w:r>
          </w:p>
          <w:p w14:paraId="3538A850">
            <w:pPr>
              <w:keepNext w:val="0"/>
              <w:keepLines w:val="0"/>
              <w:pageBreakBefore w:val="0"/>
              <w:widowControl w:val="0"/>
              <w:numPr>
                <w:ilvl w:val="0"/>
                <w:numId w:val="0"/>
              </w:numPr>
              <w:kinsoku/>
              <w:wordWrap/>
              <w:overflowPunct/>
              <w:topLinePunct w:val="0"/>
              <w:autoSpaceDE/>
              <w:autoSpaceDN/>
              <w:bidi w:val="0"/>
              <w:spacing w:line="240" w:lineRule="auto"/>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lang w:val="en-US" w:eastAsia="zh-CN"/>
              </w:rPr>
              <w:t>5.</w:t>
            </w:r>
            <w:r>
              <w:rPr>
                <w:rFonts w:hint="eastAsia" w:ascii="宋体" w:hAnsi="宋体" w:eastAsia="宋体" w:cs="宋体"/>
                <w:color w:val="000000"/>
                <w:sz w:val="21"/>
                <w:szCs w:val="21"/>
              </w:rPr>
              <w:t>严禁违章驾驶；</w:t>
            </w:r>
          </w:p>
          <w:p w14:paraId="03D50584">
            <w:pPr>
              <w:keepNext w:val="0"/>
              <w:keepLines w:val="0"/>
              <w:pageBreakBefore w:val="0"/>
              <w:widowControl w:val="0"/>
              <w:numPr>
                <w:ilvl w:val="0"/>
                <w:numId w:val="0"/>
              </w:numPr>
              <w:kinsoku/>
              <w:wordWrap/>
              <w:overflowPunct/>
              <w:topLinePunct w:val="0"/>
              <w:autoSpaceDE/>
              <w:autoSpaceDN/>
              <w:bidi w:val="0"/>
              <w:spacing w:line="240" w:lineRule="auto"/>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lang w:val="en-US" w:eastAsia="zh-CN"/>
              </w:rPr>
              <w:t>6.</w:t>
            </w:r>
            <w:r>
              <w:rPr>
                <w:rFonts w:hint="eastAsia" w:ascii="宋体" w:hAnsi="宋体" w:eastAsia="宋体" w:cs="宋体"/>
                <w:color w:val="000000"/>
                <w:sz w:val="21"/>
                <w:szCs w:val="21"/>
              </w:rPr>
              <w:t>大雨</w:t>
            </w:r>
            <w:r>
              <w:rPr>
                <w:rFonts w:hint="eastAsia" w:ascii="宋体" w:hAnsi="宋体" w:cs="宋体"/>
                <w:color w:val="000000"/>
                <w:sz w:val="21"/>
                <w:szCs w:val="21"/>
                <w:lang w:eastAsia="zh-CN"/>
              </w:rPr>
              <w:t>、</w:t>
            </w:r>
            <w:r>
              <w:rPr>
                <w:rFonts w:hint="eastAsia" w:ascii="宋体" w:hAnsi="宋体" w:eastAsia="宋体" w:cs="宋体"/>
                <w:color w:val="000000"/>
                <w:sz w:val="21"/>
                <w:szCs w:val="21"/>
              </w:rPr>
              <w:t>大雾</w:t>
            </w:r>
            <w:r>
              <w:rPr>
                <w:rFonts w:hint="eastAsia" w:ascii="宋体" w:hAnsi="宋体" w:cs="宋体"/>
                <w:color w:val="000000"/>
                <w:sz w:val="21"/>
                <w:szCs w:val="21"/>
                <w:lang w:val="en-US" w:eastAsia="zh-CN"/>
              </w:rPr>
              <w:t>等恶劣</w:t>
            </w:r>
            <w:r>
              <w:rPr>
                <w:rFonts w:hint="eastAsia" w:ascii="宋体" w:hAnsi="宋体" w:eastAsia="宋体" w:cs="宋体"/>
                <w:color w:val="000000"/>
                <w:sz w:val="21"/>
                <w:szCs w:val="21"/>
              </w:rPr>
              <w:t>天气加强照明或禁止作业。</w:t>
            </w:r>
          </w:p>
        </w:tc>
      </w:tr>
      <w:tr w14:paraId="05A3BD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07" w:type="pct"/>
            <w:tcBorders>
              <w:tl2br w:val="nil"/>
              <w:tr2bl w:val="nil"/>
            </w:tcBorders>
            <w:noWrap w:val="0"/>
            <w:vAlign w:val="center"/>
          </w:tcPr>
          <w:p w14:paraId="235CC5F0">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高处坠落</w:t>
            </w:r>
          </w:p>
        </w:tc>
        <w:tc>
          <w:tcPr>
            <w:tcW w:w="2003" w:type="pct"/>
            <w:tcBorders>
              <w:tl2br w:val="nil"/>
              <w:tr2bl w:val="nil"/>
            </w:tcBorders>
            <w:noWrap w:val="0"/>
            <w:vAlign w:val="center"/>
          </w:tcPr>
          <w:p w14:paraId="0A152102">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1.作业平台宽度不够；无挡堆和警示标志；</w:t>
            </w:r>
          </w:p>
          <w:p w14:paraId="00847511">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2.运输车辆、铲装设备、人员作业距边坡边缘的距离不够；</w:t>
            </w:r>
          </w:p>
          <w:p w14:paraId="79C59ABA">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3.人员失稳；</w:t>
            </w:r>
          </w:p>
          <w:p w14:paraId="5FB562C3">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4</w:t>
            </w:r>
            <w:r>
              <w:rPr>
                <w:rFonts w:hint="eastAsia" w:ascii="宋体" w:hAnsi="宋体" w:eastAsia="宋体" w:cs="宋体"/>
                <w:color w:val="000000"/>
                <w:sz w:val="21"/>
                <w:szCs w:val="21"/>
              </w:rPr>
              <w:t>.</w:t>
            </w:r>
            <w:r>
              <w:rPr>
                <w:rFonts w:hint="eastAsia" w:ascii="宋体" w:hAnsi="宋体" w:eastAsia="宋体" w:cs="宋体"/>
                <w:color w:val="000000"/>
                <w:sz w:val="21"/>
                <w:szCs w:val="21"/>
                <w:lang w:val="en-US" w:eastAsia="zh-CN"/>
              </w:rPr>
              <w:t>作业人员在带式输送机通廊上检修或巡检时安全防护栏缺失或损坏，</w:t>
            </w:r>
            <w:r>
              <w:rPr>
                <w:rFonts w:hint="eastAsia" w:ascii="宋体" w:hAnsi="宋体" w:eastAsia="宋体" w:cs="宋体"/>
                <w:color w:val="000000"/>
                <w:sz w:val="21"/>
                <w:szCs w:val="21"/>
              </w:rPr>
              <w:t>个人防护措施不全</w:t>
            </w:r>
            <w:r>
              <w:rPr>
                <w:rFonts w:hint="eastAsia" w:ascii="宋体" w:hAnsi="宋体" w:eastAsia="宋体" w:cs="宋体"/>
                <w:color w:val="000000"/>
                <w:sz w:val="21"/>
                <w:szCs w:val="21"/>
                <w:lang w:eastAsia="zh-CN"/>
              </w:rPr>
              <w:t>；</w:t>
            </w:r>
          </w:p>
        </w:tc>
        <w:tc>
          <w:tcPr>
            <w:tcW w:w="373" w:type="pct"/>
            <w:tcBorders>
              <w:tl2br w:val="nil"/>
              <w:tr2bl w:val="nil"/>
            </w:tcBorders>
            <w:noWrap w:val="0"/>
            <w:vAlign w:val="center"/>
          </w:tcPr>
          <w:p w14:paraId="6BB82F9B">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人员</w:t>
            </w:r>
          </w:p>
          <w:p w14:paraId="3974E8FA">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伤亡</w:t>
            </w:r>
          </w:p>
          <w:p w14:paraId="6B5E16C6">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或砸</w:t>
            </w:r>
          </w:p>
          <w:p w14:paraId="2DE495D5">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坏设</w:t>
            </w:r>
          </w:p>
          <w:p w14:paraId="746688C3">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备</w:t>
            </w:r>
          </w:p>
        </w:tc>
        <w:tc>
          <w:tcPr>
            <w:tcW w:w="364" w:type="pct"/>
            <w:tcBorders>
              <w:tl2br w:val="nil"/>
              <w:tr2bl w:val="nil"/>
            </w:tcBorders>
            <w:noWrap w:val="0"/>
            <w:vAlign w:val="center"/>
          </w:tcPr>
          <w:p w14:paraId="74091CDE">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Ⅲ</w:t>
            </w:r>
          </w:p>
        </w:tc>
        <w:tc>
          <w:tcPr>
            <w:tcW w:w="1651" w:type="pct"/>
            <w:tcBorders>
              <w:tl2br w:val="nil"/>
              <w:tr2bl w:val="nil"/>
            </w:tcBorders>
            <w:noWrap w:val="0"/>
            <w:vAlign w:val="center"/>
          </w:tcPr>
          <w:p w14:paraId="041A72B9">
            <w:pPr>
              <w:keepNext w:val="0"/>
              <w:keepLines w:val="0"/>
              <w:pageBreakBefore w:val="0"/>
              <w:widowControl w:val="0"/>
              <w:kinsoku/>
              <w:wordWrap/>
              <w:overflowPunct/>
              <w:topLinePunct w:val="0"/>
              <w:autoSpaceDE/>
              <w:autoSpaceDN/>
              <w:bidi w:val="0"/>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1.在台阶边缘应设置档堆和明显警示标志；</w:t>
            </w:r>
          </w:p>
          <w:p w14:paraId="29DED33D">
            <w:pPr>
              <w:keepNext w:val="0"/>
              <w:keepLines w:val="0"/>
              <w:pageBreakBefore w:val="0"/>
              <w:widowControl w:val="0"/>
              <w:kinsoku/>
              <w:wordWrap/>
              <w:overflowPunct/>
              <w:topLinePunct w:val="0"/>
              <w:autoSpaceDE/>
              <w:autoSpaceDN/>
              <w:bidi w:val="0"/>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2.在平台作业时，运输车辆、铲装设备、作业人员距边坡边缘应保持足够的安全距离；</w:t>
            </w:r>
          </w:p>
          <w:p w14:paraId="69987849">
            <w:pPr>
              <w:keepNext w:val="0"/>
              <w:keepLines w:val="0"/>
              <w:pageBreakBefore w:val="0"/>
              <w:widowControl w:val="0"/>
              <w:kinsoku/>
              <w:wordWrap/>
              <w:overflowPunct/>
              <w:topLinePunct w:val="0"/>
              <w:autoSpaceDE/>
              <w:autoSpaceDN/>
              <w:bidi w:val="0"/>
              <w:spacing w:line="240" w:lineRule="auto"/>
              <w:ind w:left="0" w:leftChars="0" w:firstLine="0" w:firstLineChars="0"/>
              <w:textAlignment w:val="auto"/>
              <w:rPr>
                <w:rFonts w:hint="eastAsia" w:ascii="宋体" w:hAnsi="宋体" w:cs="宋体"/>
                <w:color w:val="000000"/>
                <w:sz w:val="21"/>
                <w:szCs w:val="21"/>
                <w:lang w:eastAsia="zh-CN"/>
              </w:rPr>
            </w:pPr>
            <w:r>
              <w:rPr>
                <w:rFonts w:hint="eastAsia" w:ascii="宋体" w:hAnsi="宋体" w:eastAsia="宋体" w:cs="宋体"/>
                <w:color w:val="000000"/>
                <w:sz w:val="21"/>
                <w:szCs w:val="21"/>
              </w:rPr>
              <w:t>3.人员在临边坡行走，应集中注意力</w:t>
            </w:r>
            <w:r>
              <w:rPr>
                <w:rFonts w:hint="eastAsia" w:ascii="宋体" w:hAnsi="宋体" w:cs="宋体"/>
                <w:color w:val="000000"/>
                <w:sz w:val="21"/>
                <w:szCs w:val="21"/>
                <w:lang w:eastAsia="zh-CN"/>
              </w:rPr>
              <w:t>；</w:t>
            </w:r>
          </w:p>
          <w:p w14:paraId="7FDE1324">
            <w:pPr>
              <w:keepNext w:val="0"/>
              <w:keepLines w:val="0"/>
              <w:pageBreakBefore w:val="0"/>
              <w:widowControl w:val="0"/>
              <w:kinsoku/>
              <w:wordWrap/>
              <w:overflowPunct/>
              <w:topLinePunct w:val="0"/>
              <w:autoSpaceDE/>
              <w:autoSpaceDN/>
              <w:bidi w:val="0"/>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cs="宋体"/>
                <w:color w:val="000000"/>
                <w:sz w:val="21"/>
                <w:szCs w:val="21"/>
                <w:lang w:val="en-US" w:eastAsia="zh-CN"/>
              </w:rPr>
              <w:t>4.人员在</w:t>
            </w:r>
            <w:r>
              <w:rPr>
                <w:rFonts w:hint="eastAsia" w:ascii="宋体" w:hAnsi="宋体" w:eastAsia="宋体" w:cs="宋体"/>
                <w:color w:val="000000"/>
                <w:sz w:val="21"/>
                <w:szCs w:val="21"/>
                <w:lang w:val="en-US" w:eastAsia="zh-CN"/>
              </w:rPr>
              <w:t>带式输送机通廊上检修或巡检时应注意观察周边环境，做好个人防护措施</w:t>
            </w:r>
            <w:r>
              <w:rPr>
                <w:rFonts w:hint="eastAsia" w:ascii="宋体" w:hAnsi="宋体" w:eastAsia="宋体" w:cs="宋体"/>
                <w:color w:val="000000"/>
                <w:sz w:val="21"/>
                <w:szCs w:val="21"/>
              </w:rPr>
              <w:t>。</w:t>
            </w:r>
          </w:p>
        </w:tc>
      </w:tr>
      <w:tr w14:paraId="5ED768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07" w:type="pct"/>
            <w:tcBorders>
              <w:tl2br w:val="nil"/>
              <w:tr2bl w:val="nil"/>
            </w:tcBorders>
            <w:noWrap w:val="0"/>
            <w:vAlign w:val="center"/>
          </w:tcPr>
          <w:p w14:paraId="0AF3AD35">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物体打击</w:t>
            </w:r>
          </w:p>
        </w:tc>
        <w:tc>
          <w:tcPr>
            <w:tcW w:w="2003" w:type="pct"/>
            <w:tcBorders>
              <w:tl2br w:val="nil"/>
              <w:tr2bl w:val="nil"/>
            </w:tcBorders>
            <w:noWrap w:val="0"/>
            <w:vAlign w:val="center"/>
          </w:tcPr>
          <w:p w14:paraId="732D2932">
            <w:pPr>
              <w:keepNext w:val="0"/>
              <w:keepLines w:val="0"/>
              <w:pageBreakBefore w:val="0"/>
              <w:widowControl w:val="0"/>
              <w:kinsoku/>
              <w:wordWrap/>
              <w:overflowPunct/>
              <w:topLinePunct w:val="0"/>
              <w:autoSpaceDE/>
              <w:autoSpaceDN/>
              <w:bidi w:val="0"/>
              <w:spacing w:line="240" w:lineRule="auto"/>
              <w:ind w:left="0" w:leftChars="0" w:firstLine="0" w:firstLineChars="0"/>
              <w:jc w:val="both"/>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lang w:val="en-US" w:eastAsia="zh-CN"/>
              </w:rPr>
              <w:t>1.</w:t>
            </w:r>
            <w:r>
              <w:rPr>
                <w:rFonts w:hint="eastAsia" w:ascii="宋体" w:hAnsi="宋体" w:eastAsia="宋体" w:cs="宋体"/>
                <w:color w:val="000000"/>
                <w:sz w:val="21"/>
                <w:szCs w:val="21"/>
              </w:rPr>
              <w:t>坡面险浮石未清理干净，作业台阶无防滚石措施；</w:t>
            </w:r>
          </w:p>
          <w:p w14:paraId="3C31D9D9">
            <w:pPr>
              <w:keepNext w:val="0"/>
              <w:keepLines w:val="0"/>
              <w:pageBreakBefore w:val="0"/>
              <w:widowControl w:val="0"/>
              <w:kinsoku/>
              <w:wordWrap/>
              <w:overflowPunct/>
              <w:topLinePunct w:val="0"/>
              <w:autoSpaceDE/>
              <w:autoSpaceDN/>
              <w:bidi w:val="0"/>
              <w:spacing w:line="240" w:lineRule="auto"/>
              <w:ind w:left="0" w:leftChars="0" w:firstLine="0" w:firstLineChars="0"/>
              <w:jc w:val="both"/>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2.挖掘机作业时人站在</w:t>
            </w:r>
            <w:r>
              <w:rPr>
                <w:rFonts w:hint="eastAsia" w:ascii="宋体" w:hAnsi="宋体" w:eastAsia="宋体" w:cs="宋体"/>
                <w:color w:val="000000"/>
                <w:sz w:val="21"/>
                <w:szCs w:val="21"/>
                <w:lang w:val="en-US" w:eastAsia="zh-CN"/>
              </w:rPr>
              <w:t>矿</w:t>
            </w:r>
            <w:r>
              <w:rPr>
                <w:rFonts w:hint="eastAsia" w:ascii="宋体" w:hAnsi="宋体" w:eastAsia="宋体" w:cs="宋体"/>
                <w:color w:val="000000"/>
                <w:sz w:val="21"/>
                <w:szCs w:val="21"/>
              </w:rPr>
              <w:t>堆边，或站在机臂下；</w:t>
            </w:r>
          </w:p>
          <w:p w14:paraId="5C674B0A">
            <w:pPr>
              <w:keepNext w:val="0"/>
              <w:keepLines w:val="0"/>
              <w:pageBreakBefore w:val="0"/>
              <w:widowControl w:val="0"/>
              <w:kinsoku/>
              <w:wordWrap/>
              <w:overflowPunct/>
              <w:topLinePunct w:val="0"/>
              <w:autoSpaceDE/>
              <w:autoSpaceDN/>
              <w:bidi w:val="0"/>
              <w:spacing w:line="240" w:lineRule="auto"/>
              <w:ind w:left="0" w:leftChars="0" w:firstLine="0" w:firstLineChars="0"/>
              <w:jc w:val="both"/>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3.铲斗从车辆驾驶室上方通过；</w:t>
            </w:r>
          </w:p>
          <w:p w14:paraId="78A2E392">
            <w:pPr>
              <w:keepNext w:val="0"/>
              <w:keepLines w:val="0"/>
              <w:pageBreakBefore w:val="0"/>
              <w:widowControl w:val="0"/>
              <w:kinsoku/>
              <w:wordWrap/>
              <w:overflowPunct/>
              <w:topLinePunct w:val="0"/>
              <w:autoSpaceDE/>
              <w:autoSpaceDN/>
              <w:bidi w:val="0"/>
              <w:spacing w:line="240" w:lineRule="auto"/>
              <w:ind w:left="0" w:leftChars="0" w:firstLine="0" w:firstLineChars="0"/>
              <w:jc w:val="both"/>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4.挖掘机在运转中调整悬臂架的位置；</w:t>
            </w:r>
          </w:p>
          <w:p w14:paraId="73DF811F">
            <w:pPr>
              <w:keepNext w:val="0"/>
              <w:keepLines w:val="0"/>
              <w:pageBreakBefore w:val="0"/>
              <w:widowControl w:val="0"/>
              <w:kinsoku/>
              <w:wordWrap/>
              <w:overflowPunct/>
              <w:topLinePunct w:val="0"/>
              <w:autoSpaceDE/>
              <w:autoSpaceDN/>
              <w:bidi w:val="0"/>
              <w:spacing w:line="240" w:lineRule="auto"/>
              <w:ind w:left="0" w:leftChars="0" w:firstLine="0" w:firstLineChars="0"/>
              <w:jc w:val="both"/>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5.</w:t>
            </w:r>
            <w:r>
              <w:rPr>
                <w:rFonts w:hint="eastAsia" w:ascii="宋体" w:hAnsi="宋体" w:eastAsia="宋体" w:cs="宋体"/>
                <w:color w:val="000000"/>
                <w:sz w:val="21"/>
                <w:szCs w:val="21"/>
                <w:lang w:val="en-US" w:eastAsia="zh-CN"/>
              </w:rPr>
              <w:t>人员在带式输送机下方停留或作业时未佩戴或未规范佩戴安全帽</w:t>
            </w:r>
            <w:r>
              <w:rPr>
                <w:rFonts w:hint="eastAsia" w:ascii="宋体" w:hAnsi="宋体" w:eastAsia="宋体" w:cs="宋体"/>
                <w:color w:val="000000"/>
                <w:sz w:val="21"/>
                <w:szCs w:val="21"/>
              </w:rPr>
              <w:t>。</w:t>
            </w:r>
          </w:p>
        </w:tc>
        <w:tc>
          <w:tcPr>
            <w:tcW w:w="373" w:type="pct"/>
            <w:tcBorders>
              <w:tl2br w:val="nil"/>
              <w:tr2bl w:val="nil"/>
            </w:tcBorders>
            <w:noWrap w:val="0"/>
            <w:vAlign w:val="center"/>
          </w:tcPr>
          <w:p w14:paraId="0FA35E16">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人员</w:t>
            </w:r>
          </w:p>
          <w:p w14:paraId="582CF920">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伤亡</w:t>
            </w:r>
          </w:p>
        </w:tc>
        <w:tc>
          <w:tcPr>
            <w:tcW w:w="364" w:type="pct"/>
            <w:tcBorders>
              <w:tl2br w:val="nil"/>
              <w:tr2bl w:val="nil"/>
            </w:tcBorders>
            <w:noWrap w:val="0"/>
            <w:vAlign w:val="center"/>
          </w:tcPr>
          <w:p w14:paraId="28CE350D">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rPr>
              <w:t>Ⅲ</w:t>
            </w:r>
          </w:p>
        </w:tc>
        <w:tc>
          <w:tcPr>
            <w:tcW w:w="1651" w:type="pct"/>
            <w:tcBorders>
              <w:tl2br w:val="nil"/>
              <w:tr2bl w:val="nil"/>
            </w:tcBorders>
            <w:noWrap w:val="0"/>
            <w:vAlign w:val="center"/>
          </w:tcPr>
          <w:p w14:paraId="48A50080">
            <w:pPr>
              <w:keepNext w:val="0"/>
              <w:keepLines w:val="0"/>
              <w:pageBreakBefore w:val="0"/>
              <w:widowControl w:val="0"/>
              <w:kinsoku/>
              <w:wordWrap/>
              <w:overflowPunct/>
              <w:topLinePunct w:val="0"/>
              <w:autoSpaceDE/>
              <w:autoSpaceDN/>
              <w:bidi w:val="0"/>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1.铲装作业前，坡面险浮石应清理干净作业台阶应有有效的防滚石措施；</w:t>
            </w:r>
          </w:p>
          <w:p w14:paraId="134E9035">
            <w:pPr>
              <w:keepNext w:val="0"/>
              <w:keepLines w:val="0"/>
              <w:pageBreakBefore w:val="0"/>
              <w:widowControl w:val="0"/>
              <w:kinsoku/>
              <w:wordWrap/>
              <w:overflowPunct/>
              <w:topLinePunct w:val="0"/>
              <w:autoSpaceDE/>
              <w:autoSpaceDN/>
              <w:bidi w:val="0"/>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2.挖掘机作业时人严禁站在</w:t>
            </w:r>
            <w:r>
              <w:rPr>
                <w:rFonts w:hint="eastAsia" w:ascii="宋体" w:hAnsi="宋体" w:eastAsia="宋体" w:cs="宋体"/>
                <w:color w:val="000000"/>
                <w:sz w:val="21"/>
                <w:szCs w:val="21"/>
                <w:lang w:val="en-US" w:eastAsia="zh-CN"/>
              </w:rPr>
              <w:t>矿</w:t>
            </w:r>
            <w:r>
              <w:rPr>
                <w:rFonts w:hint="eastAsia" w:ascii="宋体" w:hAnsi="宋体" w:eastAsia="宋体" w:cs="宋体"/>
                <w:color w:val="000000"/>
                <w:sz w:val="21"/>
                <w:szCs w:val="21"/>
              </w:rPr>
              <w:t>堆边或站在机臂下；</w:t>
            </w:r>
          </w:p>
          <w:p w14:paraId="4DF157C7">
            <w:pPr>
              <w:keepNext w:val="0"/>
              <w:keepLines w:val="0"/>
              <w:pageBreakBefore w:val="0"/>
              <w:widowControl w:val="0"/>
              <w:kinsoku/>
              <w:wordWrap/>
              <w:overflowPunct/>
              <w:topLinePunct w:val="0"/>
              <w:autoSpaceDE/>
              <w:autoSpaceDN/>
              <w:bidi w:val="0"/>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3.铲斗严禁从车辆驾驶室上方通过；</w:t>
            </w:r>
          </w:p>
          <w:p w14:paraId="1CBE6195">
            <w:pPr>
              <w:keepNext w:val="0"/>
              <w:keepLines w:val="0"/>
              <w:pageBreakBefore w:val="0"/>
              <w:widowControl w:val="0"/>
              <w:kinsoku/>
              <w:wordWrap/>
              <w:overflowPunct/>
              <w:topLinePunct w:val="0"/>
              <w:autoSpaceDE/>
              <w:autoSpaceDN/>
              <w:bidi w:val="0"/>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4.挖掘机在运转中严禁调整悬臂架的位置。</w:t>
            </w:r>
          </w:p>
          <w:p w14:paraId="41228595">
            <w:pPr>
              <w:keepNext w:val="0"/>
              <w:keepLines w:val="0"/>
              <w:pageBreakBefore w:val="0"/>
              <w:widowControl w:val="0"/>
              <w:kinsoku/>
              <w:wordWrap/>
              <w:overflowPunct/>
              <w:topLinePunct w:val="0"/>
              <w:autoSpaceDE/>
              <w:autoSpaceDN/>
              <w:bidi w:val="0"/>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5.作业人员应正确佩戴安全帽等劳动保护用品。</w:t>
            </w:r>
          </w:p>
        </w:tc>
      </w:tr>
      <w:tr w14:paraId="6B7365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07" w:type="pct"/>
            <w:tcBorders>
              <w:tl2br w:val="nil"/>
              <w:tr2bl w:val="nil"/>
            </w:tcBorders>
            <w:noWrap w:val="0"/>
            <w:vAlign w:val="center"/>
          </w:tcPr>
          <w:p w14:paraId="32A073E2">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default" w:ascii="宋体" w:hAnsi="宋体" w:cs="宋体"/>
                <w:color w:val="000000"/>
                <w:sz w:val="21"/>
                <w:szCs w:val="21"/>
                <w:lang w:val="en-US" w:eastAsia="zh-CN"/>
              </w:rPr>
            </w:pPr>
            <w:r>
              <w:rPr>
                <w:rFonts w:hint="eastAsia" w:ascii="宋体" w:hAnsi="宋体" w:cs="宋体"/>
                <w:color w:val="000000"/>
                <w:sz w:val="21"/>
                <w:szCs w:val="21"/>
                <w:lang w:val="en-US" w:eastAsia="zh-CN"/>
              </w:rPr>
              <w:t>触电</w:t>
            </w:r>
          </w:p>
        </w:tc>
        <w:tc>
          <w:tcPr>
            <w:tcW w:w="2003" w:type="pct"/>
            <w:tcBorders>
              <w:tl2br w:val="nil"/>
              <w:tr2bl w:val="nil"/>
            </w:tcBorders>
            <w:noWrap w:val="0"/>
            <w:vAlign w:val="center"/>
          </w:tcPr>
          <w:p w14:paraId="019D3061">
            <w:pPr>
              <w:keepNext w:val="0"/>
              <w:keepLines w:val="0"/>
              <w:pageBreakBefore w:val="0"/>
              <w:widowControl w:val="0"/>
              <w:kinsoku/>
              <w:wordWrap/>
              <w:overflowPunct/>
              <w:topLinePunct w:val="0"/>
              <w:autoSpaceDE/>
              <w:autoSpaceDN/>
              <w:bidi w:val="0"/>
              <w:spacing w:line="240" w:lineRule="auto"/>
              <w:ind w:left="0" w:leftChars="0" w:firstLine="0" w:firstLineChars="0"/>
              <w:jc w:val="both"/>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lang w:val="en-US" w:eastAsia="zh-CN"/>
              </w:rPr>
              <w:t>1.</w:t>
            </w:r>
            <w:r>
              <w:rPr>
                <w:rFonts w:hint="eastAsia" w:ascii="宋体" w:hAnsi="宋体" w:eastAsia="宋体" w:cs="宋体"/>
                <w:color w:val="000000"/>
                <w:sz w:val="21"/>
                <w:szCs w:val="21"/>
              </w:rPr>
              <w:t>违章作业；</w:t>
            </w:r>
          </w:p>
          <w:p w14:paraId="78044542">
            <w:pPr>
              <w:keepNext w:val="0"/>
              <w:keepLines w:val="0"/>
              <w:pageBreakBefore w:val="0"/>
              <w:widowControl w:val="0"/>
              <w:kinsoku/>
              <w:wordWrap/>
              <w:overflowPunct/>
              <w:topLinePunct w:val="0"/>
              <w:autoSpaceDE/>
              <w:autoSpaceDN/>
              <w:bidi w:val="0"/>
              <w:spacing w:line="240" w:lineRule="auto"/>
              <w:ind w:left="0" w:leftChars="0" w:firstLine="0" w:firstLineChars="0"/>
              <w:jc w:val="both"/>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lang w:val="en-US" w:eastAsia="zh-CN"/>
              </w:rPr>
              <w:t>2.</w:t>
            </w:r>
            <w:r>
              <w:rPr>
                <w:rFonts w:hint="eastAsia" w:ascii="宋体" w:hAnsi="宋体" w:eastAsia="宋体" w:cs="宋体"/>
                <w:color w:val="000000"/>
                <w:sz w:val="21"/>
                <w:szCs w:val="21"/>
              </w:rPr>
              <w:t>保护设施不到位。</w:t>
            </w:r>
          </w:p>
        </w:tc>
        <w:tc>
          <w:tcPr>
            <w:tcW w:w="373" w:type="pct"/>
            <w:tcBorders>
              <w:tl2br w:val="nil"/>
              <w:tr2bl w:val="nil"/>
            </w:tcBorders>
            <w:noWrap w:val="0"/>
            <w:vAlign w:val="center"/>
          </w:tcPr>
          <w:p w14:paraId="67D78039">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人员</w:t>
            </w:r>
          </w:p>
          <w:p w14:paraId="02A497E8">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伤亡</w:t>
            </w:r>
          </w:p>
        </w:tc>
        <w:tc>
          <w:tcPr>
            <w:tcW w:w="364" w:type="pct"/>
            <w:tcBorders>
              <w:tl2br w:val="nil"/>
              <w:tr2bl w:val="nil"/>
            </w:tcBorders>
            <w:noWrap w:val="0"/>
            <w:vAlign w:val="center"/>
          </w:tcPr>
          <w:p w14:paraId="162BD726">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微软雅黑" w:hAnsi="微软雅黑" w:eastAsia="微软雅黑" w:cs="微软雅黑"/>
                <w:color w:val="000000"/>
                <w:kern w:val="2"/>
                <w:sz w:val="21"/>
                <w:szCs w:val="21"/>
                <w:lang w:val="en-US" w:eastAsia="zh-CN" w:bidi="ar-SA"/>
              </w:rPr>
            </w:pPr>
            <w:r>
              <w:rPr>
                <w:rFonts w:hint="eastAsia" w:ascii="微软雅黑" w:hAnsi="微软雅黑" w:eastAsia="微软雅黑" w:cs="微软雅黑"/>
                <w:color w:val="000000"/>
                <w:sz w:val="21"/>
                <w:szCs w:val="21"/>
              </w:rPr>
              <w:t>Ⅲ</w:t>
            </w:r>
          </w:p>
        </w:tc>
        <w:tc>
          <w:tcPr>
            <w:tcW w:w="1651" w:type="pct"/>
            <w:tcBorders>
              <w:tl2br w:val="nil"/>
              <w:tr2bl w:val="nil"/>
            </w:tcBorders>
            <w:noWrap w:val="0"/>
            <w:vAlign w:val="center"/>
          </w:tcPr>
          <w:p w14:paraId="28405820">
            <w:pPr>
              <w:keepNext w:val="0"/>
              <w:keepLines w:val="0"/>
              <w:pageBreakBefore w:val="0"/>
              <w:widowControl w:val="0"/>
              <w:kinsoku/>
              <w:wordWrap/>
              <w:overflowPunct/>
              <w:topLinePunct w:val="0"/>
              <w:autoSpaceDE/>
              <w:autoSpaceDN/>
              <w:bidi w:val="0"/>
              <w:spacing w:line="240" w:lineRule="auto"/>
              <w:ind w:left="0" w:leftChars="0" w:firstLine="0" w:firstLineChars="0"/>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1.</w:t>
            </w:r>
            <w:r>
              <w:rPr>
                <w:rFonts w:hint="eastAsia" w:ascii="宋体" w:hAnsi="宋体" w:eastAsia="宋体" w:cs="宋体"/>
                <w:color w:val="000000"/>
                <w:sz w:val="21"/>
                <w:szCs w:val="21"/>
              </w:rPr>
              <w:t>严格执行操作规程</w:t>
            </w:r>
            <w:r>
              <w:rPr>
                <w:rFonts w:hint="eastAsia" w:ascii="宋体" w:hAnsi="宋体" w:eastAsia="宋体" w:cs="宋体"/>
                <w:color w:val="000000"/>
                <w:sz w:val="21"/>
                <w:szCs w:val="21"/>
                <w:lang w:eastAsia="zh-CN"/>
              </w:rPr>
              <w:t>；</w:t>
            </w:r>
          </w:p>
          <w:p w14:paraId="3E5D9F18">
            <w:pPr>
              <w:keepNext w:val="0"/>
              <w:keepLines w:val="0"/>
              <w:pageBreakBefore w:val="0"/>
              <w:widowControl w:val="0"/>
              <w:kinsoku/>
              <w:wordWrap/>
              <w:overflowPunct/>
              <w:topLinePunct w:val="0"/>
              <w:autoSpaceDE/>
              <w:autoSpaceDN/>
              <w:bidi w:val="0"/>
              <w:spacing w:line="240" w:lineRule="auto"/>
              <w:ind w:left="0" w:leftChars="0" w:firstLine="0" w:firstLineChars="0"/>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w:t>
            </w:r>
            <w:r>
              <w:rPr>
                <w:rFonts w:hint="eastAsia" w:ascii="宋体" w:hAnsi="宋体" w:eastAsia="宋体" w:cs="宋体"/>
                <w:color w:val="000000"/>
                <w:sz w:val="21"/>
                <w:szCs w:val="21"/>
              </w:rPr>
              <w:t>规范线路架设；加强个人防护措施</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rPr>
              <w:t>电气设备采用保护接地</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rPr>
              <w:t>设置漏电、触电、过电流保护装置</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rPr>
              <w:t>变压器周围设围栏</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rPr>
              <w:t>配电室铺设供工作人员检查的绝缘</w:t>
            </w:r>
            <w:r>
              <w:rPr>
                <w:rFonts w:hint="eastAsia" w:ascii="宋体" w:hAnsi="宋体" w:eastAsia="宋体" w:cs="宋体"/>
                <w:color w:val="000000"/>
                <w:sz w:val="21"/>
                <w:szCs w:val="21"/>
                <w:lang w:val="en-US" w:eastAsia="zh-CN"/>
              </w:rPr>
              <w:t>胶垫</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rPr>
              <w:t>在断电的线路上作业时，该线路的电源开关把手必须悬挂警示牌，只有执行这项工作的人员才有权取下</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rPr>
              <w:t>电气设备可能被人所触及的裸露带电部分，设置</w:t>
            </w:r>
            <w:r>
              <w:rPr>
                <w:rFonts w:hint="eastAsia" w:ascii="宋体" w:hAnsi="宋体" w:cs="宋体"/>
                <w:color w:val="000000"/>
                <w:sz w:val="21"/>
                <w:szCs w:val="21"/>
                <w:lang w:eastAsia="zh-CN"/>
              </w:rPr>
              <w:t>警示标志</w:t>
            </w:r>
            <w:r>
              <w:rPr>
                <w:rFonts w:hint="eastAsia" w:ascii="宋体" w:hAnsi="宋体" w:eastAsia="宋体" w:cs="宋体"/>
                <w:color w:val="000000"/>
                <w:sz w:val="21"/>
                <w:szCs w:val="21"/>
              </w:rPr>
              <w:t>。</w:t>
            </w:r>
          </w:p>
        </w:tc>
      </w:tr>
      <w:tr w14:paraId="0FC552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07" w:type="pct"/>
            <w:tcBorders>
              <w:tl2br w:val="nil"/>
              <w:tr2bl w:val="nil"/>
            </w:tcBorders>
            <w:noWrap w:val="0"/>
            <w:vAlign w:val="center"/>
          </w:tcPr>
          <w:p w14:paraId="35622E4F">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机械设备火灾</w:t>
            </w:r>
          </w:p>
        </w:tc>
        <w:tc>
          <w:tcPr>
            <w:tcW w:w="2003" w:type="pct"/>
            <w:tcBorders>
              <w:tl2br w:val="nil"/>
              <w:tr2bl w:val="nil"/>
            </w:tcBorders>
            <w:noWrap w:val="0"/>
            <w:vAlign w:val="center"/>
          </w:tcPr>
          <w:p w14:paraId="762A6AA7">
            <w:pPr>
              <w:keepNext w:val="0"/>
              <w:keepLines w:val="0"/>
              <w:pageBreakBefore w:val="0"/>
              <w:widowControl w:val="0"/>
              <w:kinsoku/>
              <w:wordWrap/>
              <w:overflowPunct/>
              <w:topLinePunct w:val="0"/>
              <w:autoSpaceDE/>
              <w:autoSpaceDN/>
              <w:bidi w:val="0"/>
              <w:spacing w:line="240" w:lineRule="auto"/>
              <w:ind w:left="0" w:leftChars="0" w:firstLine="0" w:firstLineChars="0"/>
              <w:jc w:val="both"/>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1.挖掘机、装载机和运输车辆等工程机械工作场所工况复杂，工作负荷大，若维护保养不到位，可能因设备漏油、电气短路等原因造成设备起火，若扑救不及时，可能会烧毁整台设备；</w:t>
            </w:r>
          </w:p>
          <w:p w14:paraId="008FA6F1">
            <w:pPr>
              <w:keepNext w:val="0"/>
              <w:keepLines w:val="0"/>
              <w:pageBreakBefore w:val="0"/>
              <w:widowControl w:val="0"/>
              <w:kinsoku/>
              <w:wordWrap/>
              <w:overflowPunct/>
              <w:topLinePunct w:val="0"/>
              <w:autoSpaceDE/>
              <w:autoSpaceDN/>
              <w:bidi w:val="0"/>
              <w:spacing w:line="240" w:lineRule="auto"/>
              <w:ind w:left="0" w:leftChars="0" w:firstLine="0" w:firstLineChars="0"/>
              <w:jc w:val="both"/>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2.在对工程机械设备进行维修时进行电焊等动火作业，若未采取防范措施，亦可能会造成设备起火事故。</w:t>
            </w:r>
          </w:p>
        </w:tc>
        <w:tc>
          <w:tcPr>
            <w:tcW w:w="373" w:type="pct"/>
            <w:tcBorders>
              <w:tl2br w:val="nil"/>
              <w:tr2bl w:val="nil"/>
            </w:tcBorders>
            <w:noWrap w:val="0"/>
            <w:vAlign w:val="center"/>
          </w:tcPr>
          <w:p w14:paraId="16FD2D11">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车辆</w:t>
            </w:r>
          </w:p>
          <w:p w14:paraId="476294C3">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损坏</w:t>
            </w:r>
          </w:p>
        </w:tc>
        <w:tc>
          <w:tcPr>
            <w:tcW w:w="364" w:type="pct"/>
            <w:tcBorders>
              <w:tl2br w:val="nil"/>
              <w:tr2bl w:val="nil"/>
            </w:tcBorders>
            <w:noWrap w:val="0"/>
            <w:vAlign w:val="center"/>
          </w:tcPr>
          <w:p w14:paraId="2F131E37">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微软雅黑" w:hAnsi="微软雅黑" w:eastAsia="微软雅黑" w:cs="微软雅黑"/>
                <w:color w:val="000000"/>
                <w:sz w:val="21"/>
                <w:szCs w:val="21"/>
              </w:rPr>
              <w:t>Ⅱ</w:t>
            </w:r>
          </w:p>
        </w:tc>
        <w:tc>
          <w:tcPr>
            <w:tcW w:w="1651" w:type="pct"/>
            <w:tcBorders>
              <w:tl2br w:val="nil"/>
              <w:tr2bl w:val="nil"/>
            </w:tcBorders>
            <w:noWrap w:val="0"/>
            <w:vAlign w:val="center"/>
          </w:tcPr>
          <w:p w14:paraId="451080CD">
            <w:pPr>
              <w:keepNext w:val="0"/>
              <w:keepLines w:val="0"/>
              <w:pageBreakBefore w:val="0"/>
              <w:widowControl w:val="0"/>
              <w:kinsoku/>
              <w:wordWrap/>
              <w:overflowPunct/>
              <w:topLinePunct w:val="0"/>
              <w:autoSpaceDE/>
              <w:autoSpaceDN/>
              <w:bidi w:val="0"/>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1.运输车辆等应定期维护保养。</w:t>
            </w:r>
          </w:p>
          <w:p w14:paraId="087DFC2A">
            <w:pPr>
              <w:keepNext w:val="0"/>
              <w:keepLines w:val="0"/>
              <w:pageBreakBefore w:val="0"/>
              <w:widowControl w:val="0"/>
              <w:kinsoku/>
              <w:wordWrap/>
              <w:overflowPunct/>
              <w:topLinePunct w:val="0"/>
              <w:autoSpaceDE/>
              <w:autoSpaceDN/>
              <w:bidi w:val="0"/>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2.运输车辆禁止超载运输。</w:t>
            </w:r>
          </w:p>
          <w:p w14:paraId="13F4B1D5">
            <w:pPr>
              <w:keepNext w:val="0"/>
              <w:keepLines w:val="0"/>
              <w:pageBreakBefore w:val="0"/>
              <w:widowControl w:val="0"/>
              <w:kinsoku/>
              <w:wordWrap/>
              <w:overflowPunct/>
              <w:topLinePunct w:val="0"/>
              <w:autoSpaceDE/>
              <w:autoSpaceDN/>
              <w:bidi w:val="0"/>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3.动火作业时，气瓶应按规范摆放，现场配置灭火器。</w:t>
            </w:r>
          </w:p>
          <w:p w14:paraId="70A3CB76">
            <w:pPr>
              <w:keepNext w:val="0"/>
              <w:keepLines w:val="0"/>
              <w:pageBreakBefore w:val="0"/>
              <w:widowControl w:val="0"/>
              <w:kinsoku/>
              <w:wordWrap/>
              <w:overflowPunct/>
              <w:topLinePunct w:val="0"/>
              <w:autoSpaceDE/>
              <w:autoSpaceDN/>
              <w:bidi w:val="0"/>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4.加强人员安全教育。</w:t>
            </w:r>
          </w:p>
          <w:p w14:paraId="6F51718A">
            <w:pPr>
              <w:keepNext w:val="0"/>
              <w:keepLines w:val="0"/>
              <w:pageBreakBefore w:val="0"/>
              <w:widowControl w:val="0"/>
              <w:kinsoku/>
              <w:wordWrap/>
              <w:overflowPunct/>
              <w:topLinePunct w:val="0"/>
              <w:autoSpaceDE/>
              <w:autoSpaceDN/>
              <w:bidi w:val="0"/>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5.作业人员应佩戴电焊面罩等防护用品。</w:t>
            </w:r>
          </w:p>
        </w:tc>
      </w:tr>
    </w:tbl>
    <w:p w14:paraId="4F398949">
      <w:pPr>
        <w:pStyle w:val="14"/>
        <w:bidi w:val="0"/>
        <w:rPr>
          <w:rFonts w:hint="default" w:ascii="Times New Roman" w:hAnsi="Times New Roman" w:eastAsia="宋体" w:cs="Times New Roman"/>
          <w:color w:val="auto"/>
          <w:kern w:val="2"/>
          <w:sz w:val="28"/>
          <w:szCs w:val="24"/>
          <w:lang w:val="en-US" w:eastAsia="zh-CN" w:bidi="ar-SA"/>
        </w:rPr>
      </w:pPr>
      <w:r>
        <w:rPr>
          <w:rFonts w:hint="eastAsia" w:ascii="Times New Roman" w:hAnsi="Times New Roman" w:cs="Times New Roman"/>
          <w:color w:val="auto"/>
        </w:rPr>
        <w:t>通过对开拓运输单元的预先危险性分析可知，开拓运输单元危险等级为Ⅲ级</w:t>
      </w:r>
      <w:r>
        <w:rPr>
          <w:rFonts w:hint="eastAsia" w:ascii="Times New Roman" w:hAnsi="Times New Roman" w:cs="Times New Roman"/>
          <w:color w:val="auto"/>
          <w:lang w:val="en-US" w:eastAsia="zh-CN"/>
        </w:rPr>
        <w:t>的</w:t>
      </w:r>
      <w:r>
        <w:rPr>
          <w:rFonts w:hint="eastAsia" w:ascii="Times New Roman" w:hAnsi="Times New Roman" w:cs="Times New Roman"/>
          <w:color w:val="auto"/>
        </w:rPr>
        <w:t>危险有害因素有物体打击</w:t>
      </w:r>
      <w:r>
        <w:rPr>
          <w:rFonts w:hint="eastAsia" w:ascii="Times New Roman" w:hAnsi="Times New Roman" w:cs="Times New Roman"/>
          <w:color w:val="auto"/>
          <w:lang w:eastAsia="zh-CN"/>
        </w:rPr>
        <w:t>、</w:t>
      </w:r>
      <w:r>
        <w:rPr>
          <w:rFonts w:hint="eastAsia" w:ascii="Times New Roman" w:hAnsi="Times New Roman" w:cs="Times New Roman"/>
          <w:color w:val="auto"/>
        </w:rPr>
        <w:t>车辆伤害、</w:t>
      </w:r>
      <w:r>
        <w:rPr>
          <w:rFonts w:hint="eastAsia" w:cs="Times New Roman"/>
          <w:color w:val="auto"/>
          <w:lang w:val="en-US" w:eastAsia="zh-CN"/>
        </w:rPr>
        <w:t>触电、</w:t>
      </w:r>
      <w:r>
        <w:rPr>
          <w:rFonts w:hint="eastAsia" w:ascii="Times New Roman" w:hAnsi="Times New Roman" w:cs="Times New Roman"/>
          <w:color w:val="auto"/>
        </w:rPr>
        <w:t>高处坠落，危险等级为Ⅱ级</w:t>
      </w:r>
      <w:r>
        <w:rPr>
          <w:rFonts w:hint="eastAsia" w:ascii="Times New Roman" w:hAnsi="Times New Roman" w:cs="Times New Roman"/>
          <w:color w:val="auto"/>
          <w:lang w:val="en-US" w:eastAsia="zh-CN"/>
        </w:rPr>
        <w:t>的</w:t>
      </w:r>
      <w:r>
        <w:rPr>
          <w:rFonts w:hint="eastAsia" w:ascii="Times New Roman" w:hAnsi="Times New Roman" w:cs="Times New Roman"/>
          <w:color w:val="auto"/>
        </w:rPr>
        <w:t>危险有害因素有机械设备火灾</w:t>
      </w:r>
      <w:r>
        <w:rPr>
          <w:rFonts w:hint="eastAsia" w:ascii="Times New Roman" w:hAnsi="Times New Roman" w:cs="Times New Roman"/>
          <w:color w:val="auto"/>
          <w:lang w:eastAsia="zh-CN"/>
        </w:rPr>
        <w:t>。</w:t>
      </w:r>
      <w:r>
        <w:rPr>
          <w:rFonts w:hint="eastAsia" w:ascii="Times New Roman" w:hAnsi="Times New Roman" w:cs="Times New Roman"/>
          <w:color w:val="auto"/>
        </w:rPr>
        <w:t>矿山应</w:t>
      </w:r>
      <w:r>
        <w:rPr>
          <w:rFonts w:hint="eastAsia"/>
          <w:color w:val="auto"/>
        </w:rPr>
        <w:t>当</w:t>
      </w:r>
      <w:r>
        <w:rPr>
          <w:rFonts w:hint="eastAsia" w:ascii="宋体" w:hAnsi="宋体" w:eastAsia="宋体" w:cs="宋体"/>
        </w:rPr>
        <w:t>严格</w:t>
      </w:r>
      <w:r>
        <w:rPr>
          <w:rFonts w:hint="eastAsia" w:ascii="宋体" w:hAnsi="宋体" w:eastAsia="宋体" w:cs="宋体"/>
          <w:lang w:val="en-US" w:eastAsia="zh-CN"/>
        </w:rPr>
        <w:t>按设计的</w:t>
      </w:r>
      <w:r>
        <w:rPr>
          <w:rFonts w:hint="eastAsia" w:ascii="宋体" w:hAnsi="宋体" w:eastAsia="宋体" w:cs="宋体"/>
        </w:rPr>
        <w:t>开拓方式施工</w:t>
      </w:r>
      <w:r>
        <w:rPr>
          <w:rFonts w:hint="eastAsia" w:ascii="宋体" w:hAnsi="宋体" w:eastAsia="宋体" w:cs="宋体"/>
          <w:lang w:eastAsia="zh-CN"/>
        </w:rPr>
        <w:t>；</w:t>
      </w:r>
      <w:r>
        <w:rPr>
          <w:rFonts w:hint="eastAsia" w:ascii="宋体" w:hAnsi="宋体" w:eastAsia="宋体" w:cs="宋体"/>
          <w:lang w:val="en-US" w:eastAsia="zh-CN"/>
        </w:rPr>
        <w:t>同时</w:t>
      </w:r>
      <w:r>
        <w:rPr>
          <w:rFonts w:hint="eastAsia"/>
          <w:color w:val="auto"/>
        </w:rPr>
        <w:t>加强铲装运输作业及运输道路、作业平台及边坡的管理，确保作业平台的宽度符合要求，运输道路的路面宽度、转弯半径应符合设计要求，并</w:t>
      </w:r>
      <w:r>
        <w:rPr>
          <w:rFonts w:hint="eastAsia" w:ascii="Times New Roman" w:hAnsi="Times New Roman" w:eastAsia="宋体" w:cs="Times New Roman"/>
          <w:color w:val="auto"/>
          <w:kern w:val="2"/>
          <w:sz w:val="28"/>
          <w:szCs w:val="24"/>
          <w:lang w:val="en-US" w:eastAsia="zh-CN" w:bidi="ar-SA"/>
        </w:rPr>
        <w:t>经常检查铲装运输设备，确保设备正常运行，不得使用带病运行的设备。</w:t>
      </w:r>
      <w:r>
        <w:rPr>
          <w:rFonts w:hint="eastAsia" w:ascii="宋体" w:hAnsi="宋体" w:eastAsia="宋体" w:cs="宋体"/>
          <w:color w:val="auto"/>
          <w:sz w:val="28"/>
          <w:lang w:eastAsia="zh-CN"/>
        </w:rPr>
        <w:t>在开拓运输道路急弯、陡坡和道路交叉处</w:t>
      </w:r>
      <w:r>
        <w:rPr>
          <w:rFonts w:hint="eastAsia" w:ascii="宋体" w:hAnsi="宋体" w:eastAsia="宋体" w:cs="宋体"/>
          <w:color w:val="auto"/>
          <w:sz w:val="28"/>
          <w:lang w:val="en-US" w:eastAsia="zh-CN"/>
        </w:rPr>
        <w:t>还应</w:t>
      </w:r>
      <w:r>
        <w:rPr>
          <w:rFonts w:hint="eastAsia" w:ascii="宋体" w:hAnsi="宋体" w:eastAsia="宋体" w:cs="宋体"/>
          <w:color w:val="auto"/>
          <w:sz w:val="28"/>
          <w:lang w:eastAsia="zh-CN"/>
        </w:rPr>
        <w:t>设置</w:t>
      </w:r>
      <w:r>
        <w:rPr>
          <w:rFonts w:hint="eastAsia" w:ascii="宋体" w:hAnsi="宋体" w:cs="宋体"/>
          <w:color w:val="auto"/>
          <w:sz w:val="28"/>
          <w:lang w:eastAsia="zh-CN"/>
        </w:rPr>
        <w:t>“</w:t>
      </w:r>
      <w:r>
        <w:rPr>
          <w:rFonts w:hint="eastAsia" w:ascii="宋体" w:hAnsi="宋体" w:cs="宋体"/>
          <w:color w:val="auto"/>
          <w:sz w:val="28"/>
          <w:lang w:val="en-US" w:eastAsia="zh-CN"/>
        </w:rPr>
        <w:t>急弯</w:t>
      </w:r>
      <w:r>
        <w:rPr>
          <w:rFonts w:hint="eastAsia" w:ascii="宋体" w:hAnsi="宋体" w:cs="宋体"/>
          <w:color w:val="auto"/>
          <w:sz w:val="28"/>
          <w:lang w:eastAsia="zh-CN"/>
        </w:rPr>
        <w:t>”</w:t>
      </w:r>
      <w:r>
        <w:rPr>
          <w:rFonts w:hint="eastAsia" w:ascii="宋体" w:hAnsi="宋体" w:eastAsia="宋体" w:cs="宋体"/>
          <w:color w:val="auto"/>
          <w:sz w:val="28"/>
          <w:lang w:eastAsia="zh-CN"/>
        </w:rPr>
        <w:t>“减速慢行”安全警示标志。</w:t>
      </w:r>
    </w:p>
    <w:p w14:paraId="0E8B7A94">
      <w:pPr>
        <w:pStyle w:val="4"/>
        <w:bidi w:val="0"/>
      </w:pPr>
      <w:bookmarkStart w:id="182" w:name="_Toc14166"/>
      <w:r>
        <w:rPr>
          <w:rFonts w:hint="eastAsia"/>
        </w:rPr>
        <w:t>安全检查表分析评价</w:t>
      </w:r>
      <w:bookmarkEnd w:id="182"/>
    </w:p>
    <w:p w14:paraId="249FF600">
      <w:pPr>
        <w:bidi w:val="0"/>
        <w:rPr>
          <w:rFonts w:hint="eastAsia"/>
          <w:lang w:val="en-US" w:eastAsia="zh-CN"/>
        </w:rPr>
      </w:pPr>
      <w:r>
        <w:rPr>
          <w:rFonts w:hint="eastAsia"/>
          <w:lang w:val="en-US" w:eastAsia="zh-CN"/>
        </w:rPr>
        <w:t>根据《金属非金属矿山安全规程》（GB16423-2020）、《厂矿道路设计规范》（GBJ22-87）中的相关内容对初步设计的开拓运输系统进行符合性检查。</w:t>
      </w:r>
    </w:p>
    <w:p w14:paraId="1B5993D2">
      <w:pPr>
        <w:pStyle w:val="11"/>
        <w:ind w:left="0" w:leftChars="0" w:firstLine="0" w:firstLineChars="0"/>
        <w:jc w:val="center"/>
        <w:rPr>
          <w:rFonts w:hint="eastAsia" w:eastAsia="宋体"/>
          <w:lang w:eastAsia="zh-CN"/>
        </w:rPr>
      </w:pPr>
      <w:r>
        <w:t xml:space="preserve">表 </w:t>
      </w:r>
      <w:r>
        <w:fldChar w:fldCharType="begin"/>
      </w:r>
      <w:r>
        <w:instrText xml:space="preserve"> STYLEREF 1 \s </w:instrText>
      </w:r>
      <w:r>
        <w:fldChar w:fldCharType="separate"/>
      </w:r>
      <w:r>
        <w:t>3</w:t>
      </w:r>
      <w:r>
        <w:fldChar w:fldCharType="end"/>
      </w:r>
      <w:r>
        <w:rPr>
          <w:rFonts w:hint="eastAsia"/>
          <w:lang w:eastAsia="zh-CN"/>
        </w:rPr>
        <w:t>-</w:t>
      </w:r>
      <w:r>
        <w:fldChar w:fldCharType="begin"/>
      </w:r>
      <w:r>
        <w:instrText xml:space="preserve"> SEQ 表 \* ARABIC \s 1 </w:instrText>
      </w:r>
      <w:r>
        <w:fldChar w:fldCharType="separate"/>
      </w:r>
      <w:r>
        <w:t>12</w:t>
      </w:r>
      <w:r>
        <w:fldChar w:fldCharType="end"/>
      </w:r>
      <w:r>
        <w:rPr>
          <w:rFonts w:hint="eastAsia"/>
          <w:lang w:eastAsia="zh-CN"/>
        </w:rPr>
        <w:t xml:space="preserve"> 开拓运输系统安全检查表</w:t>
      </w:r>
    </w:p>
    <w:tbl>
      <w:tblPr>
        <w:tblStyle w:val="29"/>
        <w:tblW w:w="4961"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36"/>
        <w:gridCol w:w="4028"/>
        <w:gridCol w:w="1817"/>
        <w:gridCol w:w="1571"/>
        <w:gridCol w:w="1195"/>
      </w:tblGrid>
      <w:tr w14:paraId="79504F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41" w:type="pct"/>
            <w:tcBorders>
              <w:tl2br w:val="nil"/>
              <w:tr2bl w:val="nil"/>
            </w:tcBorders>
            <w:noWrap w:val="0"/>
            <w:vAlign w:val="center"/>
          </w:tcPr>
          <w:p w14:paraId="6015A13D">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序号</w:t>
            </w:r>
          </w:p>
        </w:tc>
        <w:tc>
          <w:tcPr>
            <w:tcW w:w="2225" w:type="pct"/>
            <w:tcBorders>
              <w:tl2br w:val="nil"/>
              <w:tr2bl w:val="nil"/>
            </w:tcBorders>
            <w:noWrap w:val="0"/>
            <w:vAlign w:val="center"/>
          </w:tcPr>
          <w:p w14:paraId="4D9CEE53">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检查项目</w:t>
            </w:r>
          </w:p>
        </w:tc>
        <w:tc>
          <w:tcPr>
            <w:tcW w:w="1004" w:type="pct"/>
            <w:tcBorders>
              <w:tl2br w:val="nil"/>
              <w:tr2bl w:val="nil"/>
            </w:tcBorders>
            <w:noWrap w:val="0"/>
            <w:vAlign w:val="center"/>
          </w:tcPr>
          <w:p w14:paraId="75440E2D">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检查依据</w:t>
            </w:r>
          </w:p>
        </w:tc>
        <w:tc>
          <w:tcPr>
            <w:tcW w:w="868" w:type="pct"/>
            <w:tcBorders>
              <w:tl2br w:val="nil"/>
              <w:tr2bl w:val="nil"/>
            </w:tcBorders>
            <w:noWrap w:val="0"/>
            <w:vAlign w:val="center"/>
          </w:tcPr>
          <w:p w14:paraId="539D0956">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spacing w:val="4"/>
                <w:kern w:val="10"/>
                <w:position w:val="2"/>
                <w:sz w:val="21"/>
                <w:szCs w:val="21"/>
              </w:rPr>
            </w:pPr>
            <w:r>
              <w:rPr>
                <w:rFonts w:hint="eastAsia" w:ascii="宋体" w:hAnsi="宋体" w:eastAsia="宋体" w:cs="宋体"/>
                <w:b/>
                <w:spacing w:val="4"/>
                <w:kern w:val="10"/>
                <w:position w:val="2"/>
                <w:sz w:val="21"/>
                <w:szCs w:val="21"/>
              </w:rPr>
              <w:t>设计检查情况</w:t>
            </w:r>
          </w:p>
        </w:tc>
        <w:tc>
          <w:tcPr>
            <w:tcW w:w="660" w:type="pct"/>
            <w:tcBorders>
              <w:tl2br w:val="nil"/>
              <w:tr2bl w:val="nil"/>
            </w:tcBorders>
            <w:noWrap w:val="0"/>
            <w:vAlign w:val="center"/>
          </w:tcPr>
          <w:p w14:paraId="281D490B">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检查结果</w:t>
            </w:r>
          </w:p>
        </w:tc>
      </w:tr>
      <w:tr w14:paraId="7110B8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1" w:type="pct"/>
            <w:tcBorders>
              <w:tl2br w:val="nil"/>
              <w:tr2bl w:val="nil"/>
            </w:tcBorders>
            <w:noWrap w:val="0"/>
            <w:vAlign w:val="center"/>
          </w:tcPr>
          <w:p w14:paraId="5EA8E59F">
            <w:pPr>
              <w:keepNext w:val="0"/>
              <w:keepLines w:val="0"/>
              <w:pageBreakBefore w:val="0"/>
              <w:widowControl w:val="0"/>
              <w:numPr>
                <w:ilvl w:val="0"/>
                <w:numId w:val="51"/>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2225" w:type="pct"/>
            <w:tcBorders>
              <w:tl2br w:val="nil"/>
              <w:tr2bl w:val="nil"/>
            </w:tcBorders>
            <w:noWrap w:val="0"/>
            <w:vAlign w:val="center"/>
          </w:tcPr>
          <w:p w14:paraId="0AD65D9A">
            <w:pPr>
              <w:pStyle w:val="53"/>
              <w:keepNext w:val="0"/>
              <w:keepLines w:val="0"/>
              <w:widowControl w:val="0"/>
              <w:shd w:val="clear" w:color="auto" w:fill="auto"/>
              <w:bidi w:val="0"/>
              <w:spacing w:before="0" w:after="0" w:line="240" w:lineRule="auto"/>
              <w:ind w:left="0" w:leftChars="0" w:right="0" w:firstLine="0" w:firstLineChars="0"/>
              <w:jc w:val="both"/>
              <w:rPr>
                <w:rFonts w:hint="eastAsia" w:ascii="宋体" w:hAnsi="宋体" w:eastAsia="宋体" w:cs="宋体"/>
                <w:color w:val="000000"/>
                <w:spacing w:val="0"/>
                <w:w w:val="100"/>
                <w:position w:val="0"/>
                <w:sz w:val="21"/>
                <w:szCs w:val="21"/>
              </w:rPr>
            </w:pPr>
            <w:r>
              <w:rPr>
                <w:rFonts w:hint="eastAsia" w:cs="宋体"/>
                <w:color w:val="000000"/>
                <w:spacing w:val="0"/>
                <w:w w:val="100"/>
                <w:position w:val="0"/>
                <w:sz w:val="21"/>
                <w:szCs w:val="21"/>
                <w:lang w:eastAsia="zh-CN"/>
              </w:rPr>
              <w:t>矿用自卸汽车</w:t>
            </w:r>
            <w:r>
              <w:rPr>
                <w:rFonts w:hint="eastAsia" w:ascii="宋体" w:hAnsi="宋体" w:eastAsia="宋体" w:cs="宋体"/>
                <w:color w:val="000000"/>
                <w:spacing w:val="0"/>
                <w:w w:val="100"/>
                <w:position w:val="0"/>
                <w:sz w:val="21"/>
                <w:szCs w:val="21"/>
              </w:rPr>
              <w:t>装载应遵守如下规定：</w:t>
            </w:r>
          </w:p>
          <w:p w14:paraId="14D24227">
            <w:pPr>
              <w:pStyle w:val="53"/>
              <w:keepNext w:val="0"/>
              <w:keepLines w:val="0"/>
              <w:widowControl w:val="0"/>
              <w:shd w:val="clear" w:color="auto" w:fill="auto"/>
              <w:bidi w:val="0"/>
              <w:spacing w:before="0" w:after="0" w:line="240" w:lineRule="auto"/>
              <w:ind w:left="0" w:leftChars="0" w:right="0" w:firstLine="0" w:firstLineChars="0"/>
              <w:jc w:val="both"/>
              <w:rPr>
                <w:rFonts w:hint="eastAsia" w:ascii="宋体" w:hAnsi="宋体" w:eastAsia="宋体" w:cs="宋体"/>
                <w:color w:val="000000"/>
                <w:spacing w:val="0"/>
                <w:w w:val="100"/>
                <w:position w:val="0"/>
                <w:sz w:val="21"/>
                <w:szCs w:val="21"/>
              </w:rPr>
            </w:pPr>
            <w:r>
              <w:rPr>
                <w:rFonts w:hint="eastAsia" w:cs="宋体"/>
                <w:color w:val="000000"/>
                <w:spacing w:val="0"/>
                <w:w w:val="100"/>
                <w:position w:val="0"/>
                <w:sz w:val="21"/>
                <w:szCs w:val="21"/>
                <w:lang w:val="en-US" w:eastAsia="zh-CN"/>
              </w:rPr>
              <w:t>1）</w:t>
            </w:r>
            <w:r>
              <w:rPr>
                <w:rFonts w:hint="eastAsia" w:ascii="宋体" w:hAnsi="宋体" w:eastAsia="宋体" w:cs="宋体"/>
                <w:color w:val="000000"/>
                <w:spacing w:val="0"/>
                <w:w w:val="100"/>
                <w:position w:val="0"/>
                <w:sz w:val="21"/>
                <w:szCs w:val="21"/>
              </w:rPr>
              <w:t>停在铲装设备回转范围</w:t>
            </w:r>
            <w:r>
              <w:rPr>
                <w:rFonts w:hint="eastAsia" w:ascii="宋体" w:hAnsi="宋体" w:eastAsia="宋体" w:cs="宋体"/>
                <w:color w:val="000000"/>
                <w:spacing w:val="0"/>
                <w:w w:val="100"/>
                <w:position w:val="0"/>
                <w:sz w:val="21"/>
                <w:szCs w:val="21"/>
                <w:lang w:val="en-US" w:eastAsia="en-US"/>
              </w:rPr>
              <w:t>0.5m</w:t>
            </w:r>
            <w:r>
              <w:rPr>
                <w:rFonts w:hint="eastAsia" w:ascii="宋体" w:hAnsi="宋体" w:eastAsia="宋体" w:cs="宋体"/>
                <w:color w:val="000000"/>
                <w:spacing w:val="0"/>
                <w:w w:val="100"/>
                <w:position w:val="0"/>
                <w:sz w:val="21"/>
                <w:szCs w:val="21"/>
              </w:rPr>
              <w:t>以外；</w:t>
            </w:r>
          </w:p>
          <w:p w14:paraId="152C1C06">
            <w:pPr>
              <w:pStyle w:val="53"/>
              <w:keepNext w:val="0"/>
              <w:keepLines w:val="0"/>
              <w:widowControl w:val="0"/>
              <w:shd w:val="clear" w:color="auto" w:fill="auto"/>
              <w:bidi w:val="0"/>
              <w:spacing w:before="0" w:after="0" w:line="240" w:lineRule="auto"/>
              <w:ind w:left="0" w:leftChars="0" w:right="0" w:firstLine="0" w:firstLineChars="0"/>
              <w:jc w:val="both"/>
              <w:rPr>
                <w:rFonts w:hint="eastAsia" w:ascii="宋体" w:hAnsi="宋体" w:eastAsia="宋体" w:cs="宋体"/>
                <w:color w:val="000000"/>
                <w:spacing w:val="0"/>
                <w:w w:val="100"/>
                <w:position w:val="0"/>
                <w:sz w:val="21"/>
                <w:szCs w:val="21"/>
              </w:rPr>
            </w:pPr>
            <w:r>
              <w:rPr>
                <w:rFonts w:hint="eastAsia" w:cs="宋体"/>
                <w:color w:val="000000"/>
                <w:spacing w:val="0"/>
                <w:w w:val="100"/>
                <w:position w:val="0"/>
                <w:sz w:val="21"/>
                <w:szCs w:val="21"/>
                <w:lang w:val="en-US" w:eastAsia="zh-CN"/>
              </w:rPr>
              <w:t>2）</w:t>
            </w:r>
            <w:r>
              <w:rPr>
                <w:rFonts w:hint="eastAsia" w:ascii="宋体" w:hAnsi="宋体" w:eastAsia="宋体" w:cs="宋体"/>
                <w:color w:val="000000"/>
                <w:spacing w:val="0"/>
                <w:w w:val="100"/>
                <w:position w:val="0"/>
                <w:sz w:val="21"/>
                <w:szCs w:val="21"/>
              </w:rPr>
              <w:t>驾驶员不离开驾驶室，不将身体任何部位伸出驾驶室外；</w:t>
            </w:r>
          </w:p>
          <w:p w14:paraId="4B083665">
            <w:pPr>
              <w:pStyle w:val="53"/>
              <w:keepNext w:val="0"/>
              <w:keepLines w:val="0"/>
              <w:widowControl w:val="0"/>
              <w:shd w:val="clear" w:color="auto" w:fill="auto"/>
              <w:bidi w:val="0"/>
              <w:spacing w:before="0" w:after="0" w:line="240" w:lineRule="auto"/>
              <w:ind w:left="0" w:leftChars="0" w:right="0" w:firstLine="0" w:firstLineChars="0"/>
              <w:jc w:val="both"/>
              <w:rPr>
                <w:rFonts w:hint="eastAsia" w:ascii="宋体" w:hAnsi="宋体" w:eastAsia="宋体" w:cs="宋体"/>
                <w:color w:val="000000"/>
                <w:spacing w:val="0"/>
                <w:w w:val="100"/>
                <w:position w:val="0"/>
                <w:sz w:val="21"/>
                <w:szCs w:val="21"/>
              </w:rPr>
            </w:pPr>
            <w:r>
              <w:rPr>
                <w:rFonts w:hint="eastAsia" w:cs="宋体"/>
                <w:color w:val="000000"/>
                <w:spacing w:val="0"/>
                <w:w w:val="100"/>
                <w:position w:val="0"/>
                <w:sz w:val="21"/>
                <w:szCs w:val="21"/>
                <w:lang w:val="en-US" w:eastAsia="zh-CN"/>
              </w:rPr>
              <w:t>3）</w:t>
            </w:r>
            <w:r>
              <w:rPr>
                <w:rFonts w:hint="eastAsia" w:ascii="宋体" w:hAnsi="宋体" w:eastAsia="宋体" w:cs="宋体"/>
                <w:color w:val="000000"/>
                <w:spacing w:val="0"/>
                <w:w w:val="100"/>
                <w:position w:val="0"/>
                <w:sz w:val="21"/>
                <w:szCs w:val="21"/>
              </w:rPr>
              <w:t>不在装载时检查、维护车辆。</w:t>
            </w:r>
          </w:p>
        </w:tc>
        <w:tc>
          <w:tcPr>
            <w:tcW w:w="1004" w:type="pct"/>
            <w:tcBorders>
              <w:tl2br w:val="nil"/>
              <w:tr2bl w:val="nil"/>
            </w:tcBorders>
            <w:noWrap w:val="0"/>
            <w:vAlign w:val="center"/>
          </w:tcPr>
          <w:p w14:paraId="05C3A46B">
            <w:pPr>
              <w:keepNext/>
              <w:spacing w:line="240" w:lineRule="auto"/>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《金属非金属矿山安全规程》(GB16423-2020)</w:t>
            </w:r>
          </w:p>
          <w:p w14:paraId="39702BD4">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color w:val="000000"/>
                <w:sz w:val="21"/>
                <w:szCs w:val="21"/>
              </w:rPr>
              <w:t>第5.4.2.</w:t>
            </w:r>
            <w:r>
              <w:rPr>
                <w:rFonts w:hint="eastAsia" w:ascii="宋体" w:hAnsi="宋体" w:eastAsia="宋体" w:cs="宋体"/>
                <w:color w:val="000000"/>
                <w:sz w:val="21"/>
                <w:szCs w:val="21"/>
                <w:lang w:val="en-US" w:eastAsia="zh-CN"/>
              </w:rPr>
              <w:t>2</w:t>
            </w:r>
            <w:r>
              <w:rPr>
                <w:rFonts w:hint="eastAsia" w:ascii="宋体" w:hAnsi="宋体" w:eastAsia="宋体" w:cs="宋体"/>
                <w:color w:val="000000"/>
                <w:sz w:val="21"/>
                <w:szCs w:val="21"/>
              </w:rPr>
              <w:t>条</w:t>
            </w:r>
          </w:p>
        </w:tc>
        <w:tc>
          <w:tcPr>
            <w:tcW w:w="868" w:type="pct"/>
            <w:tcBorders>
              <w:tl2br w:val="nil"/>
              <w:tr2bl w:val="nil"/>
            </w:tcBorders>
            <w:noWrap w:val="0"/>
            <w:vAlign w:val="center"/>
          </w:tcPr>
          <w:p w14:paraId="36BB53B4">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b w:val="0"/>
                <w:bCs/>
                <w:color w:val="auto"/>
                <w:spacing w:val="4"/>
                <w:kern w:val="10"/>
                <w:position w:val="2"/>
                <w:sz w:val="21"/>
                <w:szCs w:val="21"/>
                <w:shd w:val="clear" w:color="auto" w:fill="auto"/>
                <w:lang w:val="en-US" w:eastAsia="zh-CN" w:bidi="ar-SA"/>
              </w:rPr>
            </w:pPr>
            <w:r>
              <w:rPr>
                <w:rFonts w:hint="eastAsia" w:ascii="宋体" w:hAnsi="宋体" w:eastAsia="宋体" w:cs="宋体"/>
                <w:b w:val="0"/>
                <w:bCs/>
                <w:color w:val="auto"/>
                <w:spacing w:val="4"/>
                <w:kern w:val="10"/>
                <w:position w:val="2"/>
                <w:sz w:val="21"/>
                <w:szCs w:val="21"/>
                <w:shd w:val="clear" w:color="auto" w:fill="auto"/>
                <w:lang w:val="en-US" w:eastAsia="zh-CN"/>
              </w:rPr>
              <w:t>初步设计中</w:t>
            </w:r>
            <w:r>
              <w:rPr>
                <w:rFonts w:hint="eastAsia" w:ascii="宋体" w:hAnsi="宋体" w:cs="宋体"/>
                <w:b w:val="0"/>
                <w:bCs/>
                <w:color w:val="auto"/>
                <w:spacing w:val="4"/>
                <w:kern w:val="10"/>
                <w:position w:val="2"/>
                <w:sz w:val="21"/>
                <w:szCs w:val="21"/>
                <w:shd w:val="clear" w:color="auto" w:fill="auto"/>
                <w:lang w:val="en-US" w:eastAsia="zh-CN"/>
              </w:rPr>
              <w:t>未</w:t>
            </w:r>
            <w:r>
              <w:rPr>
                <w:rFonts w:hint="eastAsia" w:ascii="宋体" w:hAnsi="宋体" w:eastAsia="宋体" w:cs="宋体"/>
                <w:b w:val="0"/>
                <w:bCs/>
                <w:color w:val="auto"/>
                <w:spacing w:val="4"/>
                <w:kern w:val="10"/>
                <w:position w:val="2"/>
                <w:sz w:val="21"/>
                <w:szCs w:val="21"/>
                <w:shd w:val="clear" w:color="auto" w:fill="auto"/>
                <w:lang w:val="en-US" w:eastAsia="zh-CN"/>
              </w:rPr>
              <w:t>明确。</w:t>
            </w:r>
          </w:p>
        </w:tc>
        <w:tc>
          <w:tcPr>
            <w:tcW w:w="660" w:type="pct"/>
            <w:tcBorders>
              <w:tl2br w:val="nil"/>
              <w:tr2bl w:val="nil"/>
            </w:tcBorders>
            <w:noWrap w:val="0"/>
            <w:vAlign w:val="center"/>
          </w:tcPr>
          <w:p w14:paraId="3ECDC295">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auto"/>
                <w:kern w:val="2"/>
                <w:sz w:val="21"/>
                <w:szCs w:val="21"/>
                <w:shd w:val="clear" w:color="auto" w:fill="auto"/>
                <w:lang w:val="en-US" w:eastAsia="zh-CN" w:bidi="ar-SA"/>
              </w:rPr>
            </w:pPr>
            <w:r>
              <w:rPr>
                <w:rFonts w:hint="eastAsia" w:eastAsia="宋体" w:cs="宋体"/>
                <w:caps w:val="0"/>
                <w:color w:val="auto"/>
                <w:sz w:val="21"/>
                <w:szCs w:val="21"/>
                <w:shd w:val="clear" w:color="auto" w:fill="auto"/>
                <w:lang w:val="en-US" w:eastAsia="zh-CN"/>
              </w:rPr>
              <w:t>不符合</w:t>
            </w:r>
          </w:p>
        </w:tc>
      </w:tr>
      <w:tr w14:paraId="1AEB10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1" w:type="pct"/>
            <w:tcBorders>
              <w:tl2br w:val="nil"/>
              <w:tr2bl w:val="nil"/>
            </w:tcBorders>
            <w:noWrap w:val="0"/>
            <w:vAlign w:val="center"/>
          </w:tcPr>
          <w:p w14:paraId="56F625A0">
            <w:pPr>
              <w:keepNext w:val="0"/>
              <w:keepLines w:val="0"/>
              <w:pageBreakBefore w:val="0"/>
              <w:widowControl w:val="0"/>
              <w:numPr>
                <w:ilvl w:val="0"/>
                <w:numId w:val="51"/>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auto"/>
                <w:sz w:val="21"/>
                <w:szCs w:val="21"/>
                <w:shd w:val="clear" w:color="auto" w:fill="auto"/>
              </w:rPr>
            </w:pPr>
          </w:p>
        </w:tc>
        <w:tc>
          <w:tcPr>
            <w:tcW w:w="2225" w:type="pct"/>
            <w:tcBorders>
              <w:tl2br w:val="nil"/>
              <w:tr2bl w:val="nil"/>
            </w:tcBorders>
            <w:noWrap w:val="0"/>
            <w:vAlign w:val="center"/>
          </w:tcPr>
          <w:p w14:paraId="708634CF">
            <w:pPr>
              <w:pStyle w:val="53"/>
              <w:keepNext w:val="0"/>
              <w:keepLines w:val="0"/>
              <w:widowControl w:val="0"/>
              <w:shd w:val="clear" w:color="auto" w:fill="auto"/>
              <w:bidi w:val="0"/>
              <w:spacing w:before="0" w:after="0" w:line="240" w:lineRule="auto"/>
              <w:ind w:left="0" w:leftChars="0" w:right="0" w:firstLine="0" w:firstLineChars="0"/>
              <w:jc w:val="both"/>
              <w:rPr>
                <w:rFonts w:hint="eastAsia" w:ascii="宋体" w:hAnsi="宋体" w:eastAsia="宋体" w:cs="宋体"/>
                <w:color w:val="auto"/>
                <w:spacing w:val="0"/>
                <w:w w:val="100"/>
                <w:position w:val="0"/>
                <w:sz w:val="21"/>
                <w:szCs w:val="21"/>
                <w:shd w:val="clear" w:color="auto" w:fill="auto"/>
                <w:lang w:val="zh-TW" w:eastAsia="zh-TW"/>
              </w:rPr>
            </w:pPr>
            <w:r>
              <w:rPr>
                <w:rFonts w:hint="eastAsia" w:ascii="宋体" w:hAnsi="宋体" w:eastAsia="宋体" w:cs="宋体"/>
                <w:color w:val="auto"/>
                <w:spacing w:val="0"/>
                <w:w w:val="100"/>
                <w:position w:val="0"/>
                <w:sz w:val="21"/>
                <w:szCs w:val="21"/>
                <w:shd w:val="clear" w:color="auto" w:fill="auto"/>
                <w:lang w:val="zh-TW" w:eastAsia="zh-TW"/>
              </w:rPr>
              <w:t>主要运输道路的急弯、陡坡、危险地段应设置警示标志。</w:t>
            </w:r>
          </w:p>
        </w:tc>
        <w:tc>
          <w:tcPr>
            <w:tcW w:w="1004" w:type="pct"/>
            <w:tcBorders>
              <w:tl2br w:val="nil"/>
              <w:tr2bl w:val="nil"/>
            </w:tcBorders>
            <w:noWrap w:val="0"/>
            <w:vAlign w:val="center"/>
          </w:tcPr>
          <w:p w14:paraId="12A36418">
            <w:pPr>
              <w:keepNext/>
              <w:spacing w:line="240" w:lineRule="auto"/>
              <w:ind w:firstLine="0" w:firstLineChars="0"/>
              <w:jc w:val="center"/>
              <w:rPr>
                <w:rFonts w:hint="eastAsia" w:ascii="宋体" w:hAnsi="宋体" w:eastAsia="宋体" w:cs="宋体"/>
                <w:color w:val="auto"/>
                <w:sz w:val="21"/>
                <w:szCs w:val="21"/>
                <w:shd w:val="clear" w:color="auto" w:fill="auto"/>
              </w:rPr>
            </w:pPr>
            <w:r>
              <w:rPr>
                <w:rFonts w:hint="eastAsia" w:ascii="宋体" w:hAnsi="宋体" w:eastAsia="宋体" w:cs="宋体"/>
                <w:color w:val="auto"/>
                <w:sz w:val="21"/>
                <w:szCs w:val="21"/>
                <w:shd w:val="clear" w:color="auto" w:fill="auto"/>
              </w:rPr>
              <w:t>《金属非金属矿山安全规程》(GB16423-2020)</w:t>
            </w:r>
          </w:p>
          <w:p w14:paraId="2C642E98">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auto"/>
                <w:sz w:val="21"/>
                <w:szCs w:val="21"/>
                <w:shd w:val="clear" w:color="auto" w:fill="auto"/>
              </w:rPr>
            </w:pPr>
            <w:r>
              <w:rPr>
                <w:rFonts w:hint="eastAsia" w:ascii="宋体" w:hAnsi="宋体" w:eastAsia="宋体" w:cs="宋体"/>
                <w:color w:val="auto"/>
                <w:sz w:val="21"/>
                <w:szCs w:val="21"/>
                <w:shd w:val="clear" w:color="auto" w:fill="auto"/>
              </w:rPr>
              <w:t>第5.4.2.</w:t>
            </w:r>
            <w:r>
              <w:rPr>
                <w:rFonts w:hint="eastAsia" w:ascii="宋体" w:hAnsi="宋体" w:eastAsia="宋体" w:cs="宋体"/>
                <w:color w:val="auto"/>
                <w:sz w:val="21"/>
                <w:szCs w:val="21"/>
                <w:shd w:val="clear" w:color="auto" w:fill="auto"/>
                <w:lang w:val="en-US" w:eastAsia="zh-CN"/>
              </w:rPr>
              <w:t>3</w:t>
            </w:r>
            <w:r>
              <w:rPr>
                <w:rFonts w:hint="eastAsia" w:ascii="宋体" w:hAnsi="宋体" w:eastAsia="宋体" w:cs="宋体"/>
                <w:color w:val="auto"/>
                <w:sz w:val="21"/>
                <w:szCs w:val="21"/>
                <w:shd w:val="clear" w:color="auto" w:fill="auto"/>
              </w:rPr>
              <w:t>条</w:t>
            </w:r>
          </w:p>
        </w:tc>
        <w:tc>
          <w:tcPr>
            <w:tcW w:w="868" w:type="pct"/>
            <w:tcBorders>
              <w:tl2br w:val="nil"/>
              <w:tr2bl w:val="nil"/>
            </w:tcBorders>
            <w:noWrap w:val="0"/>
            <w:vAlign w:val="center"/>
          </w:tcPr>
          <w:p w14:paraId="351EE0EE">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b w:val="0"/>
                <w:bCs/>
                <w:color w:val="auto"/>
                <w:spacing w:val="4"/>
                <w:kern w:val="10"/>
                <w:position w:val="2"/>
                <w:sz w:val="21"/>
                <w:szCs w:val="21"/>
                <w:shd w:val="clear" w:color="auto" w:fill="auto"/>
                <w:lang w:val="en-US" w:eastAsia="zh-CN"/>
              </w:rPr>
            </w:pPr>
            <w:r>
              <w:rPr>
                <w:rFonts w:hint="eastAsia" w:ascii="宋体" w:hAnsi="宋体" w:eastAsia="宋体" w:cs="宋体"/>
                <w:b w:val="0"/>
                <w:bCs/>
                <w:color w:val="auto"/>
                <w:spacing w:val="4"/>
                <w:kern w:val="10"/>
                <w:position w:val="2"/>
                <w:sz w:val="21"/>
                <w:szCs w:val="21"/>
                <w:shd w:val="clear" w:color="auto" w:fill="auto"/>
                <w:lang w:val="en-US" w:eastAsia="zh-CN"/>
              </w:rPr>
              <w:t>初步设计中</w:t>
            </w:r>
            <w:r>
              <w:rPr>
                <w:rFonts w:hint="eastAsia" w:ascii="宋体" w:hAnsi="宋体" w:cs="宋体"/>
                <w:b w:val="0"/>
                <w:bCs/>
                <w:color w:val="auto"/>
                <w:spacing w:val="4"/>
                <w:kern w:val="10"/>
                <w:position w:val="2"/>
                <w:sz w:val="21"/>
                <w:szCs w:val="21"/>
                <w:shd w:val="clear" w:color="auto" w:fill="auto"/>
                <w:lang w:val="en-US" w:eastAsia="zh-CN"/>
              </w:rPr>
              <w:t>未</w:t>
            </w:r>
            <w:r>
              <w:rPr>
                <w:rFonts w:hint="eastAsia" w:ascii="宋体" w:hAnsi="宋体" w:eastAsia="宋体" w:cs="宋体"/>
                <w:b w:val="0"/>
                <w:bCs/>
                <w:color w:val="auto"/>
                <w:spacing w:val="4"/>
                <w:kern w:val="10"/>
                <w:position w:val="2"/>
                <w:sz w:val="21"/>
                <w:szCs w:val="21"/>
                <w:shd w:val="clear" w:color="auto" w:fill="auto"/>
                <w:lang w:val="en-US" w:eastAsia="zh-CN"/>
              </w:rPr>
              <w:t>明确。</w:t>
            </w:r>
          </w:p>
        </w:tc>
        <w:tc>
          <w:tcPr>
            <w:tcW w:w="660" w:type="pct"/>
            <w:tcBorders>
              <w:tl2br w:val="nil"/>
              <w:tr2bl w:val="nil"/>
            </w:tcBorders>
            <w:noWrap w:val="0"/>
            <w:vAlign w:val="center"/>
          </w:tcPr>
          <w:p w14:paraId="5398EABE">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auto"/>
                <w:sz w:val="21"/>
                <w:szCs w:val="21"/>
                <w:shd w:val="clear" w:color="auto" w:fill="auto"/>
              </w:rPr>
            </w:pPr>
            <w:r>
              <w:rPr>
                <w:rFonts w:hint="eastAsia" w:eastAsia="宋体" w:cs="宋体"/>
                <w:caps w:val="0"/>
                <w:color w:val="auto"/>
                <w:sz w:val="21"/>
                <w:szCs w:val="21"/>
                <w:shd w:val="clear" w:color="auto" w:fill="auto"/>
                <w:lang w:val="en-US" w:eastAsia="zh-CN"/>
              </w:rPr>
              <w:t>不符合</w:t>
            </w:r>
          </w:p>
        </w:tc>
      </w:tr>
      <w:tr w14:paraId="53A57B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1" w:type="pct"/>
            <w:tcBorders>
              <w:tl2br w:val="nil"/>
              <w:tr2bl w:val="nil"/>
            </w:tcBorders>
            <w:noWrap w:val="0"/>
            <w:vAlign w:val="center"/>
          </w:tcPr>
          <w:p w14:paraId="318F3F2F">
            <w:pPr>
              <w:keepNext w:val="0"/>
              <w:keepLines w:val="0"/>
              <w:pageBreakBefore w:val="0"/>
              <w:widowControl w:val="0"/>
              <w:numPr>
                <w:ilvl w:val="0"/>
                <w:numId w:val="51"/>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2225" w:type="pct"/>
            <w:tcBorders>
              <w:tl2br w:val="nil"/>
              <w:tr2bl w:val="nil"/>
            </w:tcBorders>
            <w:noWrap w:val="0"/>
            <w:vAlign w:val="center"/>
          </w:tcPr>
          <w:p w14:paraId="7CA7B683">
            <w:pPr>
              <w:pStyle w:val="53"/>
              <w:keepNext w:val="0"/>
              <w:keepLines w:val="0"/>
              <w:widowControl w:val="0"/>
              <w:shd w:val="clear" w:color="auto" w:fill="auto"/>
              <w:bidi w:val="0"/>
              <w:spacing w:before="0" w:after="0" w:line="240" w:lineRule="auto"/>
              <w:ind w:left="0" w:leftChars="0" w:right="0" w:firstLine="0" w:firstLineChars="0"/>
              <w:jc w:val="both"/>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运输道路的高陡路基路段，或者弯道、坡度较大的填方地段，远离山体一侧应设置高度不小于车轮轮胎直径1/2的护栏、挡车墙等安全设施及醒目的警示标志。</w:t>
            </w:r>
          </w:p>
        </w:tc>
        <w:tc>
          <w:tcPr>
            <w:tcW w:w="1004" w:type="pct"/>
            <w:tcBorders>
              <w:tl2br w:val="nil"/>
              <w:tr2bl w:val="nil"/>
            </w:tcBorders>
            <w:noWrap w:val="0"/>
            <w:vAlign w:val="center"/>
          </w:tcPr>
          <w:p w14:paraId="05B0E3C7">
            <w:pPr>
              <w:keepNext/>
              <w:spacing w:line="240" w:lineRule="auto"/>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《金属非金属矿山安全规程》(GB16423-2020)</w:t>
            </w:r>
          </w:p>
          <w:p w14:paraId="104AEB4B">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color w:val="000000"/>
                <w:sz w:val="21"/>
                <w:szCs w:val="21"/>
              </w:rPr>
              <w:t>第5.4.2.</w:t>
            </w:r>
            <w:r>
              <w:rPr>
                <w:rFonts w:hint="eastAsia" w:ascii="宋体" w:hAnsi="宋体" w:eastAsia="宋体" w:cs="宋体"/>
                <w:color w:val="000000"/>
                <w:sz w:val="21"/>
                <w:szCs w:val="21"/>
                <w:lang w:val="en-US" w:eastAsia="zh-CN"/>
              </w:rPr>
              <w:t>4</w:t>
            </w:r>
            <w:r>
              <w:rPr>
                <w:rFonts w:hint="eastAsia" w:ascii="宋体" w:hAnsi="宋体" w:eastAsia="宋体" w:cs="宋体"/>
                <w:color w:val="000000"/>
                <w:sz w:val="21"/>
                <w:szCs w:val="21"/>
              </w:rPr>
              <w:t>条</w:t>
            </w:r>
          </w:p>
        </w:tc>
        <w:tc>
          <w:tcPr>
            <w:tcW w:w="868" w:type="pct"/>
            <w:tcBorders>
              <w:tl2br w:val="nil"/>
              <w:tr2bl w:val="nil"/>
            </w:tcBorders>
            <w:noWrap w:val="0"/>
            <w:vAlign w:val="center"/>
          </w:tcPr>
          <w:p w14:paraId="4285E484">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b w:val="0"/>
                <w:bCs/>
                <w:color w:val="auto"/>
                <w:spacing w:val="4"/>
                <w:kern w:val="10"/>
                <w:position w:val="2"/>
                <w:sz w:val="21"/>
                <w:szCs w:val="21"/>
                <w:shd w:val="clear" w:color="auto" w:fill="auto"/>
                <w:lang w:val="en-US" w:eastAsia="zh-CN" w:bidi="ar-SA"/>
              </w:rPr>
            </w:pPr>
            <w:r>
              <w:rPr>
                <w:rFonts w:hint="eastAsia" w:ascii="宋体" w:hAnsi="宋体" w:eastAsia="宋体" w:cs="宋体"/>
                <w:b w:val="0"/>
                <w:bCs/>
                <w:color w:val="auto"/>
                <w:spacing w:val="4"/>
                <w:kern w:val="10"/>
                <w:position w:val="2"/>
                <w:sz w:val="21"/>
                <w:szCs w:val="21"/>
                <w:shd w:val="clear" w:color="auto" w:fill="auto"/>
                <w:lang w:val="en-US" w:eastAsia="zh-CN"/>
              </w:rPr>
              <w:t>初步设计中</w:t>
            </w:r>
            <w:r>
              <w:rPr>
                <w:rFonts w:hint="eastAsia" w:ascii="宋体" w:hAnsi="宋体" w:cs="宋体"/>
                <w:b w:val="0"/>
                <w:bCs/>
                <w:color w:val="auto"/>
                <w:spacing w:val="4"/>
                <w:kern w:val="10"/>
                <w:position w:val="2"/>
                <w:sz w:val="21"/>
                <w:szCs w:val="21"/>
                <w:shd w:val="clear" w:color="auto" w:fill="auto"/>
                <w:lang w:val="en-US" w:eastAsia="zh-CN"/>
              </w:rPr>
              <w:t>未</w:t>
            </w:r>
            <w:r>
              <w:rPr>
                <w:rFonts w:hint="eastAsia" w:ascii="宋体" w:hAnsi="宋体" w:eastAsia="宋体" w:cs="宋体"/>
                <w:b w:val="0"/>
                <w:bCs/>
                <w:color w:val="auto"/>
                <w:spacing w:val="4"/>
                <w:kern w:val="10"/>
                <w:position w:val="2"/>
                <w:sz w:val="21"/>
                <w:szCs w:val="21"/>
                <w:shd w:val="clear" w:color="auto" w:fill="auto"/>
                <w:lang w:val="en-US" w:eastAsia="zh-CN"/>
              </w:rPr>
              <w:t>明确。</w:t>
            </w:r>
          </w:p>
        </w:tc>
        <w:tc>
          <w:tcPr>
            <w:tcW w:w="660" w:type="pct"/>
            <w:tcBorders>
              <w:tl2br w:val="nil"/>
              <w:tr2bl w:val="nil"/>
            </w:tcBorders>
            <w:noWrap w:val="0"/>
            <w:vAlign w:val="center"/>
          </w:tcPr>
          <w:p w14:paraId="414DE991">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auto"/>
                <w:kern w:val="2"/>
                <w:sz w:val="21"/>
                <w:szCs w:val="21"/>
                <w:shd w:val="clear" w:color="auto" w:fill="auto"/>
                <w:lang w:val="en-US" w:eastAsia="zh-CN" w:bidi="ar-SA"/>
              </w:rPr>
            </w:pPr>
            <w:r>
              <w:rPr>
                <w:rFonts w:hint="eastAsia" w:eastAsia="宋体" w:cs="宋体"/>
                <w:caps w:val="0"/>
                <w:color w:val="auto"/>
                <w:sz w:val="21"/>
                <w:szCs w:val="21"/>
                <w:shd w:val="clear" w:color="auto" w:fill="auto"/>
                <w:lang w:val="en-US" w:eastAsia="zh-CN"/>
              </w:rPr>
              <w:t>不符合</w:t>
            </w:r>
          </w:p>
        </w:tc>
      </w:tr>
      <w:tr w14:paraId="117C30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1" w:type="pct"/>
            <w:tcBorders>
              <w:tl2br w:val="nil"/>
              <w:tr2bl w:val="nil"/>
            </w:tcBorders>
            <w:noWrap w:val="0"/>
            <w:vAlign w:val="center"/>
          </w:tcPr>
          <w:p w14:paraId="35F56D18">
            <w:pPr>
              <w:keepNext w:val="0"/>
              <w:keepLines w:val="0"/>
              <w:pageBreakBefore w:val="0"/>
              <w:widowControl w:val="0"/>
              <w:numPr>
                <w:ilvl w:val="0"/>
                <w:numId w:val="51"/>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2225" w:type="pct"/>
            <w:tcBorders>
              <w:tl2br w:val="nil"/>
              <w:tr2bl w:val="nil"/>
            </w:tcBorders>
            <w:noWrap w:val="0"/>
            <w:vAlign w:val="center"/>
          </w:tcPr>
          <w:p w14:paraId="1EB95906">
            <w:pPr>
              <w:pStyle w:val="53"/>
              <w:keepNext w:val="0"/>
              <w:keepLines w:val="0"/>
              <w:widowControl w:val="0"/>
              <w:shd w:val="clear" w:color="auto" w:fill="auto"/>
              <w:bidi w:val="0"/>
              <w:spacing w:before="0" w:after="0" w:line="240" w:lineRule="auto"/>
              <w:ind w:left="0" w:leftChars="0" w:right="0" w:firstLine="0" w:firstLineChars="0"/>
              <w:jc w:val="both"/>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汽车运行应遵守下列规定：</w:t>
            </w:r>
          </w:p>
          <w:p w14:paraId="16B7435A">
            <w:pPr>
              <w:pStyle w:val="53"/>
              <w:keepNext w:val="0"/>
              <w:keepLines w:val="0"/>
              <w:widowControl w:val="0"/>
              <w:shd w:val="clear" w:color="auto" w:fill="auto"/>
              <w:bidi w:val="0"/>
              <w:spacing w:before="0" w:after="0" w:line="240" w:lineRule="auto"/>
              <w:ind w:left="0" w:leftChars="0" w:right="0" w:firstLine="0" w:firstLineChars="0"/>
              <w:jc w:val="both"/>
              <w:rPr>
                <w:rFonts w:hint="eastAsia" w:ascii="宋体" w:hAnsi="宋体" w:eastAsia="宋体" w:cs="宋体"/>
                <w:color w:val="000000"/>
                <w:spacing w:val="0"/>
                <w:w w:val="100"/>
                <w:position w:val="0"/>
                <w:sz w:val="21"/>
                <w:szCs w:val="21"/>
              </w:rPr>
            </w:pPr>
            <w:r>
              <w:rPr>
                <w:rFonts w:hint="eastAsia" w:cs="宋体"/>
                <w:color w:val="000000"/>
                <w:spacing w:val="0"/>
                <w:w w:val="100"/>
                <w:position w:val="0"/>
                <w:sz w:val="21"/>
                <w:szCs w:val="21"/>
                <w:lang w:val="en-US" w:eastAsia="zh-CN"/>
              </w:rPr>
              <w:t>1）</w:t>
            </w:r>
            <w:r>
              <w:rPr>
                <w:rFonts w:hint="eastAsia" w:ascii="宋体" w:hAnsi="宋体" w:eastAsia="宋体" w:cs="宋体"/>
                <w:color w:val="000000"/>
                <w:spacing w:val="0"/>
                <w:w w:val="100"/>
                <w:position w:val="0"/>
                <w:sz w:val="21"/>
                <w:szCs w:val="21"/>
              </w:rPr>
              <w:t>驾驶室外禁止乘人；</w:t>
            </w:r>
          </w:p>
          <w:p w14:paraId="46AD5FF5">
            <w:pPr>
              <w:pStyle w:val="53"/>
              <w:keepNext w:val="0"/>
              <w:keepLines w:val="0"/>
              <w:widowControl w:val="0"/>
              <w:shd w:val="clear" w:color="auto" w:fill="auto"/>
              <w:bidi w:val="0"/>
              <w:spacing w:before="0" w:after="0" w:line="240" w:lineRule="auto"/>
              <w:ind w:left="0" w:leftChars="0" w:right="0" w:firstLine="0" w:firstLineChars="0"/>
              <w:jc w:val="both"/>
              <w:rPr>
                <w:rFonts w:hint="eastAsia" w:ascii="宋体" w:hAnsi="宋体" w:eastAsia="宋体" w:cs="宋体"/>
                <w:color w:val="000000"/>
                <w:spacing w:val="0"/>
                <w:w w:val="100"/>
                <w:position w:val="0"/>
                <w:sz w:val="21"/>
                <w:szCs w:val="21"/>
              </w:rPr>
            </w:pPr>
            <w:r>
              <w:rPr>
                <w:rFonts w:hint="eastAsia" w:cs="宋体"/>
                <w:color w:val="000000"/>
                <w:spacing w:val="0"/>
                <w:w w:val="100"/>
                <w:position w:val="0"/>
                <w:sz w:val="21"/>
                <w:szCs w:val="21"/>
                <w:lang w:val="en-US" w:eastAsia="zh-CN"/>
              </w:rPr>
              <w:t>2）</w:t>
            </w:r>
            <w:r>
              <w:rPr>
                <w:rFonts w:hint="eastAsia" w:ascii="宋体" w:hAnsi="宋体" w:eastAsia="宋体" w:cs="宋体"/>
                <w:color w:val="000000"/>
                <w:spacing w:val="0"/>
                <w:w w:val="100"/>
                <w:position w:val="0"/>
                <w:sz w:val="21"/>
                <w:szCs w:val="21"/>
              </w:rPr>
              <w:t>运行时不升降车斗；</w:t>
            </w:r>
          </w:p>
          <w:p w14:paraId="1CFB5299">
            <w:pPr>
              <w:pStyle w:val="53"/>
              <w:keepNext w:val="0"/>
              <w:keepLines w:val="0"/>
              <w:widowControl w:val="0"/>
              <w:shd w:val="clear" w:color="auto" w:fill="auto"/>
              <w:bidi w:val="0"/>
              <w:spacing w:before="0" w:after="0" w:line="240" w:lineRule="auto"/>
              <w:ind w:left="0" w:leftChars="0" w:right="0" w:firstLine="0" w:firstLineChars="0"/>
              <w:jc w:val="both"/>
              <w:rPr>
                <w:rFonts w:hint="eastAsia" w:ascii="宋体" w:hAnsi="宋体" w:eastAsia="宋体" w:cs="宋体"/>
                <w:color w:val="000000"/>
                <w:spacing w:val="0"/>
                <w:w w:val="100"/>
                <w:position w:val="0"/>
                <w:sz w:val="21"/>
                <w:szCs w:val="21"/>
              </w:rPr>
            </w:pPr>
            <w:r>
              <w:rPr>
                <w:rFonts w:hint="eastAsia" w:cs="宋体"/>
                <w:color w:val="000000"/>
                <w:spacing w:val="0"/>
                <w:w w:val="100"/>
                <w:position w:val="0"/>
                <w:sz w:val="21"/>
                <w:szCs w:val="21"/>
                <w:lang w:val="en-US" w:eastAsia="zh-CN"/>
              </w:rPr>
              <w:t>3）</w:t>
            </w:r>
            <w:r>
              <w:rPr>
                <w:rFonts w:hint="eastAsia" w:ascii="宋体" w:hAnsi="宋体" w:eastAsia="宋体" w:cs="宋体"/>
                <w:color w:val="000000"/>
                <w:spacing w:val="0"/>
                <w:w w:val="100"/>
                <w:position w:val="0"/>
                <w:sz w:val="21"/>
                <w:szCs w:val="21"/>
              </w:rPr>
              <w:t>不采用溜车方式发动车辆；</w:t>
            </w:r>
          </w:p>
          <w:p w14:paraId="6ADC6508">
            <w:pPr>
              <w:pStyle w:val="53"/>
              <w:keepNext w:val="0"/>
              <w:keepLines w:val="0"/>
              <w:widowControl w:val="0"/>
              <w:shd w:val="clear" w:color="auto" w:fill="auto"/>
              <w:bidi w:val="0"/>
              <w:spacing w:before="0" w:after="0" w:line="240" w:lineRule="auto"/>
              <w:ind w:left="0" w:leftChars="0" w:right="0" w:firstLine="0" w:firstLineChars="0"/>
              <w:jc w:val="both"/>
              <w:rPr>
                <w:rFonts w:hint="eastAsia" w:ascii="宋体" w:hAnsi="宋体" w:eastAsia="宋体" w:cs="宋体"/>
                <w:color w:val="000000"/>
                <w:spacing w:val="0"/>
                <w:w w:val="100"/>
                <w:position w:val="0"/>
                <w:sz w:val="21"/>
                <w:szCs w:val="21"/>
              </w:rPr>
            </w:pPr>
            <w:r>
              <w:rPr>
                <w:rFonts w:hint="eastAsia" w:cs="宋体"/>
                <w:color w:val="000000"/>
                <w:spacing w:val="0"/>
                <w:w w:val="100"/>
                <w:position w:val="0"/>
                <w:sz w:val="21"/>
                <w:szCs w:val="21"/>
                <w:lang w:val="en-US" w:eastAsia="zh-CN"/>
              </w:rPr>
              <w:t>4）</w:t>
            </w:r>
            <w:r>
              <w:rPr>
                <w:rFonts w:hint="eastAsia" w:ascii="宋体" w:hAnsi="宋体" w:eastAsia="宋体" w:cs="宋体"/>
                <w:color w:val="000000"/>
                <w:spacing w:val="0"/>
                <w:w w:val="100"/>
                <w:position w:val="0"/>
                <w:sz w:val="21"/>
                <w:szCs w:val="21"/>
              </w:rPr>
              <w:t>不空挡滑行；</w:t>
            </w:r>
          </w:p>
          <w:p w14:paraId="68864C22">
            <w:pPr>
              <w:pStyle w:val="53"/>
              <w:keepNext w:val="0"/>
              <w:keepLines w:val="0"/>
              <w:widowControl w:val="0"/>
              <w:shd w:val="clear" w:color="auto" w:fill="auto"/>
              <w:bidi w:val="0"/>
              <w:spacing w:before="0" w:after="0" w:line="240" w:lineRule="auto"/>
              <w:ind w:left="0" w:leftChars="0" w:right="0" w:firstLine="0" w:firstLineChars="0"/>
              <w:jc w:val="both"/>
              <w:rPr>
                <w:rFonts w:hint="eastAsia" w:ascii="宋体" w:hAnsi="宋体" w:eastAsia="宋体" w:cs="宋体"/>
                <w:color w:val="000000"/>
                <w:spacing w:val="0"/>
                <w:w w:val="100"/>
                <w:position w:val="0"/>
                <w:sz w:val="21"/>
                <w:szCs w:val="21"/>
              </w:rPr>
            </w:pPr>
            <w:r>
              <w:rPr>
                <w:rFonts w:hint="eastAsia" w:cs="宋体"/>
                <w:color w:val="000000"/>
                <w:spacing w:val="0"/>
                <w:w w:val="100"/>
                <w:position w:val="0"/>
                <w:sz w:val="21"/>
                <w:szCs w:val="21"/>
                <w:lang w:val="en-US" w:eastAsia="zh-CN"/>
              </w:rPr>
              <w:t>5）</w:t>
            </w:r>
            <w:r>
              <w:rPr>
                <w:rFonts w:hint="eastAsia" w:ascii="宋体" w:hAnsi="宋体" w:eastAsia="宋体" w:cs="宋体"/>
                <w:color w:val="000000"/>
                <w:spacing w:val="0"/>
                <w:w w:val="100"/>
                <w:position w:val="0"/>
                <w:sz w:val="21"/>
                <w:szCs w:val="21"/>
              </w:rPr>
              <w:t>不弯道超车；</w:t>
            </w:r>
          </w:p>
          <w:p w14:paraId="73C14DEC">
            <w:pPr>
              <w:pStyle w:val="53"/>
              <w:keepNext w:val="0"/>
              <w:keepLines w:val="0"/>
              <w:widowControl w:val="0"/>
              <w:shd w:val="clear" w:color="auto" w:fill="auto"/>
              <w:bidi w:val="0"/>
              <w:spacing w:before="0" w:after="0" w:line="240" w:lineRule="auto"/>
              <w:ind w:left="0" w:leftChars="0" w:right="0" w:firstLine="0" w:firstLineChars="0"/>
              <w:jc w:val="both"/>
              <w:rPr>
                <w:rFonts w:hint="eastAsia" w:ascii="宋体" w:hAnsi="宋体" w:eastAsia="宋体" w:cs="宋体"/>
                <w:color w:val="000000"/>
                <w:spacing w:val="0"/>
                <w:w w:val="100"/>
                <w:position w:val="0"/>
                <w:sz w:val="21"/>
                <w:szCs w:val="21"/>
              </w:rPr>
            </w:pPr>
            <w:r>
              <w:rPr>
                <w:rFonts w:hint="eastAsia" w:cs="宋体"/>
                <w:color w:val="000000"/>
                <w:spacing w:val="0"/>
                <w:w w:val="100"/>
                <w:position w:val="0"/>
                <w:sz w:val="21"/>
                <w:szCs w:val="21"/>
                <w:lang w:val="en-US" w:eastAsia="zh-CN"/>
              </w:rPr>
              <w:t>6）</w:t>
            </w:r>
            <w:r>
              <w:rPr>
                <w:rFonts w:hint="eastAsia" w:ascii="宋体" w:hAnsi="宋体" w:eastAsia="宋体" w:cs="宋体"/>
                <w:color w:val="000000"/>
                <w:spacing w:val="0"/>
                <w:w w:val="100"/>
                <w:position w:val="0"/>
                <w:sz w:val="21"/>
                <w:szCs w:val="21"/>
              </w:rPr>
              <w:t xml:space="preserve">下坡车速不超过25 </w:t>
            </w:r>
            <w:r>
              <w:rPr>
                <w:rFonts w:hint="eastAsia" w:cs="宋体"/>
                <w:color w:val="000000"/>
                <w:spacing w:val="0"/>
                <w:w w:val="100"/>
                <w:position w:val="0"/>
                <w:sz w:val="21"/>
                <w:szCs w:val="21"/>
                <w:lang w:val="en-US" w:eastAsia="zh-CN"/>
              </w:rPr>
              <w:t>km</w:t>
            </w:r>
            <w:r>
              <w:rPr>
                <w:rFonts w:hint="eastAsia" w:ascii="宋体" w:hAnsi="宋体" w:eastAsia="宋体" w:cs="宋体"/>
                <w:color w:val="000000"/>
                <w:spacing w:val="0"/>
                <w:w w:val="100"/>
                <w:position w:val="0"/>
                <w:sz w:val="21"/>
                <w:szCs w:val="21"/>
                <w:lang w:val="en-US" w:eastAsia="en-US"/>
              </w:rPr>
              <w:t>/h；</w:t>
            </w:r>
          </w:p>
          <w:p w14:paraId="691CFB69">
            <w:pPr>
              <w:pStyle w:val="53"/>
              <w:keepNext w:val="0"/>
              <w:keepLines w:val="0"/>
              <w:widowControl w:val="0"/>
              <w:shd w:val="clear" w:color="auto" w:fill="auto"/>
              <w:bidi w:val="0"/>
              <w:spacing w:before="0" w:after="0" w:line="240" w:lineRule="auto"/>
              <w:ind w:left="0" w:leftChars="0" w:right="0" w:firstLine="0" w:firstLineChars="0"/>
              <w:jc w:val="both"/>
              <w:rPr>
                <w:rFonts w:hint="eastAsia" w:ascii="宋体" w:hAnsi="宋体" w:eastAsia="宋体" w:cs="宋体"/>
                <w:color w:val="000000"/>
                <w:spacing w:val="0"/>
                <w:w w:val="100"/>
                <w:position w:val="0"/>
                <w:sz w:val="21"/>
                <w:szCs w:val="21"/>
              </w:rPr>
            </w:pPr>
            <w:r>
              <w:rPr>
                <w:rFonts w:hint="eastAsia" w:cs="宋体"/>
                <w:color w:val="000000"/>
                <w:spacing w:val="0"/>
                <w:w w:val="100"/>
                <w:position w:val="0"/>
                <w:sz w:val="21"/>
                <w:szCs w:val="21"/>
                <w:lang w:val="en-US" w:eastAsia="zh-CN"/>
              </w:rPr>
              <w:t>7）</w:t>
            </w:r>
            <w:r>
              <w:rPr>
                <w:rFonts w:hint="eastAsia" w:ascii="宋体" w:hAnsi="宋体" w:eastAsia="宋体" w:cs="宋体"/>
                <w:color w:val="000000"/>
                <w:spacing w:val="0"/>
                <w:w w:val="100"/>
                <w:position w:val="0"/>
                <w:sz w:val="21"/>
                <w:szCs w:val="21"/>
              </w:rPr>
              <w:t>不在主运输道路和坡道上停车；</w:t>
            </w:r>
          </w:p>
          <w:p w14:paraId="127B2C9A">
            <w:pPr>
              <w:pStyle w:val="53"/>
              <w:keepNext w:val="0"/>
              <w:keepLines w:val="0"/>
              <w:widowControl w:val="0"/>
              <w:shd w:val="clear" w:color="auto" w:fill="auto"/>
              <w:bidi w:val="0"/>
              <w:spacing w:before="0" w:after="0" w:line="240" w:lineRule="auto"/>
              <w:ind w:left="0" w:leftChars="0" w:right="0" w:firstLine="0" w:firstLineChars="0"/>
              <w:jc w:val="both"/>
              <w:rPr>
                <w:rFonts w:hint="eastAsia" w:ascii="宋体" w:hAnsi="宋体" w:eastAsia="宋体" w:cs="宋体"/>
                <w:color w:val="000000"/>
                <w:spacing w:val="0"/>
                <w:w w:val="100"/>
                <w:position w:val="0"/>
                <w:sz w:val="21"/>
                <w:szCs w:val="21"/>
              </w:rPr>
            </w:pPr>
            <w:r>
              <w:rPr>
                <w:rFonts w:hint="eastAsia" w:cs="宋体"/>
                <w:color w:val="000000"/>
                <w:spacing w:val="0"/>
                <w:w w:val="100"/>
                <w:position w:val="0"/>
                <w:sz w:val="21"/>
                <w:szCs w:val="21"/>
                <w:lang w:val="en-US" w:eastAsia="zh-CN"/>
              </w:rPr>
              <w:t>8）</w:t>
            </w:r>
            <w:r>
              <w:rPr>
                <w:rFonts w:hint="eastAsia" w:ascii="宋体" w:hAnsi="宋体" w:eastAsia="宋体" w:cs="宋体"/>
                <w:color w:val="000000"/>
                <w:spacing w:val="0"/>
                <w:w w:val="100"/>
                <w:position w:val="0"/>
                <w:sz w:val="21"/>
                <w:szCs w:val="21"/>
              </w:rPr>
              <w:t>不在供电线路下停车；</w:t>
            </w:r>
          </w:p>
          <w:p w14:paraId="6ECFBE25">
            <w:pPr>
              <w:pStyle w:val="53"/>
              <w:keepNext w:val="0"/>
              <w:keepLines w:val="0"/>
              <w:widowControl w:val="0"/>
              <w:shd w:val="clear" w:color="auto" w:fill="auto"/>
              <w:bidi w:val="0"/>
              <w:spacing w:before="0" w:after="0" w:line="240" w:lineRule="auto"/>
              <w:ind w:left="0" w:leftChars="0" w:right="0" w:firstLine="0" w:firstLineChars="0"/>
              <w:jc w:val="both"/>
              <w:rPr>
                <w:rFonts w:hint="eastAsia" w:ascii="宋体" w:hAnsi="宋体" w:eastAsia="宋体" w:cs="宋体"/>
                <w:color w:val="000000"/>
                <w:spacing w:val="0"/>
                <w:w w:val="100"/>
                <w:position w:val="0"/>
                <w:sz w:val="21"/>
                <w:szCs w:val="21"/>
              </w:rPr>
            </w:pPr>
            <w:r>
              <w:rPr>
                <w:rFonts w:hint="eastAsia" w:cs="宋体"/>
                <w:color w:val="000000"/>
                <w:spacing w:val="0"/>
                <w:w w:val="100"/>
                <w:position w:val="0"/>
                <w:sz w:val="21"/>
                <w:szCs w:val="21"/>
                <w:lang w:val="en-US" w:eastAsia="zh-CN"/>
              </w:rPr>
              <w:t>9）</w:t>
            </w:r>
            <w:r>
              <w:rPr>
                <w:rFonts w:hint="eastAsia" w:ascii="宋体" w:hAnsi="宋体" w:eastAsia="宋体" w:cs="宋体"/>
                <w:color w:val="000000"/>
                <w:spacing w:val="0"/>
                <w:w w:val="100"/>
                <w:position w:val="0"/>
                <w:sz w:val="21"/>
                <w:szCs w:val="21"/>
              </w:rPr>
              <w:t>拖挂车辆行驶时</w:t>
            </w:r>
            <w:r>
              <w:rPr>
                <w:rFonts w:hint="eastAsia" w:cs="宋体"/>
                <w:color w:val="000000"/>
                <w:spacing w:val="0"/>
                <w:w w:val="100"/>
                <w:position w:val="0"/>
                <w:sz w:val="21"/>
                <w:szCs w:val="21"/>
                <w:lang w:eastAsia="zh-CN"/>
              </w:rPr>
              <w:t>采取</w:t>
            </w:r>
            <w:r>
              <w:rPr>
                <w:rFonts w:hint="eastAsia" w:ascii="宋体" w:hAnsi="宋体" w:eastAsia="宋体" w:cs="宋体"/>
                <w:color w:val="000000"/>
                <w:spacing w:val="0"/>
                <w:w w:val="100"/>
                <w:position w:val="0"/>
                <w:sz w:val="21"/>
                <w:szCs w:val="21"/>
              </w:rPr>
              <w:t>可靠的安全措施，并有专人指挥；</w:t>
            </w:r>
          </w:p>
          <w:p w14:paraId="09DBF7C0">
            <w:pPr>
              <w:pStyle w:val="53"/>
              <w:keepNext w:val="0"/>
              <w:keepLines w:val="0"/>
              <w:widowControl w:val="0"/>
              <w:shd w:val="clear" w:color="auto" w:fill="auto"/>
              <w:bidi w:val="0"/>
              <w:spacing w:before="0" w:after="0" w:line="240" w:lineRule="auto"/>
              <w:ind w:left="0" w:leftChars="0" w:right="0" w:firstLine="0" w:firstLineChars="0"/>
              <w:jc w:val="both"/>
              <w:rPr>
                <w:rFonts w:hint="eastAsia" w:ascii="宋体" w:hAnsi="宋体" w:eastAsia="宋体" w:cs="宋体"/>
                <w:color w:val="000000"/>
                <w:spacing w:val="0"/>
                <w:w w:val="100"/>
                <w:position w:val="0"/>
                <w:sz w:val="21"/>
                <w:szCs w:val="21"/>
              </w:rPr>
            </w:pPr>
            <w:r>
              <w:rPr>
                <w:rFonts w:hint="eastAsia" w:cs="宋体"/>
                <w:color w:val="000000"/>
                <w:spacing w:val="0"/>
                <w:w w:val="100"/>
                <w:position w:val="0"/>
                <w:sz w:val="21"/>
                <w:szCs w:val="21"/>
                <w:lang w:val="en-US" w:eastAsia="zh-CN"/>
              </w:rPr>
              <w:t>10）</w:t>
            </w:r>
            <w:r>
              <w:rPr>
                <w:rFonts w:hint="eastAsia" w:ascii="宋体" w:hAnsi="宋体" w:eastAsia="宋体" w:cs="宋体"/>
                <w:color w:val="000000"/>
                <w:spacing w:val="0"/>
                <w:w w:val="100"/>
                <w:position w:val="0"/>
                <w:sz w:val="21"/>
                <w:szCs w:val="21"/>
              </w:rPr>
              <w:t>通过道口之前驾驶员减速瞭望</w:t>
            </w:r>
            <w:r>
              <w:rPr>
                <w:rFonts w:hint="eastAsia" w:cs="宋体"/>
                <w:color w:val="000000"/>
                <w:spacing w:val="0"/>
                <w:w w:val="100"/>
                <w:position w:val="0"/>
                <w:sz w:val="21"/>
                <w:szCs w:val="21"/>
                <w:lang w:eastAsia="zh-CN"/>
              </w:rPr>
              <w:t>，</w:t>
            </w:r>
            <w:r>
              <w:rPr>
                <w:rFonts w:hint="eastAsia" w:ascii="宋体" w:hAnsi="宋体" w:eastAsia="宋体" w:cs="宋体"/>
                <w:color w:val="000000"/>
                <w:spacing w:val="0"/>
                <w:w w:val="100"/>
                <w:position w:val="0"/>
                <w:sz w:val="21"/>
                <w:szCs w:val="21"/>
              </w:rPr>
              <w:t>确认安全后再通过；</w:t>
            </w:r>
          </w:p>
          <w:p w14:paraId="7277C0DA">
            <w:pPr>
              <w:pStyle w:val="53"/>
              <w:keepNext w:val="0"/>
              <w:keepLines w:val="0"/>
              <w:widowControl w:val="0"/>
              <w:shd w:val="clear" w:color="auto" w:fill="auto"/>
              <w:bidi w:val="0"/>
              <w:spacing w:before="0" w:after="0" w:line="240" w:lineRule="auto"/>
              <w:ind w:left="0" w:leftChars="0" w:right="0" w:firstLine="0" w:firstLineChars="0"/>
              <w:jc w:val="both"/>
              <w:rPr>
                <w:rFonts w:hint="eastAsia" w:ascii="宋体" w:hAnsi="宋体" w:eastAsia="宋体" w:cs="宋体"/>
                <w:color w:val="000000"/>
                <w:spacing w:val="0"/>
                <w:w w:val="100"/>
                <w:position w:val="0"/>
                <w:sz w:val="21"/>
                <w:szCs w:val="21"/>
              </w:rPr>
            </w:pPr>
            <w:r>
              <w:rPr>
                <w:rFonts w:hint="eastAsia" w:cs="宋体"/>
                <w:color w:val="000000"/>
                <w:spacing w:val="0"/>
                <w:w w:val="100"/>
                <w:position w:val="0"/>
                <w:sz w:val="21"/>
                <w:szCs w:val="21"/>
                <w:lang w:val="en-US" w:eastAsia="zh-CN"/>
              </w:rPr>
              <w:t>11）</w:t>
            </w:r>
            <w:r>
              <w:rPr>
                <w:rFonts w:hint="eastAsia" w:ascii="宋体" w:hAnsi="宋体" w:eastAsia="宋体" w:cs="宋体"/>
                <w:color w:val="000000"/>
                <w:spacing w:val="0"/>
                <w:w w:val="100"/>
                <w:position w:val="0"/>
                <w:sz w:val="21"/>
                <w:szCs w:val="21"/>
              </w:rPr>
              <w:t>不超载运行。</w:t>
            </w:r>
          </w:p>
        </w:tc>
        <w:tc>
          <w:tcPr>
            <w:tcW w:w="1004" w:type="pct"/>
            <w:tcBorders>
              <w:tl2br w:val="nil"/>
              <w:tr2bl w:val="nil"/>
            </w:tcBorders>
            <w:noWrap w:val="0"/>
            <w:vAlign w:val="center"/>
          </w:tcPr>
          <w:p w14:paraId="303B8501">
            <w:pPr>
              <w:keepNext/>
              <w:spacing w:line="240" w:lineRule="auto"/>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《金属非金属矿山安全规程》(GB16423-2020)</w:t>
            </w:r>
          </w:p>
          <w:p w14:paraId="78900F18">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color w:val="000000"/>
                <w:sz w:val="21"/>
                <w:szCs w:val="21"/>
              </w:rPr>
              <w:t>第5.4.2.</w:t>
            </w:r>
            <w:r>
              <w:rPr>
                <w:rFonts w:hint="eastAsia" w:ascii="宋体" w:hAnsi="宋体" w:eastAsia="宋体" w:cs="宋体"/>
                <w:color w:val="000000"/>
                <w:sz w:val="21"/>
                <w:szCs w:val="21"/>
                <w:lang w:val="en-US" w:eastAsia="zh-CN"/>
              </w:rPr>
              <w:t>6</w:t>
            </w:r>
            <w:r>
              <w:rPr>
                <w:rFonts w:hint="eastAsia" w:ascii="宋体" w:hAnsi="宋体" w:eastAsia="宋体" w:cs="宋体"/>
                <w:color w:val="000000"/>
                <w:sz w:val="21"/>
                <w:szCs w:val="21"/>
              </w:rPr>
              <w:t>条</w:t>
            </w:r>
          </w:p>
        </w:tc>
        <w:tc>
          <w:tcPr>
            <w:tcW w:w="868" w:type="pct"/>
            <w:tcBorders>
              <w:tl2br w:val="nil"/>
              <w:tr2bl w:val="nil"/>
            </w:tcBorders>
            <w:noWrap w:val="0"/>
            <w:vAlign w:val="center"/>
          </w:tcPr>
          <w:p w14:paraId="3456EEB0">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b w:val="0"/>
                <w:bCs/>
                <w:color w:val="auto"/>
                <w:spacing w:val="4"/>
                <w:kern w:val="10"/>
                <w:position w:val="2"/>
                <w:sz w:val="21"/>
                <w:szCs w:val="21"/>
                <w:shd w:val="clear" w:color="auto" w:fill="auto"/>
                <w:lang w:val="en-US" w:eastAsia="zh-CN" w:bidi="ar-SA"/>
              </w:rPr>
            </w:pPr>
            <w:r>
              <w:rPr>
                <w:rFonts w:hint="eastAsia" w:ascii="宋体" w:hAnsi="宋体" w:eastAsia="宋体" w:cs="宋体"/>
                <w:b w:val="0"/>
                <w:bCs/>
                <w:color w:val="auto"/>
                <w:spacing w:val="4"/>
                <w:kern w:val="10"/>
                <w:position w:val="2"/>
                <w:sz w:val="21"/>
                <w:szCs w:val="21"/>
                <w:shd w:val="clear" w:color="auto" w:fill="auto"/>
                <w:lang w:val="en-US" w:eastAsia="zh-CN"/>
              </w:rPr>
              <w:t>初步设计中</w:t>
            </w:r>
            <w:r>
              <w:rPr>
                <w:rFonts w:hint="eastAsia" w:ascii="宋体" w:hAnsi="宋体" w:cs="宋体"/>
                <w:b w:val="0"/>
                <w:bCs/>
                <w:color w:val="auto"/>
                <w:spacing w:val="4"/>
                <w:kern w:val="10"/>
                <w:position w:val="2"/>
                <w:sz w:val="21"/>
                <w:szCs w:val="21"/>
                <w:shd w:val="clear" w:color="auto" w:fill="auto"/>
                <w:lang w:val="en-US" w:eastAsia="zh-CN"/>
              </w:rPr>
              <w:t>未</w:t>
            </w:r>
            <w:r>
              <w:rPr>
                <w:rFonts w:hint="eastAsia" w:ascii="宋体" w:hAnsi="宋体" w:eastAsia="宋体" w:cs="宋体"/>
                <w:b w:val="0"/>
                <w:bCs/>
                <w:color w:val="auto"/>
                <w:spacing w:val="4"/>
                <w:kern w:val="10"/>
                <w:position w:val="2"/>
                <w:sz w:val="21"/>
                <w:szCs w:val="21"/>
                <w:shd w:val="clear" w:color="auto" w:fill="auto"/>
                <w:lang w:val="en-US" w:eastAsia="zh-CN"/>
              </w:rPr>
              <w:t>明确。</w:t>
            </w:r>
          </w:p>
        </w:tc>
        <w:tc>
          <w:tcPr>
            <w:tcW w:w="660" w:type="pct"/>
            <w:tcBorders>
              <w:tl2br w:val="nil"/>
              <w:tr2bl w:val="nil"/>
            </w:tcBorders>
            <w:noWrap w:val="0"/>
            <w:vAlign w:val="center"/>
          </w:tcPr>
          <w:p w14:paraId="2790EE08">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auto"/>
                <w:kern w:val="2"/>
                <w:sz w:val="21"/>
                <w:szCs w:val="21"/>
                <w:shd w:val="clear" w:color="auto" w:fill="auto"/>
                <w:lang w:val="en-US" w:eastAsia="zh-CN" w:bidi="ar-SA"/>
              </w:rPr>
            </w:pPr>
            <w:r>
              <w:rPr>
                <w:rFonts w:hint="eastAsia" w:eastAsia="宋体" w:cs="宋体"/>
                <w:caps w:val="0"/>
                <w:color w:val="auto"/>
                <w:sz w:val="21"/>
                <w:szCs w:val="21"/>
                <w:shd w:val="clear" w:color="auto" w:fill="auto"/>
                <w:lang w:val="en-US" w:eastAsia="zh-CN"/>
              </w:rPr>
              <w:t>不符合</w:t>
            </w:r>
          </w:p>
        </w:tc>
      </w:tr>
      <w:tr w14:paraId="094EDB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1" w:type="pct"/>
            <w:tcBorders>
              <w:tl2br w:val="nil"/>
              <w:tr2bl w:val="nil"/>
            </w:tcBorders>
            <w:noWrap w:val="0"/>
            <w:vAlign w:val="center"/>
          </w:tcPr>
          <w:p w14:paraId="6A5C9444">
            <w:pPr>
              <w:keepNext w:val="0"/>
              <w:keepLines w:val="0"/>
              <w:pageBreakBefore w:val="0"/>
              <w:widowControl w:val="0"/>
              <w:numPr>
                <w:ilvl w:val="0"/>
                <w:numId w:val="51"/>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2225" w:type="pct"/>
            <w:tcBorders>
              <w:tl2br w:val="nil"/>
              <w:tr2bl w:val="nil"/>
            </w:tcBorders>
            <w:noWrap w:val="0"/>
            <w:vAlign w:val="center"/>
          </w:tcPr>
          <w:p w14:paraId="3F1D9710">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color w:val="000000"/>
                <w:spacing w:val="0"/>
                <w:w w:val="100"/>
                <w:position w:val="0"/>
                <w:sz w:val="21"/>
                <w:szCs w:val="21"/>
              </w:rPr>
              <w:t>现场检修车辆时，应采取可靠的安全措施。</w:t>
            </w:r>
          </w:p>
        </w:tc>
        <w:tc>
          <w:tcPr>
            <w:tcW w:w="1004" w:type="pct"/>
            <w:tcBorders>
              <w:tl2br w:val="nil"/>
              <w:tr2bl w:val="nil"/>
            </w:tcBorders>
            <w:noWrap w:val="0"/>
            <w:vAlign w:val="center"/>
          </w:tcPr>
          <w:p w14:paraId="7B52E17E">
            <w:pPr>
              <w:keepNext/>
              <w:spacing w:line="240" w:lineRule="auto"/>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《金属非金属矿山安全规程》(GB16423-2020)</w:t>
            </w:r>
          </w:p>
          <w:p w14:paraId="7175C3D8">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color w:val="000000"/>
                <w:sz w:val="21"/>
                <w:szCs w:val="21"/>
              </w:rPr>
              <w:t>第5.4.2.</w:t>
            </w:r>
            <w:r>
              <w:rPr>
                <w:rFonts w:hint="eastAsia" w:ascii="宋体" w:hAnsi="宋体" w:eastAsia="宋体" w:cs="宋体"/>
                <w:color w:val="000000"/>
                <w:sz w:val="21"/>
                <w:szCs w:val="21"/>
                <w:lang w:val="en-US" w:eastAsia="zh-CN"/>
              </w:rPr>
              <w:t>7</w:t>
            </w:r>
            <w:r>
              <w:rPr>
                <w:rFonts w:hint="eastAsia" w:ascii="宋体" w:hAnsi="宋体" w:eastAsia="宋体" w:cs="宋体"/>
                <w:color w:val="000000"/>
                <w:sz w:val="21"/>
                <w:szCs w:val="21"/>
              </w:rPr>
              <w:t>条</w:t>
            </w:r>
          </w:p>
        </w:tc>
        <w:tc>
          <w:tcPr>
            <w:tcW w:w="868" w:type="pct"/>
            <w:tcBorders>
              <w:tl2br w:val="nil"/>
              <w:tr2bl w:val="nil"/>
            </w:tcBorders>
            <w:noWrap w:val="0"/>
            <w:vAlign w:val="center"/>
          </w:tcPr>
          <w:p w14:paraId="08A122D9">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b w:val="0"/>
                <w:bCs/>
                <w:color w:val="auto"/>
                <w:spacing w:val="4"/>
                <w:kern w:val="10"/>
                <w:position w:val="2"/>
                <w:sz w:val="21"/>
                <w:szCs w:val="21"/>
                <w:shd w:val="clear" w:color="auto" w:fill="auto"/>
                <w:lang w:val="en-US" w:eastAsia="zh-CN" w:bidi="ar-SA"/>
              </w:rPr>
            </w:pPr>
            <w:r>
              <w:rPr>
                <w:rFonts w:hint="eastAsia" w:ascii="宋体" w:hAnsi="宋体" w:eastAsia="宋体" w:cs="宋体"/>
                <w:b w:val="0"/>
                <w:bCs/>
                <w:color w:val="auto"/>
                <w:spacing w:val="4"/>
                <w:kern w:val="10"/>
                <w:position w:val="2"/>
                <w:sz w:val="21"/>
                <w:szCs w:val="21"/>
                <w:shd w:val="clear" w:color="auto" w:fill="auto"/>
                <w:lang w:val="en-US" w:eastAsia="zh-CN"/>
              </w:rPr>
              <w:t>初步设计中</w:t>
            </w:r>
            <w:r>
              <w:rPr>
                <w:rFonts w:hint="eastAsia" w:ascii="宋体" w:hAnsi="宋体" w:cs="宋体"/>
                <w:b w:val="0"/>
                <w:bCs/>
                <w:color w:val="auto"/>
                <w:spacing w:val="4"/>
                <w:kern w:val="10"/>
                <w:position w:val="2"/>
                <w:sz w:val="21"/>
                <w:szCs w:val="21"/>
                <w:shd w:val="clear" w:color="auto" w:fill="auto"/>
                <w:lang w:val="en-US" w:eastAsia="zh-CN"/>
              </w:rPr>
              <w:t>未</w:t>
            </w:r>
            <w:r>
              <w:rPr>
                <w:rFonts w:hint="eastAsia" w:ascii="宋体" w:hAnsi="宋体" w:eastAsia="宋体" w:cs="宋体"/>
                <w:b w:val="0"/>
                <w:bCs/>
                <w:color w:val="auto"/>
                <w:spacing w:val="4"/>
                <w:kern w:val="10"/>
                <w:position w:val="2"/>
                <w:sz w:val="21"/>
                <w:szCs w:val="21"/>
                <w:shd w:val="clear" w:color="auto" w:fill="auto"/>
                <w:lang w:val="en-US" w:eastAsia="zh-CN"/>
              </w:rPr>
              <w:t>明确。</w:t>
            </w:r>
          </w:p>
        </w:tc>
        <w:tc>
          <w:tcPr>
            <w:tcW w:w="660" w:type="pct"/>
            <w:tcBorders>
              <w:tl2br w:val="nil"/>
              <w:tr2bl w:val="nil"/>
            </w:tcBorders>
            <w:noWrap w:val="0"/>
            <w:vAlign w:val="center"/>
          </w:tcPr>
          <w:p w14:paraId="77865DC6">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auto"/>
                <w:kern w:val="2"/>
                <w:sz w:val="21"/>
                <w:szCs w:val="21"/>
                <w:shd w:val="clear" w:color="auto" w:fill="auto"/>
                <w:lang w:val="en-US" w:eastAsia="zh-CN" w:bidi="ar-SA"/>
              </w:rPr>
            </w:pPr>
            <w:r>
              <w:rPr>
                <w:rFonts w:hint="eastAsia" w:eastAsia="宋体" w:cs="宋体"/>
                <w:caps w:val="0"/>
                <w:color w:val="auto"/>
                <w:sz w:val="21"/>
                <w:szCs w:val="21"/>
                <w:shd w:val="clear" w:color="auto" w:fill="auto"/>
                <w:lang w:val="en-US" w:eastAsia="zh-CN"/>
              </w:rPr>
              <w:t>不符合</w:t>
            </w:r>
          </w:p>
        </w:tc>
      </w:tr>
      <w:tr w14:paraId="5B6F9A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1" w:type="pct"/>
            <w:tcBorders>
              <w:tl2br w:val="nil"/>
              <w:tr2bl w:val="nil"/>
            </w:tcBorders>
            <w:noWrap w:val="0"/>
            <w:vAlign w:val="center"/>
          </w:tcPr>
          <w:p w14:paraId="7DAA1D29">
            <w:pPr>
              <w:keepNext w:val="0"/>
              <w:keepLines w:val="0"/>
              <w:pageBreakBefore w:val="0"/>
              <w:widowControl w:val="0"/>
              <w:numPr>
                <w:ilvl w:val="0"/>
                <w:numId w:val="51"/>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2225" w:type="pct"/>
            <w:tcBorders>
              <w:tl2br w:val="nil"/>
              <w:tr2bl w:val="nil"/>
            </w:tcBorders>
            <w:noWrap w:val="0"/>
            <w:vAlign w:val="center"/>
          </w:tcPr>
          <w:p w14:paraId="284F5C7B">
            <w:pPr>
              <w:keepNext/>
              <w:widowControl/>
              <w:spacing w:line="240" w:lineRule="auto"/>
              <w:ind w:firstLine="0" w:firstLineChars="0"/>
              <w:outlineLvl w:val="4"/>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0"/>
                <w:sz w:val="21"/>
                <w:szCs w:val="21"/>
              </w:rPr>
              <w:t>夜间装卸车应有良好的照明条件。</w:t>
            </w:r>
          </w:p>
        </w:tc>
        <w:tc>
          <w:tcPr>
            <w:tcW w:w="1004" w:type="pct"/>
            <w:tcBorders>
              <w:tl2br w:val="nil"/>
              <w:tr2bl w:val="nil"/>
            </w:tcBorders>
            <w:noWrap w:val="0"/>
            <w:vAlign w:val="center"/>
          </w:tcPr>
          <w:p w14:paraId="25C5D962">
            <w:pPr>
              <w:keepNext/>
              <w:spacing w:line="240" w:lineRule="auto"/>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《金属非金属矿山安全规程》(GB16423-2020)</w:t>
            </w:r>
          </w:p>
          <w:p w14:paraId="5AA7FEC1">
            <w:pPr>
              <w:keepNext/>
              <w:spacing w:line="240" w:lineRule="auto"/>
              <w:ind w:firstLine="0" w:firstLineChars="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第5.4.2.8条</w:t>
            </w:r>
          </w:p>
        </w:tc>
        <w:tc>
          <w:tcPr>
            <w:tcW w:w="868" w:type="pct"/>
            <w:tcBorders>
              <w:tl2br w:val="nil"/>
              <w:tr2bl w:val="nil"/>
            </w:tcBorders>
            <w:noWrap w:val="0"/>
            <w:vAlign w:val="center"/>
          </w:tcPr>
          <w:p w14:paraId="509CC690">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b w:val="0"/>
                <w:bCs/>
                <w:color w:val="auto"/>
                <w:spacing w:val="4"/>
                <w:kern w:val="10"/>
                <w:position w:val="2"/>
                <w:sz w:val="21"/>
                <w:szCs w:val="21"/>
                <w:shd w:val="clear" w:color="auto" w:fill="auto"/>
                <w:lang w:val="en-US" w:eastAsia="zh-CN" w:bidi="ar-SA"/>
              </w:rPr>
            </w:pPr>
            <w:r>
              <w:rPr>
                <w:rFonts w:hint="eastAsia" w:ascii="宋体" w:hAnsi="宋体" w:eastAsia="宋体" w:cs="宋体"/>
                <w:b w:val="0"/>
                <w:bCs/>
                <w:color w:val="auto"/>
                <w:spacing w:val="4"/>
                <w:kern w:val="10"/>
                <w:position w:val="2"/>
                <w:sz w:val="21"/>
                <w:szCs w:val="21"/>
                <w:shd w:val="clear" w:color="auto" w:fill="auto"/>
                <w:lang w:val="en-US" w:eastAsia="zh-CN"/>
              </w:rPr>
              <w:t>初步设计中</w:t>
            </w:r>
            <w:r>
              <w:rPr>
                <w:rFonts w:hint="eastAsia" w:ascii="宋体" w:hAnsi="宋体" w:cs="宋体"/>
                <w:b w:val="0"/>
                <w:bCs/>
                <w:color w:val="auto"/>
                <w:spacing w:val="4"/>
                <w:kern w:val="10"/>
                <w:position w:val="2"/>
                <w:sz w:val="21"/>
                <w:szCs w:val="21"/>
                <w:shd w:val="clear" w:color="auto" w:fill="auto"/>
                <w:lang w:val="en-US" w:eastAsia="zh-CN"/>
              </w:rPr>
              <w:t>未</w:t>
            </w:r>
            <w:r>
              <w:rPr>
                <w:rFonts w:hint="eastAsia" w:ascii="宋体" w:hAnsi="宋体" w:eastAsia="宋体" w:cs="宋体"/>
                <w:b w:val="0"/>
                <w:bCs/>
                <w:color w:val="auto"/>
                <w:spacing w:val="4"/>
                <w:kern w:val="10"/>
                <w:position w:val="2"/>
                <w:sz w:val="21"/>
                <w:szCs w:val="21"/>
                <w:shd w:val="clear" w:color="auto" w:fill="auto"/>
                <w:lang w:val="en-US" w:eastAsia="zh-CN"/>
              </w:rPr>
              <w:t>明确。</w:t>
            </w:r>
          </w:p>
        </w:tc>
        <w:tc>
          <w:tcPr>
            <w:tcW w:w="660" w:type="pct"/>
            <w:tcBorders>
              <w:tl2br w:val="nil"/>
              <w:tr2bl w:val="nil"/>
            </w:tcBorders>
            <w:noWrap w:val="0"/>
            <w:vAlign w:val="center"/>
          </w:tcPr>
          <w:p w14:paraId="5F5CB4CC">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auto"/>
                <w:kern w:val="2"/>
                <w:sz w:val="21"/>
                <w:szCs w:val="21"/>
                <w:shd w:val="clear" w:color="auto" w:fill="auto"/>
                <w:lang w:val="en-US" w:eastAsia="zh-CN" w:bidi="ar-SA"/>
              </w:rPr>
            </w:pPr>
            <w:r>
              <w:rPr>
                <w:rFonts w:hint="eastAsia" w:eastAsia="宋体" w:cs="宋体"/>
                <w:caps w:val="0"/>
                <w:color w:val="auto"/>
                <w:sz w:val="21"/>
                <w:szCs w:val="21"/>
                <w:shd w:val="clear" w:color="auto" w:fill="auto"/>
                <w:lang w:val="en-US" w:eastAsia="zh-CN"/>
              </w:rPr>
              <w:t>不符合</w:t>
            </w:r>
          </w:p>
        </w:tc>
      </w:tr>
      <w:tr w14:paraId="3416AD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14" w:hRule="atLeast"/>
          <w:jc w:val="center"/>
        </w:trPr>
        <w:tc>
          <w:tcPr>
            <w:tcW w:w="241" w:type="pct"/>
            <w:tcBorders>
              <w:tl2br w:val="nil"/>
              <w:tr2bl w:val="nil"/>
            </w:tcBorders>
            <w:noWrap w:val="0"/>
            <w:vAlign w:val="center"/>
          </w:tcPr>
          <w:p w14:paraId="664AE05B">
            <w:pPr>
              <w:keepNext w:val="0"/>
              <w:keepLines w:val="0"/>
              <w:pageBreakBefore w:val="0"/>
              <w:widowControl w:val="0"/>
              <w:numPr>
                <w:ilvl w:val="0"/>
                <w:numId w:val="51"/>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2225" w:type="pct"/>
            <w:tcBorders>
              <w:tl2br w:val="nil"/>
              <w:tr2bl w:val="nil"/>
            </w:tcBorders>
            <w:noWrap w:val="0"/>
            <w:vAlign w:val="center"/>
          </w:tcPr>
          <w:p w14:paraId="04AE9F08">
            <w:pPr>
              <w:keepNext/>
              <w:widowControl/>
              <w:spacing w:line="240" w:lineRule="auto"/>
              <w:ind w:firstLine="0" w:firstLineChars="0"/>
              <w:outlineLvl w:val="4"/>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雾霾或烟尘影响能见度时，应开启警示灯，靠右侧减速行驶，前后车间距应不小于30 m，视距不足30m时，应靠右停车。冰雪或多雨季节，道路湿滑时，应有防滑措施并减速行驶，前后车距应不小于40m。拖挂其他车辆时，应采取有效的安全措施，并有专人指挥。</w:t>
            </w:r>
          </w:p>
        </w:tc>
        <w:tc>
          <w:tcPr>
            <w:tcW w:w="1004" w:type="pct"/>
            <w:tcBorders>
              <w:tl2br w:val="nil"/>
              <w:tr2bl w:val="nil"/>
            </w:tcBorders>
            <w:noWrap w:val="0"/>
            <w:vAlign w:val="center"/>
          </w:tcPr>
          <w:p w14:paraId="753DB3EC">
            <w:pPr>
              <w:keepNext/>
              <w:spacing w:line="240" w:lineRule="auto"/>
              <w:ind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《金属非金属矿山安全规程》(GB16423-2020)</w:t>
            </w:r>
          </w:p>
          <w:p w14:paraId="4B2A6A25">
            <w:pPr>
              <w:keepNext/>
              <w:spacing w:line="240" w:lineRule="auto"/>
              <w:ind w:firstLine="0" w:firstLineChars="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第5.4.2.9条</w:t>
            </w:r>
          </w:p>
        </w:tc>
        <w:tc>
          <w:tcPr>
            <w:tcW w:w="868" w:type="pct"/>
            <w:tcBorders>
              <w:tl2br w:val="nil"/>
              <w:tr2bl w:val="nil"/>
            </w:tcBorders>
            <w:noWrap w:val="0"/>
            <w:vAlign w:val="center"/>
          </w:tcPr>
          <w:p w14:paraId="1D9652CD">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b w:val="0"/>
                <w:bCs/>
                <w:color w:val="auto"/>
                <w:spacing w:val="4"/>
                <w:kern w:val="10"/>
                <w:position w:val="2"/>
                <w:sz w:val="21"/>
                <w:szCs w:val="21"/>
                <w:shd w:val="clear" w:color="auto" w:fill="auto"/>
                <w:lang w:val="en-US" w:eastAsia="zh-CN" w:bidi="ar-SA"/>
              </w:rPr>
            </w:pPr>
            <w:r>
              <w:rPr>
                <w:rFonts w:hint="eastAsia" w:ascii="宋体" w:hAnsi="宋体" w:eastAsia="宋体" w:cs="宋体"/>
                <w:b w:val="0"/>
                <w:bCs/>
                <w:color w:val="auto"/>
                <w:spacing w:val="4"/>
                <w:kern w:val="10"/>
                <w:position w:val="2"/>
                <w:sz w:val="21"/>
                <w:szCs w:val="21"/>
                <w:shd w:val="clear" w:color="auto" w:fill="auto"/>
                <w:lang w:val="en-US" w:eastAsia="zh-CN"/>
              </w:rPr>
              <w:t>初步设计中</w:t>
            </w:r>
            <w:r>
              <w:rPr>
                <w:rFonts w:hint="eastAsia" w:ascii="宋体" w:hAnsi="宋体" w:cs="宋体"/>
                <w:b w:val="0"/>
                <w:bCs/>
                <w:color w:val="auto"/>
                <w:spacing w:val="4"/>
                <w:kern w:val="10"/>
                <w:position w:val="2"/>
                <w:sz w:val="21"/>
                <w:szCs w:val="21"/>
                <w:shd w:val="clear" w:color="auto" w:fill="auto"/>
                <w:lang w:val="en-US" w:eastAsia="zh-CN"/>
              </w:rPr>
              <w:t>未</w:t>
            </w:r>
            <w:r>
              <w:rPr>
                <w:rFonts w:hint="eastAsia" w:ascii="宋体" w:hAnsi="宋体" w:eastAsia="宋体" w:cs="宋体"/>
                <w:b w:val="0"/>
                <w:bCs/>
                <w:color w:val="auto"/>
                <w:spacing w:val="4"/>
                <w:kern w:val="10"/>
                <w:position w:val="2"/>
                <w:sz w:val="21"/>
                <w:szCs w:val="21"/>
                <w:shd w:val="clear" w:color="auto" w:fill="auto"/>
                <w:lang w:val="en-US" w:eastAsia="zh-CN"/>
              </w:rPr>
              <w:t>明确。</w:t>
            </w:r>
          </w:p>
        </w:tc>
        <w:tc>
          <w:tcPr>
            <w:tcW w:w="660" w:type="pct"/>
            <w:tcBorders>
              <w:tl2br w:val="nil"/>
              <w:tr2bl w:val="nil"/>
            </w:tcBorders>
            <w:noWrap w:val="0"/>
            <w:vAlign w:val="center"/>
          </w:tcPr>
          <w:p w14:paraId="3E993E8E">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auto"/>
                <w:kern w:val="2"/>
                <w:sz w:val="21"/>
                <w:szCs w:val="21"/>
                <w:shd w:val="clear" w:color="auto" w:fill="auto"/>
                <w:lang w:val="en-US" w:eastAsia="zh-CN" w:bidi="ar-SA"/>
              </w:rPr>
            </w:pPr>
            <w:r>
              <w:rPr>
                <w:rFonts w:hint="eastAsia" w:eastAsia="宋体" w:cs="宋体"/>
                <w:caps w:val="0"/>
                <w:color w:val="auto"/>
                <w:sz w:val="21"/>
                <w:szCs w:val="21"/>
                <w:shd w:val="clear" w:color="auto" w:fill="auto"/>
                <w:lang w:val="en-US" w:eastAsia="zh-CN"/>
              </w:rPr>
              <w:t>不符合</w:t>
            </w:r>
          </w:p>
        </w:tc>
      </w:tr>
      <w:tr w14:paraId="21CEA8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1" w:type="pct"/>
            <w:tcBorders>
              <w:tl2br w:val="nil"/>
              <w:tr2bl w:val="nil"/>
            </w:tcBorders>
            <w:noWrap w:val="0"/>
            <w:vAlign w:val="center"/>
          </w:tcPr>
          <w:p w14:paraId="27F8B635">
            <w:pPr>
              <w:keepNext w:val="0"/>
              <w:keepLines w:val="0"/>
              <w:pageBreakBefore w:val="0"/>
              <w:widowControl w:val="0"/>
              <w:numPr>
                <w:ilvl w:val="0"/>
                <w:numId w:val="51"/>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2225" w:type="pct"/>
            <w:tcBorders>
              <w:tl2br w:val="nil"/>
              <w:tr2bl w:val="nil"/>
            </w:tcBorders>
            <w:noWrap w:val="0"/>
            <w:vAlign w:val="center"/>
          </w:tcPr>
          <w:p w14:paraId="7BCC27D1">
            <w:pPr>
              <w:keepNext/>
              <w:widowControl/>
              <w:spacing w:line="240" w:lineRule="auto"/>
              <w:ind w:firstLine="0" w:firstLineChars="0"/>
              <w:outlineLvl w:val="4"/>
              <w:rPr>
                <w:rFonts w:hint="eastAsia" w:ascii="宋体" w:hAnsi="宋体" w:eastAsia="宋体" w:cs="宋体"/>
                <w:color w:val="auto"/>
                <w:sz w:val="21"/>
                <w:szCs w:val="21"/>
              </w:rPr>
            </w:pPr>
            <w:r>
              <w:rPr>
                <w:rFonts w:hint="eastAsia" w:ascii="宋体" w:hAnsi="宋体" w:eastAsia="宋体" w:cs="宋体"/>
                <w:color w:val="auto"/>
                <w:sz w:val="21"/>
                <w:szCs w:val="21"/>
              </w:rPr>
              <w:t>露天矿山道路宜划分为生产干线、生产支线，联络线和辅助线。</w:t>
            </w:r>
          </w:p>
          <w:p w14:paraId="5E551892">
            <w:pPr>
              <w:keepNext/>
              <w:widowControl/>
              <w:spacing w:line="240" w:lineRule="auto"/>
              <w:ind w:firstLine="0" w:firstLineChars="0"/>
              <w:outlineLvl w:val="4"/>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w:t>
            </w:r>
            <w:r>
              <w:rPr>
                <w:rFonts w:hint="eastAsia" w:ascii="宋体" w:hAnsi="宋体" w:cs="宋体"/>
                <w:color w:val="auto"/>
                <w:sz w:val="21"/>
                <w:szCs w:val="21"/>
                <w:lang w:val="en-US" w:eastAsia="zh-CN"/>
              </w:rPr>
              <w:t>）</w:t>
            </w:r>
            <w:r>
              <w:rPr>
                <w:rFonts w:hint="eastAsia" w:ascii="宋体" w:hAnsi="宋体" w:eastAsia="宋体" w:cs="宋体"/>
                <w:color w:val="auto"/>
                <w:sz w:val="21"/>
                <w:szCs w:val="21"/>
              </w:rPr>
              <w:t>生产干线为采矿场各开采台阶通往卸矿点或废石场的共用道路。</w:t>
            </w:r>
          </w:p>
          <w:p w14:paraId="4422FD89">
            <w:pPr>
              <w:keepNext/>
              <w:widowControl/>
              <w:spacing w:line="240" w:lineRule="auto"/>
              <w:ind w:firstLine="0" w:firstLineChars="0"/>
              <w:outlineLvl w:val="4"/>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w:t>
            </w:r>
            <w:r>
              <w:rPr>
                <w:rFonts w:hint="eastAsia" w:ascii="宋体" w:hAnsi="宋体" w:cs="宋体"/>
                <w:color w:val="auto"/>
                <w:sz w:val="21"/>
                <w:szCs w:val="21"/>
                <w:lang w:val="en-US" w:eastAsia="zh-CN"/>
              </w:rPr>
              <w:t>）</w:t>
            </w:r>
            <w:r>
              <w:rPr>
                <w:rFonts w:hint="eastAsia" w:ascii="宋体" w:hAnsi="宋体" w:eastAsia="宋体" w:cs="宋体"/>
                <w:color w:val="auto"/>
                <w:sz w:val="21"/>
                <w:szCs w:val="21"/>
              </w:rPr>
              <w:t>生产支线为开采台阶或废石场与生产</w:t>
            </w:r>
            <w:r>
              <w:rPr>
                <w:rFonts w:hint="eastAsia" w:ascii="宋体" w:hAnsi="宋体" w:cs="宋体"/>
                <w:color w:val="auto"/>
                <w:sz w:val="21"/>
                <w:szCs w:val="21"/>
                <w:lang w:eastAsia="zh-CN"/>
              </w:rPr>
              <w:t>支线</w:t>
            </w:r>
            <w:r>
              <w:rPr>
                <w:rFonts w:hint="eastAsia" w:ascii="宋体" w:hAnsi="宋体" w:eastAsia="宋体" w:cs="宋体"/>
                <w:color w:val="auto"/>
                <w:sz w:val="21"/>
                <w:szCs w:val="21"/>
              </w:rPr>
              <w:t>相连接的道路；或一个开采台阶直接到卸矿点或废石场的道路。</w:t>
            </w:r>
          </w:p>
          <w:p w14:paraId="43B862C5">
            <w:pPr>
              <w:keepNext/>
              <w:widowControl/>
              <w:spacing w:line="240" w:lineRule="auto"/>
              <w:ind w:firstLine="0" w:firstLineChars="0"/>
              <w:outlineLvl w:val="4"/>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3</w:t>
            </w:r>
            <w:r>
              <w:rPr>
                <w:rFonts w:hint="eastAsia" w:ascii="宋体" w:hAnsi="宋体" w:cs="宋体"/>
                <w:color w:val="auto"/>
                <w:sz w:val="21"/>
                <w:szCs w:val="21"/>
                <w:lang w:val="en-US" w:eastAsia="zh-CN"/>
              </w:rPr>
              <w:t>）</w:t>
            </w:r>
            <w:r>
              <w:rPr>
                <w:rFonts w:hint="eastAsia" w:ascii="宋体" w:hAnsi="宋体" w:eastAsia="宋体" w:cs="宋体"/>
                <w:color w:val="auto"/>
                <w:sz w:val="21"/>
                <w:szCs w:val="21"/>
              </w:rPr>
              <w:t>联络线为经常行驶露天矿生产所用</w:t>
            </w:r>
            <w:r>
              <w:rPr>
                <w:rFonts w:hint="eastAsia" w:ascii="宋体" w:hAnsi="宋体" w:cs="宋体"/>
                <w:color w:val="auto"/>
                <w:sz w:val="21"/>
                <w:szCs w:val="21"/>
                <w:lang w:eastAsia="zh-CN"/>
              </w:rPr>
              <w:t>矿用自卸汽车的其他</w:t>
            </w:r>
            <w:r>
              <w:rPr>
                <w:rFonts w:hint="eastAsia" w:ascii="宋体" w:hAnsi="宋体" w:eastAsia="宋体" w:cs="宋体"/>
                <w:color w:val="auto"/>
                <w:sz w:val="21"/>
                <w:szCs w:val="21"/>
              </w:rPr>
              <w:t>道路。</w:t>
            </w:r>
          </w:p>
          <w:p w14:paraId="7F073EA6">
            <w:pPr>
              <w:keepNext/>
              <w:widowControl/>
              <w:spacing w:line="240" w:lineRule="auto"/>
              <w:ind w:firstLine="0" w:firstLineChars="0"/>
              <w:outlineLvl w:val="4"/>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4</w:t>
            </w:r>
            <w:r>
              <w:rPr>
                <w:rFonts w:hint="eastAsia" w:ascii="宋体" w:hAnsi="宋体" w:cs="宋体"/>
                <w:color w:val="auto"/>
                <w:sz w:val="21"/>
                <w:szCs w:val="21"/>
                <w:lang w:val="en-US" w:eastAsia="zh-CN"/>
              </w:rPr>
              <w:t>）</w:t>
            </w:r>
            <w:r>
              <w:rPr>
                <w:rFonts w:hint="eastAsia" w:ascii="宋体" w:hAnsi="宋体" w:eastAsia="宋体" w:cs="宋体"/>
                <w:color w:val="auto"/>
                <w:sz w:val="21"/>
                <w:szCs w:val="21"/>
              </w:rPr>
              <w:t>辅助线为通往矿区范围内的附属厂（车间）和各种辅助设施行驶各类汽车的道路。</w:t>
            </w:r>
          </w:p>
        </w:tc>
        <w:tc>
          <w:tcPr>
            <w:tcW w:w="1004" w:type="pct"/>
            <w:tcBorders>
              <w:tl2br w:val="nil"/>
              <w:tr2bl w:val="nil"/>
            </w:tcBorders>
            <w:noWrap w:val="0"/>
            <w:vAlign w:val="center"/>
          </w:tcPr>
          <w:p w14:paraId="7F00B154">
            <w:pPr>
              <w:keepNext/>
              <w:spacing w:line="240" w:lineRule="auto"/>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《厂矿道路设计规范》</w:t>
            </w:r>
          </w:p>
          <w:p w14:paraId="38AA334E">
            <w:pPr>
              <w:keepNext/>
              <w:spacing w:line="240" w:lineRule="auto"/>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（GBJ22-87）</w:t>
            </w:r>
          </w:p>
          <w:p w14:paraId="341D19BE">
            <w:pPr>
              <w:keepNext/>
              <w:spacing w:line="240" w:lineRule="auto"/>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第2</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4</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1条</w:t>
            </w:r>
          </w:p>
        </w:tc>
        <w:tc>
          <w:tcPr>
            <w:tcW w:w="868" w:type="pct"/>
            <w:tcBorders>
              <w:tl2br w:val="nil"/>
              <w:tr2bl w:val="nil"/>
            </w:tcBorders>
            <w:noWrap w:val="0"/>
            <w:vAlign w:val="center"/>
          </w:tcPr>
          <w:p w14:paraId="426B8940">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default" w:ascii="宋体" w:hAnsi="宋体" w:eastAsia="宋体" w:cs="宋体"/>
                <w:b w:val="0"/>
                <w:bCs/>
                <w:color w:val="auto"/>
                <w:spacing w:val="4"/>
                <w:kern w:val="10"/>
                <w:position w:val="2"/>
                <w:sz w:val="21"/>
                <w:szCs w:val="21"/>
                <w:lang w:val="en-US" w:eastAsia="zh-CN"/>
              </w:rPr>
            </w:pPr>
            <w:r>
              <w:rPr>
                <w:rFonts w:hint="eastAsia" w:ascii="宋体" w:hAnsi="宋体" w:eastAsia="宋体" w:cs="宋体"/>
                <w:b w:val="0"/>
                <w:bCs/>
                <w:color w:val="auto"/>
                <w:spacing w:val="4"/>
                <w:kern w:val="10"/>
                <w:position w:val="2"/>
                <w:sz w:val="21"/>
                <w:szCs w:val="21"/>
                <w:lang w:val="en-US" w:eastAsia="zh-CN"/>
              </w:rPr>
              <w:t>设计中已</w:t>
            </w:r>
            <w:r>
              <w:rPr>
                <w:rFonts w:hint="eastAsia" w:ascii="宋体" w:hAnsi="宋体" w:cs="宋体"/>
                <w:b w:val="0"/>
                <w:bCs/>
                <w:color w:val="auto"/>
                <w:spacing w:val="4"/>
                <w:kern w:val="10"/>
                <w:position w:val="2"/>
                <w:sz w:val="21"/>
                <w:szCs w:val="21"/>
                <w:lang w:val="en-US" w:eastAsia="zh-CN"/>
              </w:rPr>
              <w:t>作说明</w:t>
            </w:r>
            <w:r>
              <w:rPr>
                <w:rFonts w:hint="eastAsia" w:ascii="宋体" w:hAnsi="宋体" w:eastAsia="宋体" w:cs="宋体"/>
                <w:b w:val="0"/>
                <w:bCs/>
                <w:color w:val="auto"/>
                <w:spacing w:val="4"/>
                <w:kern w:val="10"/>
                <w:position w:val="2"/>
                <w:sz w:val="21"/>
                <w:szCs w:val="21"/>
                <w:lang w:val="en-US" w:eastAsia="zh-CN"/>
              </w:rPr>
              <w:t>。</w:t>
            </w:r>
          </w:p>
        </w:tc>
        <w:tc>
          <w:tcPr>
            <w:tcW w:w="660" w:type="pct"/>
            <w:tcBorders>
              <w:tl2br w:val="nil"/>
              <w:tr2bl w:val="nil"/>
            </w:tcBorders>
            <w:noWrap w:val="0"/>
            <w:vAlign w:val="center"/>
          </w:tcPr>
          <w:p w14:paraId="253D3100">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符合</w:t>
            </w:r>
          </w:p>
        </w:tc>
      </w:tr>
      <w:tr w14:paraId="0CB3B0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1" w:type="pct"/>
            <w:tcBorders>
              <w:tl2br w:val="nil"/>
              <w:tr2bl w:val="nil"/>
            </w:tcBorders>
            <w:noWrap w:val="0"/>
            <w:vAlign w:val="center"/>
          </w:tcPr>
          <w:p w14:paraId="740E3CD3">
            <w:pPr>
              <w:keepNext w:val="0"/>
              <w:keepLines w:val="0"/>
              <w:pageBreakBefore w:val="0"/>
              <w:widowControl w:val="0"/>
              <w:numPr>
                <w:ilvl w:val="0"/>
                <w:numId w:val="51"/>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2225" w:type="pct"/>
            <w:tcBorders>
              <w:tl2br w:val="nil"/>
              <w:tr2bl w:val="nil"/>
            </w:tcBorders>
            <w:noWrap w:val="0"/>
            <w:vAlign w:val="center"/>
          </w:tcPr>
          <w:p w14:paraId="38DBF769">
            <w:pPr>
              <w:keepNext/>
              <w:widowControl/>
              <w:spacing w:line="240" w:lineRule="auto"/>
              <w:ind w:firstLine="0" w:firstLineChars="0"/>
              <w:outlineLvl w:val="4"/>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露天矿山道路等级的采用，宜符合下列规定：汽车的小时单向交通量在25（15）辆以下的生产干线、支线和联络线、辅助线，可采用三级露天矿山道路。</w:t>
            </w:r>
          </w:p>
        </w:tc>
        <w:tc>
          <w:tcPr>
            <w:tcW w:w="1004" w:type="pct"/>
            <w:tcBorders>
              <w:tl2br w:val="nil"/>
              <w:tr2bl w:val="nil"/>
            </w:tcBorders>
            <w:noWrap w:val="0"/>
            <w:vAlign w:val="center"/>
          </w:tcPr>
          <w:p w14:paraId="1A4F576C">
            <w:pPr>
              <w:keepNext/>
              <w:spacing w:line="240" w:lineRule="auto"/>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《厂矿道路设计规范》</w:t>
            </w:r>
          </w:p>
          <w:p w14:paraId="756B3EBB">
            <w:pPr>
              <w:keepNext/>
              <w:spacing w:line="240" w:lineRule="auto"/>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（GBJ22-87）</w:t>
            </w:r>
          </w:p>
          <w:p w14:paraId="1630A613">
            <w:pPr>
              <w:keepNext/>
              <w:spacing w:line="240" w:lineRule="auto"/>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第2</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4</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条</w:t>
            </w:r>
          </w:p>
        </w:tc>
        <w:tc>
          <w:tcPr>
            <w:tcW w:w="868" w:type="pct"/>
            <w:tcBorders>
              <w:tl2br w:val="nil"/>
              <w:tr2bl w:val="nil"/>
            </w:tcBorders>
            <w:noWrap w:val="0"/>
            <w:vAlign w:val="center"/>
          </w:tcPr>
          <w:p w14:paraId="51559734">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default" w:ascii="宋体" w:hAnsi="宋体" w:eastAsia="宋体" w:cs="宋体"/>
                <w:b w:val="0"/>
                <w:bCs/>
                <w:color w:val="auto"/>
                <w:spacing w:val="4"/>
                <w:kern w:val="10"/>
                <w:position w:val="2"/>
                <w:sz w:val="21"/>
                <w:szCs w:val="21"/>
                <w:lang w:val="en-US" w:eastAsia="zh-CN"/>
              </w:rPr>
            </w:pPr>
            <w:r>
              <w:rPr>
                <w:rFonts w:hint="eastAsia" w:ascii="宋体" w:hAnsi="宋体" w:eastAsia="宋体" w:cs="宋体"/>
                <w:b w:val="0"/>
                <w:bCs/>
                <w:color w:val="auto"/>
                <w:spacing w:val="4"/>
                <w:kern w:val="10"/>
                <w:position w:val="2"/>
                <w:sz w:val="21"/>
                <w:szCs w:val="21"/>
                <w:lang w:val="en-US" w:eastAsia="zh-CN"/>
              </w:rPr>
              <w:t>该项目运矿道路设计</w:t>
            </w:r>
            <w:r>
              <w:rPr>
                <w:rFonts w:hint="eastAsia" w:ascii="宋体" w:hAnsi="宋体" w:eastAsia="宋体" w:cs="宋体"/>
                <w:color w:val="auto"/>
                <w:sz w:val="21"/>
                <w:szCs w:val="21"/>
                <w:lang w:val="en-US" w:eastAsia="zh-CN"/>
              </w:rPr>
              <w:t>采用三级露天矿山道路。</w:t>
            </w:r>
          </w:p>
        </w:tc>
        <w:tc>
          <w:tcPr>
            <w:tcW w:w="660" w:type="pct"/>
            <w:tcBorders>
              <w:tl2br w:val="nil"/>
              <w:tr2bl w:val="nil"/>
            </w:tcBorders>
            <w:noWrap w:val="0"/>
            <w:vAlign w:val="center"/>
          </w:tcPr>
          <w:p w14:paraId="0A591C17">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default"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符合</w:t>
            </w:r>
          </w:p>
        </w:tc>
      </w:tr>
    </w:tbl>
    <w:p w14:paraId="072D63C8">
      <w:pPr>
        <w:pStyle w:val="4"/>
        <w:bidi w:val="0"/>
      </w:pPr>
      <w:bookmarkStart w:id="183" w:name="_Toc8123"/>
      <w:r>
        <w:rPr>
          <w:rFonts w:hint="eastAsia"/>
        </w:rPr>
        <w:t>《</w:t>
      </w:r>
      <w:r>
        <w:rPr>
          <w:rFonts w:hint="eastAsia"/>
          <w:lang w:eastAsia="zh-CN"/>
        </w:rPr>
        <w:t>初步设计</w:t>
      </w:r>
      <w:r>
        <w:rPr>
          <w:rFonts w:hint="eastAsia"/>
        </w:rPr>
        <w:t>》评述</w:t>
      </w:r>
      <w:bookmarkEnd w:id="183"/>
    </w:p>
    <w:p w14:paraId="0E767C73">
      <w:pPr>
        <w:bidi w:val="0"/>
        <w:rPr>
          <w:rFonts w:hint="eastAsia"/>
          <w:lang w:eastAsia="zh-CN"/>
        </w:rPr>
      </w:pPr>
      <w:r>
        <w:rPr>
          <w:rFonts w:hint="eastAsia"/>
        </w:rPr>
        <w:t>设计采用</w:t>
      </w:r>
      <w:r>
        <w:rPr>
          <w:rFonts w:hint="eastAsia"/>
          <w:lang w:eastAsia="zh-CN"/>
        </w:rPr>
        <w:t>公路开拓，矿用自卸汽车运输方案。</w:t>
      </w:r>
    </w:p>
    <w:p w14:paraId="7C4273DC">
      <w:pPr>
        <w:bidi w:val="0"/>
        <w:rPr>
          <w:rFonts w:hint="eastAsia"/>
          <w:lang w:eastAsia="zh-CN"/>
        </w:rPr>
      </w:pPr>
      <w:r>
        <w:rPr>
          <w:rFonts w:hint="eastAsia" w:ascii="宋体" w:hAnsi="宋体" w:eastAsia="宋体" w:cs="宋体"/>
        </w:rPr>
        <w:t>为满足</w:t>
      </w:r>
      <w:r>
        <w:rPr>
          <w:rFonts w:hint="eastAsia" w:ascii="宋体" w:hAnsi="宋体" w:cs="宋体"/>
          <w:color w:val="auto"/>
          <w:sz w:val="28"/>
          <w:szCs w:val="28"/>
        </w:rPr>
        <w:t>矿山开采要求</w:t>
      </w:r>
      <w:r>
        <w:rPr>
          <w:rFonts w:hint="eastAsia" w:ascii="宋体" w:hAnsi="宋体" w:eastAsia="宋体" w:cs="宋体"/>
        </w:rPr>
        <w:t>，</w:t>
      </w:r>
      <w:r>
        <w:rPr>
          <w:rFonts w:hint="eastAsia" w:ascii="宋体" w:hAnsi="宋体" w:cs="宋体"/>
          <w:color w:val="auto"/>
          <w:sz w:val="28"/>
          <w:szCs w:val="28"/>
        </w:rPr>
        <w:t>新建矿山公路</w:t>
      </w:r>
      <w:r>
        <w:rPr>
          <w:rFonts w:hint="eastAsia" w:ascii="宋体" w:hAnsi="宋体" w:cs="宋体"/>
          <w:color w:val="auto"/>
          <w:sz w:val="28"/>
          <w:szCs w:val="28"/>
          <w:lang w:val="en-US" w:eastAsia="zh-CN"/>
        </w:rPr>
        <w:t>1074.77</w:t>
      </w:r>
      <w:r>
        <w:rPr>
          <w:rFonts w:hint="eastAsia" w:ascii="宋体" w:hAnsi="宋体" w:cs="宋体"/>
          <w:color w:val="auto"/>
          <w:sz w:val="28"/>
          <w:szCs w:val="28"/>
        </w:rPr>
        <w:t>m，公路按露天矿山三级道路标准设计，泥结碎石路面，单车道，路基宽6m，路面宽4.5m，道路最大纵坡度9%，最小转弯半径15m，面层厚0.35m。公路靠山坡一侧修筑排水沟，排水沟断面为顶宽0.5m，底宽0.3m，深0.3m</w:t>
      </w:r>
      <w:r>
        <w:rPr>
          <w:rFonts w:hint="eastAsia" w:ascii="宋体" w:hAnsi="宋体" w:eastAsia="宋体" w:cs="宋体"/>
        </w:rPr>
        <w:t>。</w:t>
      </w:r>
      <w:r>
        <w:rPr>
          <w:rFonts w:hint="eastAsia" w:ascii="宋体" w:hAnsi="宋体" w:cs="宋体"/>
          <w:color w:val="auto"/>
          <w:sz w:val="28"/>
          <w:szCs w:val="28"/>
        </w:rPr>
        <w:t>行车密度小于20辆/小时，设计行车速度15</w:t>
      </w:r>
      <w:r>
        <w:rPr>
          <w:rFonts w:hint="eastAsia" w:ascii="宋体" w:hAnsi="宋体" w:cs="宋体"/>
          <w:color w:val="auto"/>
          <w:sz w:val="28"/>
          <w:szCs w:val="28"/>
          <w:lang w:eastAsia="zh-CN"/>
        </w:rPr>
        <w:t>km</w:t>
      </w:r>
      <w:r>
        <w:rPr>
          <w:rFonts w:hint="eastAsia" w:ascii="宋体" w:hAnsi="宋体" w:cs="宋体"/>
          <w:color w:val="auto"/>
          <w:sz w:val="28"/>
          <w:szCs w:val="28"/>
        </w:rPr>
        <w:t>/h。</w:t>
      </w:r>
    </w:p>
    <w:p w14:paraId="1D758486">
      <w:pPr>
        <w:bidi w:val="0"/>
        <w:rPr>
          <w:rFonts w:hint="eastAsia"/>
          <w:lang w:val="en-US" w:eastAsia="zh-CN"/>
        </w:rPr>
      </w:pPr>
      <w:r>
        <w:rPr>
          <w:rFonts w:hint="eastAsia"/>
          <w:lang w:val="en-US" w:eastAsia="zh-CN"/>
        </w:rPr>
        <w:t>《初步设计》对矿山公路的道路等级、平面要素、纵断面、通过能力、路基和运矿公路及运输设备等进行了设计。</w:t>
      </w:r>
    </w:p>
    <w:p w14:paraId="04614878">
      <w:pPr>
        <w:bidi w:val="0"/>
        <w:rPr>
          <w:rFonts w:hint="eastAsia" w:ascii="Times New Roman" w:hAnsi="Times New Roman" w:cs="Times New Roman"/>
          <w:lang w:val="en-US" w:eastAsia="zh-CN"/>
        </w:rPr>
      </w:pPr>
      <w:r>
        <w:rPr>
          <w:rFonts w:hint="eastAsia" w:ascii="Times New Roman" w:hAnsi="Times New Roman" w:cs="Times New Roman"/>
          <w:lang w:val="en-US" w:eastAsia="zh-CN"/>
        </w:rPr>
        <w:t>《初步设计》未明确公路运输道路安全措施、安全管理规定、警示标志设置等方面的内容，下一步安全设施设计中应做详细设计说明。</w:t>
      </w:r>
    </w:p>
    <w:p w14:paraId="66BF7C30">
      <w:pPr>
        <w:bidi w:val="0"/>
        <w:rPr>
          <w:rFonts w:hint="default"/>
          <w:lang w:val="en-US" w:eastAsia="zh-CN"/>
        </w:rPr>
      </w:pPr>
      <w:r>
        <w:rPr>
          <w:rFonts w:hint="eastAsia" w:ascii="Times New Roman" w:hAnsi="Times New Roman" w:cs="Times New Roman"/>
          <w:lang w:val="en-US" w:eastAsia="zh-CN"/>
        </w:rPr>
        <w:t>《初步设计》未明确动力油（柴油）的运输、储存和安全措施，下一</w:t>
      </w:r>
      <w:r>
        <w:rPr>
          <w:rFonts w:hint="eastAsia"/>
          <w:lang w:val="en-US" w:eastAsia="zh-CN"/>
        </w:rPr>
        <w:t>步安全设施设计中应做详细设计说明。</w:t>
      </w:r>
    </w:p>
    <w:p w14:paraId="71870912">
      <w:pPr>
        <w:pStyle w:val="4"/>
        <w:bidi w:val="0"/>
      </w:pPr>
      <w:bookmarkStart w:id="184" w:name="_Toc32148"/>
      <w:r>
        <w:rPr>
          <w:rFonts w:hint="eastAsia"/>
        </w:rPr>
        <w:t>单元小结</w:t>
      </w:r>
      <w:bookmarkEnd w:id="184"/>
    </w:p>
    <w:p w14:paraId="353D3153">
      <w:pPr>
        <w:bidi w:val="0"/>
        <w:rPr>
          <w:rFonts w:hint="eastAsia" w:ascii="宋体" w:hAnsi="宋体" w:eastAsia="宋体" w:cs="宋体"/>
        </w:rPr>
      </w:pPr>
      <w:r>
        <w:rPr>
          <w:rFonts w:hint="eastAsia" w:ascii="宋体" w:hAnsi="宋体" w:eastAsia="宋体" w:cs="宋体"/>
        </w:rPr>
        <w:t>依据本项目</w:t>
      </w:r>
      <w:r>
        <w:rPr>
          <w:rFonts w:hint="eastAsia" w:ascii="宋体" w:hAnsi="宋体" w:eastAsia="宋体" w:cs="宋体"/>
          <w:lang w:eastAsia="zh-CN"/>
        </w:rPr>
        <w:t>《初步设计》</w:t>
      </w:r>
      <w:r>
        <w:rPr>
          <w:rFonts w:hint="eastAsia" w:ascii="宋体" w:hAnsi="宋体" w:eastAsia="宋体" w:cs="宋体"/>
        </w:rPr>
        <w:t>进行检查评价，开拓</w:t>
      </w:r>
      <w:r>
        <w:rPr>
          <w:rFonts w:hint="eastAsia" w:ascii="宋体" w:hAnsi="宋体" w:eastAsia="宋体" w:cs="宋体"/>
          <w:lang w:val="en-US" w:eastAsia="zh-CN"/>
        </w:rPr>
        <w:t>运输</w:t>
      </w:r>
      <w:r>
        <w:rPr>
          <w:rFonts w:hint="eastAsia" w:ascii="宋体" w:hAnsi="宋体" w:eastAsia="宋体" w:cs="宋体"/>
        </w:rPr>
        <w:t>单元</w:t>
      </w:r>
      <w:r>
        <w:rPr>
          <w:rFonts w:hint="eastAsia" w:ascii="宋体" w:hAnsi="宋体" w:eastAsia="宋体" w:cs="宋体"/>
          <w:lang w:val="en-US" w:eastAsia="zh-CN"/>
        </w:rPr>
        <w:t>对公路运输安全管理措施、警示标志等方面的内容</w:t>
      </w:r>
      <w:r>
        <w:rPr>
          <w:rFonts w:hint="eastAsia" w:ascii="宋体" w:hAnsi="宋体" w:eastAsia="宋体" w:cs="宋体"/>
          <w:lang w:val="en-US"/>
        </w:rPr>
        <w:t>未进行详细设计说明，不符合</w:t>
      </w:r>
      <w:r>
        <w:rPr>
          <w:rFonts w:hint="eastAsia" w:ascii="宋体" w:hAnsi="宋体" w:eastAsia="宋体" w:cs="宋体"/>
        </w:rPr>
        <w:t>《金属非金属矿山安全规程》</w:t>
      </w:r>
      <w:r>
        <w:rPr>
          <w:rFonts w:hint="eastAsia" w:ascii="宋体" w:hAnsi="宋体" w:cs="宋体"/>
          <w:lang w:eastAsia="zh-CN"/>
        </w:rPr>
        <w:t>（</w:t>
      </w:r>
      <w:r>
        <w:rPr>
          <w:rFonts w:hint="eastAsia" w:ascii="宋体" w:hAnsi="宋体" w:eastAsia="宋体" w:cs="宋体"/>
        </w:rPr>
        <w:t>GB16423-2020</w:t>
      </w:r>
      <w:r>
        <w:rPr>
          <w:rFonts w:hint="eastAsia" w:ascii="宋体" w:hAnsi="宋体" w:cs="宋体"/>
          <w:lang w:eastAsia="zh-CN"/>
        </w:rPr>
        <w:t>）</w:t>
      </w:r>
      <w:r>
        <w:rPr>
          <w:rFonts w:hint="eastAsia" w:ascii="宋体" w:hAnsi="宋体" w:eastAsia="宋体" w:cs="宋体"/>
          <w:lang w:val="en-US"/>
        </w:rPr>
        <w:t>相关规定。</w:t>
      </w:r>
    </w:p>
    <w:p w14:paraId="2B5449A7">
      <w:pPr>
        <w:pStyle w:val="3"/>
        <w:bidi w:val="0"/>
      </w:pPr>
      <w:bookmarkStart w:id="185" w:name="_Toc3421"/>
      <w:r>
        <w:rPr>
          <w:rFonts w:hint="eastAsia"/>
        </w:rPr>
        <w:t>采剥单元</w:t>
      </w:r>
      <w:bookmarkEnd w:id="185"/>
    </w:p>
    <w:p w14:paraId="7F20FD1C">
      <w:pPr>
        <w:pStyle w:val="4"/>
        <w:bidi w:val="0"/>
      </w:pPr>
      <w:bookmarkStart w:id="186" w:name="_Toc22195"/>
      <w:r>
        <w:rPr>
          <w:rFonts w:hint="eastAsia"/>
        </w:rPr>
        <w:t>危险有害因数辨识与分析</w:t>
      </w:r>
      <w:bookmarkEnd w:id="186"/>
    </w:p>
    <w:p w14:paraId="383E7442">
      <w:pPr>
        <w:pStyle w:val="14"/>
        <w:bidi w:val="0"/>
      </w:pPr>
      <w:r>
        <w:rPr>
          <w:rFonts w:hint="eastAsia"/>
        </w:rPr>
        <w:t>根据本项目的采剥方案，结合露天采场的开采特性分析，存在的主要危险有害因素为采场边坡</w:t>
      </w:r>
      <w:r>
        <w:rPr>
          <w:rFonts w:hint="eastAsia"/>
          <w:lang w:val="en-US" w:eastAsia="zh-CN"/>
        </w:rPr>
        <w:t>失稳（</w:t>
      </w:r>
      <w:r>
        <w:rPr>
          <w:rFonts w:hint="eastAsia"/>
          <w:lang w:eastAsia="zh-CN"/>
        </w:rPr>
        <w:t>坍塌、</w:t>
      </w:r>
      <w:r>
        <w:rPr>
          <w:rFonts w:hint="eastAsia"/>
        </w:rPr>
        <w:t>滑坡、泥石流</w:t>
      </w:r>
      <w:r>
        <w:rPr>
          <w:rFonts w:hint="eastAsia"/>
          <w:lang w:eastAsia="zh-CN"/>
        </w:rPr>
        <w:t>）</w:t>
      </w:r>
      <w:r>
        <w:rPr>
          <w:rFonts w:hint="eastAsia"/>
        </w:rPr>
        <w:t>、物体打击、车辆伤害、高处坠落。</w:t>
      </w:r>
    </w:p>
    <w:p w14:paraId="12DB044E">
      <w:pPr>
        <w:pStyle w:val="14"/>
        <w:numPr>
          <w:ilvl w:val="0"/>
          <w:numId w:val="52"/>
        </w:numPr>
        <w:bidi w:val="0"/>
        <w:ind w:left="0" w:leftChars="0" w:firstLine="560" w:firstLineChars="200"/>
      </w:pPr>
      <w:r>
        <w:rPr>
          <w:rFonts w:hint="eastAsia"/>
        </w:rPr>
        <w:t>边坡</w:t>
      </w:r>
      <w:r>
        <w:rPr>
          <w:rFonts w:hint="eastAsia"/>
          <w:lang w:val="en-US" w:eastAsia="zh-CN"/>
        </w:rPr>
        <w:t>失稳（</w:t>
      </w:r>
      <w:r>
        <w:rPr>
          <w:rFonts w:hint="eastAsia"/>
          <w:lang w:eastAsia="zh-CN"/>
        </w:rPr>
        <w:t>坍塌、</w:t>
      </w:r>
      <w:r>
        <w:rPr>
          <w:rFonts w:hint="eastAsia"/>
        </w:rPr>
        <w:t>滑坡、泥石流</w:t>
      </w:r>
      <w:r>
        <w:rPr>
          <w:rFonts w:hint="eastAsia"/>
          <w:lang w:eastAsia="zh-CN"/>
        </w:rPr>
        <w:t>）</w:t>
      </w:r>
    </w:p>
    <w:p w14:paraId="764404D9">
      <w:pPr>
        <w:pStyle w:val="14"/>
        <w:bidi w:val="0"/>
      </w:pPr>
      <w:r>
        <w:rPr>
          <w:rFonts w:hint="eastAsia"/>
        </w:rPr>
        <w:t>边坡参数不合理：剥离未超前或剥离边坡角大、台阶过高，坡面角不符合设计，工作平台宽度窄；局部掏采</w:t>
      </w:r>
      <w:r>
        <w:rPr>
          <w:rFonts w:hint="eastAsia"/>
          <w:lang w:val="en-US" w:eastAsia="zh-CN"/>
        </w:rPr>
        <w:t>等</w:t>
      </w:r>
      <w:r>
        <w:rPr>
          <w:rFonts w:hint="eastAsia"/>
        </w:rPr>
        <w:t>。</w:t>
      </w:r>
    </w:p>
    <w:p w14:paraId="158C2541">
      <w:pPr>
        <w:pStyle w:val="14"/>
        <w:numPr>
          <w:ilvl w:val="0"/>
          <w:numId w:val="52"/>
        </w:numPr>
        <w:bidi w:val="0"/>
        <w:ind w:left="0" w:leftChars="0" w:firstLine="560" w:firstLineChars="200"/>
        <w:rPr>
          <w:rFonts w:hint="eastAsia" w:ascii="Times New Roman" w:hAnsi="Times New Roman" w:eastAsia="宋体"/>
        </w:rPr>
      </w:pPr>
      <w:r>
        <w:rPr>
          <w:rFonts w:hint="eastAsia" w:ascii="Times New Roman" w:hAnsi="Times New Roman" w:eastAsia="宋体"/>
        </w:rPr>
        <w:t>车辆伤害</w:t>
      </w:r>
    </w:p>
    <w:p w14:paraId="742073AE">
      <w:pPr>
        <w:pStyle w:val="14"/>
        <w:bidi w:val="0"/>
      </w:pPr>
      <w:r>
        <w:rPr>
          <w:rFonts w:hint="eastAsia"/>
        </w:rPr>
        <w:t>采装设备与运输设备的安全距离不足，人员违规在挖掘机、装载机铲斗、机械的活动范围内行走、逗留，稍有不慎就有可能发生车辆伤害。</w:t>
      </w:r>
    </w:p>
    <w:p w14:paraId="1C16243D">
      <w:pPr>
        <w:pStyle w:val="14"/>
        <w:numPr>
          <w:ilvl w:val="0"/>
          <w:numId w:val="52"/>
        </w:numPr>
        <w:bidi w:val="0"/>
        <w:ind w:left="0" w:leftChars="0" w:firstLine="560" w:firstLineChars="200"/>
        <w:rPr>
          <w:rFonts w:hint="eastAsia" w:ascii="Times New Roman" w:hAnsi="Times New Roman" w:eastAsia="宋体"/>
          <w:lang w:val="en-US" w:eastAsia="zh-CN"/>
        </w:rPr>
      </w:pPr>
      <w:r>
        <w:rPr>
          <w:rFonts w:hint="eastAsia" w:ascii="Times New Roman" w:hAnsi="Times New Roman" w:eastAsia="宋体"/>
          <w:lang w:val="en-US" w:eastAsia="zh-CN"/>
        </w:rPr>
        <w:t>物体打击</w:t>
      </w:r>
    </w:p>
    <w:p w14:paraId="648E8911">
      <w:pPr>
        <w:pStyle w:val="14"/>
        <w:bidi w:val="0"/>
        <w:rPr>
          <w:rFonts w:hint="eastAsia"/>
          <w:lang w:val="en-US" w:eastAsia="zh-CN"/>
        </w:rPr>
      </w:pPr>
      <w:r>
        <w:rPr>
          <w:rFonts w:hint="eastAsia"/>
          <w:lang w:val="en-US" w:eastAsia="zh-CN"/>
        </w:rPr>
        <w:t>采场边坡存在伞岩、危石、浮石未及时清理，人员在下方作业时掉落，会造成物体打击伤害。</w:t>
      </w:r>
    </w:p>
    <w:p w14:paraId="3854CEF6">
      <w:pPr>
        <w:pStyle w:val="14"/>
        <w:numPr>
          <w:ilvl w:val="0"/>
          <w:numId w:val="52"/>
        </w:numPr>
        <w:bidi w:val="0"/>
        <w:ind w:left="0" w:leftChars="0" w:firstLine="560" w:firstLineChars="200"/>
        <w:rPr>
          <w:rFonts w:hint="eastAsia" w:ascii="Times New Roman" w:hAnsi="Times New Roman" w:eastAsia="宋体"/>
          <w:lang w:val="en-US" w:eastAsia="zh-CN"/>
        </w:rPr>
      </w:pPr>
      <w:r>
        <w:rPr>
          <w:rFonts w:hint="eastAsia" w:ascii="Times New Roman" w:hAnsi="Times New Roman" w:eastAsia="宋体"/>
          <w:lang w:val="en-US" w:eastAsia="zh-CN"/>
        </w:rPr>
        <w:t>高处坠落</w:t>
      </w:r>
    </w:p>
    <w:p w14:paraId="24893C7B">
      <w:pPr>
        <w:pStyle w:val="14"/>
        <w:bidi w:val="0"/>
        <w:rPr>
          <w:rFonts w:hint="default" w:eastAsia="宋体"/>
          <w:lang w:val="en-US" w:eastAsia="zh-CN"/>
        </w:rPr>
      </w:pPr>
      <w:r>
        <w:rPr>
          <w:rFonts w:hint="eastAsia"/>
          <w:lang w:val="en-US" w:eastAsia="zh-CN"/>
        </w:rPr>
        <w:t>采场设计、作业台阶高度超过2m，人员在台阶边缘作业时麻痹大意，或是杂物绊倒掉落台阶造成高处坠落事故。</w:t>
      </w:r>
      <w:r>
        <w:rPr>
          <w:rFonts w:hint="eastAsia"/>
          <w:bCs/>
          <w:kern w:val="2"/>
          <w:sz w:val="28"/>
          <w:szCs w:val="28"/>
        </w:rPr>
        <w:t>矿界边缘</w:t>
      </w:r>
      <w:r>
        <w:rPr>
          <w:rFonts w:hint="eastAsia"/>
          <w:bCs/>
          <w:kern w:val="2"/>
          <w:sz w:val="28"/>
          <w:szCs w:val="28"/>
          <w:lang w:val="en-US" w:eastAsia="zh-CN"/>
        </w:rPr>
        <w:t>无拦挡设施和未</w:t>
      </w:r>
      <w:r>
        <w:rPr>
          <w:rFonts w:hint="eastAsia"/>
          <w:bCs/>
          <w:kern w:val="2"/>
          <w:sz w:val="28"/>
          <w:szCs w:val="28"/>
        </w:rPr>
        <w:t>设置警示标志</w:t>
      </w:r>
      <w:r>
        <w:rPr>
          <w:rFonts w:hint="eastAsia"/>
          <w:bCs/>
          <w:kern w:val="2"/>
          <w:sz w:val="28"/>
          <w:szCs w:val="28"/>
          <w:lang w:eastAsia="zh-CN"/>
        </w:rPr>
        <w:t>，</w:t>
      </w:r>
      <w:r>
        <w:rPr>
          <w:rFonts w:hint="eastAsia"/>
          <w:bCs/>
          <w:kern w:val="2"/>
          <w:sz w:val="28"/>
          <w:szCs w:val="28"/>
          <w:lang w:val="en-US" w:eastAsia="zh-CN"/>
        </w:rPr>
        <w:t>外来人员误入发生高处坠落事故。</w:t>
      </w:r>
    </w:p>
    <w:p w14:paraId="3247A38C">
      <w:pPr>
        <w:pStyle w:val="4"/>
        <w:bidi w:val="0"/>
      </w:pPr>
      <w:bookmarkStart w:id="187" w:name="_Toc29330"/>
      <w:r>
        <w:rPr>
          <w:rFonts w:hint="eastAsia"/>
        </w:rPr>
        <w:t>危险程度评价</w:t>
      </w:r>
      <w:bookmarkEnd w:id="187"/>
    </w:p>
    <w:p w14:paraId="6E0EA6F1">
      <w:pPr>
        <w:bidi w:val="0"/>
        <w:rPr>
          <w:rFonts w:hint="eastAsia" w:ascii="宋体" w:hAnsi="宋体" w:eastAsia="宋体" w:cs="宋体"/>
          <w:lang w:eastAsia="zh-CN"/>
        </w:rPr>
      </w:pPr>
      <w:r>
        <w:rPr>
          <w:rFonts w:hint="eastAsia" w:ascii="宋体" w:hAnsi="宋体" w:eastAsia="宋体" w:cs="宋体"/>
          <w:lang w:val="en-US" w:eastAsia="zh-CN"/>
        </w:rPr>
        <w:t>采剥</w:t>
      </w:r>
      <w:r>
        <w:rPr>
          <w:rFonts w:hint="eastAsia" w:ascii="宋体" w:hAnsi="宋体" w:eastAsia="宋体" w:cs="宋体"/>
        </w:rPr>
        <w:t>单元主要存在的危险有害因素，采用作业条件危险性评价法针对矿山</w:t>
      </w:r>
      <w:r>
        <w:rPr>
          <w:rFonts w:hint="eastAsia" w:ascii="宋体" w:hAnsi="宋体" w:eastAsia="宋体" w:cs="宋体"/>
          <w:lang w:val="en-US" w:eastAsia="zh-CN"/>
        </w:rPr>
        <w:t>采剥</w:t>
      </w:r>
      <w:r>
        <w:rPr>
          <w:rFonts w:hint="eastAsia" w:ascii="宋体" w:hAnsi="宋体" w:eastAsia="宋体" w:cs="宋体"/>
        </w:rPr>
        <w:t>单元存在的危险因素进行危险程度评价，参照</w:t>
      </w:r>
      <w:r>
        <w:rPr>
          <w:rFonts w:hint="eastAsia" w:ascii="宋体" w:hAnsi="宋体" w:cs="宋体"/>
          <w:lang w:eastAsia="zh-CN"/>
        </w:rPr>
        <w:t>表3-5</w:t>
      </w:r>
      <w:r>
        <w:rPr>
          <w:rFonts w:hint="eastAsia" w:ascii="宋体" w:hAnsi="宋体" w:eastAsia="宋体" w:cs="宋体"/>
        </w:rPr>
        <w:t>、</w:t>
      </w:r>
      <w:r>
        <w:rPr>
          <w:rFonts w:hint="eastAsia" w:ascii="宋体" w:hAnsi="宋体" w:cs="宋体"/>
          <w:lang w:eastAsia="zh-CN"/>
        </w:rPr>
        <w:t>表3-6</w:t>
      </w:r>
      <w:r>
        <w:rPr>
          <w:rFonts w:hint="eastAsia" w:ascii="宋体" w:hAnsi="宋体" w:eastAsia="宋体" w:cs="宋体"/>
        </w:rPr>
        <w:t>、</w:t>
      </w:r>
      <w:r>
        <w:rPr>
          <w:rFonts w:hint="eastAsia" w:ascii="宋体" w:hAnsi="宋体" w:cs="宋体"/>
          <w:lang w:eastAsia="zh-CN"/>
        </w:rPr>
        <w:t>表3-7</w:t>
      </w:r>
      <w:r>
        <w:rPr>
          <w:rFonts w:hint="eastAsia" w:ascii="宋体" w:hAnsi="宋体" w:eastAsia="宋体" w:cs="宋体"/>
        </w:rPr>
        <w:t>取值范围，根据矿山实际情况取值对应表</w:t>
      </w:r>
      <w:r>
        <w:rPr>
          <w:rFonts w:hint="eastAsia" w:ascii="宋体" w:hAnsi="宋体" w:cs="宋体"/>
          <w:lang w:val="en-US" w:eastAsia="zh-CN"/>
        </w:rPr>
        <w:t>3-13</w:t>
      </w:r>
      <w:r>
        <w:rPr>
          <w:rFonts w:hint="eastAsia" w:ascii="宋体" w:hAnsi="宋体" w:eastAsia="宋体" w:cs="宋体"/>
        </w:rPr>
        <w:t>可知：</w:t>
      </w:r>
    </w:p>
    <w:p w14:paraId="582E7E9C">
      <w:pPr>
        <w:pStyle w:val="11"/>
        <w:ind w:left="0" w:leftChars="0" w:firstLine="0" w:firstLineChars="0"/>
        <w:jc w:val="center"/>
        <w:rPr>
          <w:rFonts w:hint="eastAsia" w:eastAsia="宋体"/>
          <w:lang w:eastAsia="zh-CN"/>
        </w:rPr>
      </w:pPr>
      <w:r>
        <w:t xml:space="preserve">表 </w:t>
      </w:r>
      <w:r>
        <w:fldChar w:fldCharType="begin"/>
      </w:r>
      <w:r>
        <w:instrText xml:space="preserve"> STYLEREF 1 \s </w:instrText>
      </w:r>
      <w:r>
        <w:fldChar w:fldCharType="separate"/>
      </w:r>
      <w:r>
        <w:t>3</w:t>
      </w:r>
      <w:r>
        <w:fldChar w:fldCharType="end"/>
      </w:r>
      <w:r>
        <w:rPr>
          <w:rFonts w:hint="eastAsia"/>
          <w:lang w:eastAsia="zh-CN"/>
        </w:rPr>
        <w:t>-</w:t>
      </w:r>
      <w:r>
        <w:fldChar w:fldCharType="begin"/>
      </w:r>
      <w:r>
        <w:instrText xml:space="preserve"> SEQ 表 \* ARABIC \s 1 </w:instrText>
      </w:r>
      <w:r>
        <w:fldChar w:fldCharType="separate"/>
      </w:r>
      <w:r>
        <w:t>13</w:t>
      </w:r>
      <w:r>
        <w:fldChar w:fldCharType="end"/>
      </w:r>
      <w:r>
        <w:rPr>
          <w:rFonts w:hint="eastAsia"/>
          <w:lang w:eastAsia="zh-CN"/>
        </w:rPr>
        <w:t xml:space="preserve"> 采剥单元危险有害因素危险度分析表</w:t>
      </w:r>
    </w:p>
    <w:tbl>
      <w:tblPr>
        <w:tblStyle w:val="29"/>
        <w:tblW w:w="4825" w:type="pct"/>
        <w:tblInd w:w="19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1198"/>
        <w:gridCol w:w="854"/>
        <w:gridCol w:w="960"/>
        <w:gridCol w:w="960"/>
        <w:gridCol w:w="965"/>
        <w:gridCol w:w="3129"/>
      </w:tblGrid>
      <w:tr w14:paraId="7D1565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417" w:type="pct"/>
            <w:tcBorders>
              <w:tl2br w:val="nil"/>
              <w:tr2bl w:val="nil"/>
            </w:tcBorders>
            <w:noWrap w:val="0"/>
            <w:vAlign w:val="center"/>
          </w:tcPr>
          <w:p w14:paraId="0FD4A188">
            <w:pPr>
              <w:keepNext w:val="0"/>
              <w:keepLines w:val="0"/>
              <w:pageBreakBefore w:val="0"/>
              <w:widowControl w:val="0"/>
              <w:kinsoku/>
              <w:wordWrap/>
              <w:overflowPunct/>
              <w:topLinePunct w:val="0"/>
              <w:autoSpaceDE w:val="0"/>
              <w:autoSpaceDN w:val="0"/>
              <w:bidi w:val="0"/>
              <w:adjustRightInd w:val="0"/>
              <w:spacing w:line="240" w:lineRule="auto"/>
              <w:ind w:left="0" w:leftChars="0" w:right="0" w:rightChars="0" w:firstLine="0" w:firstLineChars="0"/>
              <w:jc w:val="center"/>
              <w:textAlignment w:val="auto"/>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rPr>
              <w:t>序号</w:t>
            </w:r>
          </w:p>
        </w:tc>
        <w:tc>
          <w:tcPr>
            <w:tcW w:w="681" w:type="pct"/>
            <w:tcBorders>
              <w:tl2br w:val="nil"/>
              <w:tr2bl w:val="nil"/>
            </w:tcBorders>
            <w:noWrap w:val="0"/>
            <w:vAlign w:val="center"/>
          </w:tcPr>
          <w:p w14:paraId="761AEDD1">
            <w:pPr>
              <w:keepNext w:val="0"/>
              <w:keepLines w:val="0"/>
              <w:pageBreakBefore w:val="0"/>
              <w:widowControl w:val="0"/>
              <w:kinsoku/>
              <w:wordWrap/>
              <w:overflowPunct/>
              <w:topLinePunct w:val="0"/>
              <w:autoSpaceDE w:val="0"/>
              <w:autoSpaceDN w:val="0"/>
              <w:bidi w:val="0"/>
              <w:adjustRightInd w:val="0"/>
              <w:spacing w:line="240" w:lineRule="auto"/>
              <w:ind w:left="0" w:leftChars="0" w:right="0" w:rightChars="0" w:firstLine="0" w:firstLineChars="0"/>
              <w:jc w:val="center"/>
              <w:textAlignment w:val="auto"/>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rPr>
              <w:t>危害因素</w:t>
            </w:r>
          </w:p>
        </w:tc>
        <w:tc>
          <w:tcPr>
            <w:tcW w:w="485" w:type="pct"/>
            <w:tcBorders>
              <w:tl2br w:val="nil"/>
              <w:tr2bl w:val="nil"/>
            </w:tcBorders>
            <w:noWrap w:val="0"/>
            <w:vAlign w:val="center"/>
          </w:tcPr>
          <w:p w14:paraId="2729DB40">
            <w:pPr>
              <w:keepNext w:val="0"/>
              <w:keepLines w:val="0"/>
              <w:pageBreakBefore w:val="0"/>
              <w:widowControl w:val="0"/>
              <w:kinsoku/>
              <w:wordWrap/>
              <w:overflowPunct/>
              <w:topLinePunct w:val="0"/>
              <w:autoSpaceDE w:val="0"/>
              <w:autoSpaceDN w:val="0"/>
              <w:bidi w:val="0"/>
              <w:adjustRightInd w:val="0"/>
              <w:spacing w:line="240" w:lineRule="auto"/>
              <w:ind w:left="0" w:leftChars="0" w:right="0" w:rightChars="0" w:firstLine="0" w:firstLineChars="0"/>
              <w:jc w:val="center"/>
              <w:textAlignment w:val="auto"/>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rPr>
              <w:t>L</w:t>
            </w:r>
          </w:p>
        </w:tc>
        <w:tc>
          <w:tcPr>
            <w:tcW w:w="545" w:type="pct"/>
            <w:tcBorders>
              <w:tl2br w:val="nil"/>
              <w:tr2bl w:val="nil"/>
            </w:tcBorders>
            <w:noWrap w:val="0"/>
            <w:vAlign w:val="center"/>
          </w:tcPr>
          <w:p w14:paraId="0A35F21E">
            <w:pPr>
              <w:keepNext w:val="0"/>
              <w:keepLines w:val="0"/>
              <w:pageBreakBefore w:val="0"/>
              <w:widowControl w:val="0"/>
              <w:kinsoku/>
              <w:wordWrap/>
              <w:overflowPunct/>
              <w:topLinePunct w:val="0"/>
              <w:autoSpaceDE w:val="0"/>
              <w:autoSpaceDN w:val="0"/>
              <w:bidi w:val="0"/>
              <w:adjustRightInd w:val="0"/>
              <w:spacing w:line="240" w:lineRule="auto"/>
              <w:ind w:left="0" w:leftChars="0" w:right="0" w:rightChars="0" w:firstLine="0" w:firstLineChars="0"/>
              <w:jc w:val="center"/>
              <w:textAlignment w:val="auto"/>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rPr>
              <w:t>E</w:t>
            </w:r>
          </w:p>
        </w:tc>
        <w:tc>
          <w:tcPr>
            <w:tcW w:w="545" w:type="pct"/>
            <w:tcBorders>
              <w:tl2br w:val="nil"/>
              <w:tr2bl w:val="nil"/>
            </w:tcBorders>
            <w:noWrap w:val="0"/>
            <w:vAlign w:val="center"/>
          </w:tcPr>
          <w:p w14:paraId="4D4D9DC4">
            <w:pPr>
              <w:keepNext w:val="0"/>
              <w:keepLines w:val="0"/>
              <w:pageBreakBefore w:val="0"/>
              <w:widowControl w:val="0"/>
              <w:kinsoku/>
              <w:wordWrap/>
              <w:overflowPunct/>
              <w:topLinePunct w:val="0"/>
              <w:autoSpaceDE w:val="0"/>
              <w:autoSpaceDN w:val="0"/>
              <w:bidi w:val="0"/>
              <w:adjustRightInd w:val="0"/>
              <w:spacing w:line="240" w:lineRule="auto"/>
              <w:ind w:left="0" w:leftChars="0" w:right="0" w:rightChars="0" w:firstLine="0" w:firstLineChars="0"/>
              <w:jc w:val="center"/>
              <w:textAlignment w:val="auto"/>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rPr>
              <w:t>C</w:t>
            </w:r>
          </w:p>
        </w:tc>
        <w:tc>
          <w:tcPr>
            <w:tcW w:w="548" w:type="pct"/>
            <w:tcBorders>
              <w:tl2br w:val="nil"/>
              <w:tr2bl w:val="nil"/>
            </w:tcBorders>
            <w:noWrap w:val="0"/>
            <w:vAlign w:val="center"/>
          </w:tcPr>
          <w:p w14:paraId="501BE1DA">
            <w:pPr>
              <w:keepNext w:val="0"/>
              <w:keepLines w:val="0"/>
              <w:pageBreakBefore w:val="0"/>
              <w:widowControl w:val="0"/>
              <w:kinsoku/>
              <w:wordWrap/>
              <w:overflowPunct/>
              <w:topLinePunct w:val="0"/>
              <w:autoSpaceDE w:val="0"/>
              <w:autoSpaceDN w:val="0"/>
              <w:bidi w:val="0"/>
              <w:adjustRightInd w:val="0"/>
              <w:spacing w:line="240" w:lineRule="auto"/>
              <w:ind w:left="0" w:leftChars="0" w:right="0" w:rightChars="0" w:firstLine="0" w:firstLineChars="0"/>
              <w:jc w:val="center"/>
              <w:textAlignment w:val="auto"/>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rPr>
              <w:t>D</w:t>
            </w:r>
          </w:p>
        </w:tc>
        <w:tc>
          <w:tcPr>
            <w:tcW w:w="1777" w:type="pct"/>
            <w:tcBorders>
              <w:tl2br w:val="nil"/>
              <w:tr2bl w:val="nil"/>
            </w:tcBorders>
            <w:noWrap w:val="0"/>
            <w:vAlign w:val="center"/>
          </w:tcPr>
          <w:p w14:paraId="42A48A78">
            <w:pPr>
              <w:keepNext w:val="0"/>
              <w:keepLines w:val="0"/>
              <w:pageBreakBefore w:val="0"/>
              <w:widowControl w:val="0"/>
              <w:kinsoku/>
              <w:wordWrap/>
              <w:overflowPunct/>
              <w:topLinePunct w:val="0"/>
              <w:autoSpaceDE w:val="0"/>
              <w:autoSpaceDN w:val="0"/>
              <w:bidi w:val="0"/>
              <w:adjustRightInd w:val="0"/>
              <w:spacing w:line="240" w:lineRule="auto"/>
              <w:ind w:left="0" w:leftChars="0" w:right="0" w:rightChars="0" w:firstLine="0" w:firstLineChars="0"/>
              <w:jc w:val="center"/>
              <w:textAlignment w:val="auto"/>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rPr>
              <w:t>危险程度</w:t>
            </w:r>
          </w:p>
        </w:tc>
      </w:tr>
      <w:tr w14:paraId="4E8C77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7" w:type="pct"/>
            <w:tcBorders>
              <w:tl2br w:val="nil"/>
              <w:tr2bl w:val="nil"/>
            </w:tcBorders>
            <w:noWrap w:val="0"/>
            <w:vAlign w:val="center"/>
          </w:tcPr>
          <w:p w14:paraId="3A45C35B">
            <w:pPr>
              <w:spacing w:line="240" w:lineRule="auto"/>
              <w:ind w:left="0" w:leftChars="0" w:right="0" w:righ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w:t>
            </w:r>
          </w:p>
        </w:tc>
        <w:tc>
          <w:tcPr>
            <w:tcW w:w="681" w:type="pct"/>
            <w:tcBorders>
              <w:tl2br w:val="nil"/>
              <w:tr2bl w:val="nil"/>
            </w:tcBorders>
            <w:noWrap w:val="0"/>
            <w:vAlign w:val="center"/>
          </w:tcPr>
          <w:p w14:paraId="66D5D398">
            <w:pPr>
              <w:spacing w:line="240" w:lineRule="auto"/>
              <w:ind w:left="0" w:leftChars="0" w:right="0" w:rightChars="0" w:firstLine="0" w:firstLineChars="0"/>
              <w:jc w:val="center"/>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边坡</w:t>
            </w:r>
            <w:r>
              <w:rPr>
                <w:rFonts w:hint="eastAsia" w:ascii="宋体" w:hAnsi="宋体" w:eastAsia="宋体" w:cs="宋体"/>
                <w:color w:val="auto"/>
                <w:kern w:val="0"/>
                <w:sz w:val="21"/>
                <w:szCs w:val="21"/>
                <w:lang w:val="en-US" w:eastAsia="zh-CN"/>
              </w:rPr>
              <w:t>失稳</w:t>
            </w:r>
          </w:p>
        </w:tc>
        <w:tc>
          <w:tcPr>
            <w:tcW w:w="485" w:type="pct"/>
            <w:tcBorders>
              <w:tl2br w:val="nil"/>
              <w:tr2bl w:val="nil"/>
            </w:tcBorders>
            <w:noWrap w:val="0"/>
            <w:vAlign w:val="center"/>
          </w:tcPr>
          <w:p w14:paraId="6CF0B88E">
            <w:pPr>
              <w:spacing w:line="240" w:lineRule="auto"/>
              <w:ind w:left="0" w:leftChars="0" w:right="0" w:rightChars="0" w:firstLine="0" w:firstLineChars="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3</w:t>
            </w:r>
          </w:p>
        </w:tc>
        <w:tc>
          <w:tcPr>
            <w:tcW w:w="545" w:type="pct"/>
            <w:tcBorders>
              <w:tl2br w:val="nil"/>
              <w:tr2bl w:val="nil"/>
            </w:tcBorders>
            <w:noWrap w:val="0"/>
            <w:vAlign w:val="center"/>
          </w:tcPr>
          <w:p w14:paraId="7BE62A45">
            <w:pPr>
              <w:spacing w:line="240" w:lineRule="auto"/>
              <w:ind w:left="0" w:leftChars="0" w:right="0" w:rightChars="0" w:firstLine="0" w:firstLineChars="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6</w:t>
            </w:r>
          </w:p>
        </w:tc>
        <w:tc>
          <w:tcPr>
            <w:tcW w:w="545" w:type="pct"/>
            <w:tcBorders>
              <w:tl2br w:val="nil"/>
              <w:tr2bl w:val="nil"/>
            </w:tcBorders>
            <w:noWrap w:val="0"/>
            <w:vAlign w:val="center"/>
          </w:tcPr>
          <w:p w14:paraId="43BA631D">
            <w:pPr>
              <w:spacing w:line="240" w:lineRule="auto"/>
              <w:ind w:left="0" w:leftChars="0" w:right="0" w:rightChars="0" w:firstLine="0" w:firstLineChars="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7</w:t>
            </w:r>
          </w:p>
        </w:tc>
        <w:tc>
          <w:tcPr>
            <w:tcW w:w="548" w:type="pct"/>
            <w:tcBorders>
              <w:tl2br w:val="nil"/>
              <w:tr2bl w:val="nil"/>
            </w:tcBorders>
            <w:noWrap w:val="0"/>
            <w:vAlign w:val="center"/>
          </w:tcPr>
          <w:p w14:paraId="64ACB26C">
            <w:pPr>
              <w:spacing w:line="240" w:lineRule="auto"/>
              <w:ind w:left="0" w:leftChars="0" w:right="0" w:rightChars="0" w:firstLine="0" w:firstLineChars="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126</w:t>
            </w:r>
          </w:p>
        </w:tc>
        <w:tc>
          <w:tcPr>
            <w:tcW w:w="1777" w:type="pct"/>
            <w:tcBorders>
              <w:tl2br w:val="nil"/>
              <w:tr2bl w:val="nil"/>
            </w:tcBorders>
            <w:noWrap w:val="0"/>
            <w:vAlign w:val="center"/>
          </w:tcPr>
          <w:p w14:paraId="18EA20E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sz w:val="21"/>
                <w:szCs w:val="21"/>
              </w:rPr>
              <w:t>显著危险，需要整改</w:t>
            </w:r>
          </w:p>
        </w:tc>
      </w:tr>
      <w:tr w14:paraId="502134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7" w:type="pct"/>
            <w:tcBorders>
              <w:tl2br w:val="nil"/>
              <w:tr2bl w:val="nil"/>
            </w:tcBorders>
            <w:noWrap w:val="0"/>
            <w:vAlign w:val="center"/>
          </w:tcPr>
          <w:p w14:paraId="45BD3956">
            <w:pPr>
              <w:spacing w:line="240" w:lineRule="auto"/>
              <w:ind w:left="0" w:leftChars="0" w:right="0" w:righ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w:t>
            </w:r>
          </w:p>
        </w:tc>
        <w:tc>
          <w:tcPr>
            <w:tcW w:w="681" w:type="pct"/>
            <w:tcBorders>
              <w:tl2br w:val="nil"/>
              <w:tr2bl w:val="nil"/>
            </w:tcBorders>
            <w:noWrap w:val="0"/>
            <w:vAlign w:val="center"/>
          </w:tcPr>
          <w:p w14:paraId="2CC85259">
            <w:pPr>
              <w:spacing w:line="240" w:lineRule="auto"/>
              <w:ind w:left="0" w:leftChars="0" w:right="0" w:righ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车辆伤害</w:t>
            </w:r>
          </w:p>
        </w:tc>
        <w:tc>
          <w:tcPr>
            <w:tcW w:w="485" w:type="pct"/>
            <w:tcBorders>
              <w:tl2br w:val="nil"/>
              <w:tr2bl w:val="nil"/>
            </w:tcBorders>
            <w:noWrap w:val="0"/>
            <w:vAlign w:val="center"/>
          </w:tcPr>
          <w:p w14:paraId="5E5579B3">
            <w:pPr>
              <w:spacing w:line="240" w:lineRule="auto"/>
              <w:ind w:left="0" w:leftChars="0" w:right="0" w:righ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3</w:t>
            </w:r>
          </w:p>
        </w:tc>
        <w:tc>
          <w:tcPr>
            <w:tcW w:w="545" w:type="pct"/>
            <w:tcBorders>
              <w:tl2br w:val="nil"/>
              <w:tr2bl w:val="nil"/>
            </w:tcBorders>
            <w:noWrap w:val="0"/>
            <w:vAlign w:val="center"/>
          </w:tcPr>
          <w:p w14:paraId="71C9DD88">
            <w:pPr>
              <w:spacing w:line="240" w:lineRule="auto"/>
              <w:ind w:left="0" w:leftChars="0" w:right="0" w:righ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6</w:t>
            </w:r>
          </w:p>
        </w:tc>
        <w:tc>
          <w:tcPr>
            <w:tcW w:w="545" w:type="pct"/>
            <w:tcBorders>
              <w:tl2br w:val="nil"/>
              <w:tr2bl w:val="nil"/>
            </w:tcBorders>
            <w:noWrap w:val="0"/>
            <w:vAlign w:val="center"/>
          </w:tcPr>
          <w:p w14:paraId="207EBBE5">
            <w:pPr>
              <w:spacing w:line="240" w:lineRule="auto"/>
              <w:ind w:left="0" w:leftChars="0" w:right="0" w:righ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7</w:t>
            </w:r>
          </w:p>
        </w:tc>
        <w:tc>
          <w:tcPr>
            <w:tcW w:w="548" w:type="pct"/>
            <w:tcBorders>
              <w:tl2br w:val="nil"/>
              <w:tr2bl w:val="nil"/>
            </w:tcBorders>
            <w:noWrap w:val="0"/>
            <w:vAlign w:val="center"/>
          </w:tcPr>
          <w:p w14:paraId="18CDF60A">
            <w:pPr>
              <w:spacing w:line="240" w:lineRule="auto"/>
              <w:ind w:left="0" w:leftChars="0" w:right="0" w:righ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126</w:t>
            </w:r>
          </w:p>
        </w:tc>
        <w:tc>
          <w:tcPr>
            <w:tcW w:w="1777" w:type="pct"/>
            <w:tcBorders>
              <w:tl2br w:val="nil"/>
              <w:tr2bl w:val="nil"/>
            </w:tcBorders>
            <w:noWrap w:val="0"/>
            <w:vAlign w:val="center"/>
          </w:tcPr>
          <w:p w14:paraId="322C7966">
            <w:pPr>
              <w:spacing w:line="240" w:lineRule="auto"/>
              <w:ind w:left="0" w:leftChars="0" w:right="0" w:righ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sz w:val="21"/>
                <w:szCs w:val="21"/>
              </w:rPr>
              <w:t>显著危险，需要整改</w:t>
            </w:r>
          </w:p>
        </w:tc>
      </w:tr>
      <w:tr w14:paraId="75635B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7" w:type="pct"/>
            <w:tcBorders>
              <w:tl2br w:val="nil"/>
              <w:tr2bl w:val="nil"/>
            </w:tcBorders>
            <w:noWrap w:val="0"/>
            <w:vAlign w:val="center"/>
          </w:tcPr>
          <w:p w14:paraId="1A7C05A4">
            <w:pPr>
              <w:spacing w:line="240" w:lineRule="auto"/>
              <w:ind w:left="0" w:leftChars="0" w:right="0" w:righ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3</w:t>
            </w:r>
          </w:p>
        </w:tc>
        <w:tc>
          <w:tcPr>
            <w:tcW w:w="681" w:type="pct"/>
            <w:tcBorders>
              <w:tl2br w:val="nil"/>
              <w:tr2bl w:val="nil"/>
            </w:tcBorders>
            <w:noWrap w:val="0"/>
            <w:vAlign w:val="center"/>
          </w:tcPr>
          <w:p w14:paraId="549E3C34">
            <w:pPr>
              <w:spacing w:line="240" w:lineRule="auto"/>
              <w:ind w:left="0" w:leftChars="0" w:right="0" w:righ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高处坠落</w:t>
            </w:r>
          </w:p>
        </w:tc>
        <w:tc>
          <w:tcPr>
            <w:tcW w:w="485" w:type="pct"/>
            <w:tcBorders>
              <w:tl2br w:val="nil"/>
              <w:tr2bl w:val="nil"/>
            </w:tcBorders>
            <w:noWrap w:val="0"/>
            <w:vAlign w:val="center"/>
          </w:tcPr>
          <w:p w14:paraId="21DC2D0E">
            <w:pPr>
              <w:spacing w:line="240" w:lineRule="auto"/>
              <w:ind w:left="0" w:leftChars="0" w:right="0" w:righ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3</w:t>
            </w:r>
          </w:p>
        </w:tc>
        <w:tc>
          <w:tcPr>
            <w:tcW w:w="545" w:type="pct"/>
            <w:tcBorders>
              <w:tl2br w:val="nil"/>
              <w:tr2bl w:val="nil"/>
            </w:tcBorders>
            <w:noWrap w:val="0"/>
            <w:vAlign w:val="center"/>
          </w:tcPr>
          <w:p w14:paraId="3C93C113">
            <w:pPr>
              <w:spacing w:line="240" w:lineRule="auto"/>
              <w:ind w:left="0" w:leftChars="0" w:right="0" w:righ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6</w:t>
            </w:r>
          </w:p>
        </w:tc>
        <w:tc>
          <w:tcPr>
            <w:tcW w:w="545" w:type="pct"/>
            <w:tcBorders>
              <w:tl2br w:val="nil"/>
              <w:tr2bl w:val="nil"/>
            </w:tcBorders>
            <w:noWrap w:val="0"/>
            <w:vAlign w:val="center"/>
          </w:tcPr>
          <w:p w14:paraId="30AD4907">
            <w:pPr>
              <w:spacing w:line="240" w:lineRule="auto"/>
              <w:ind w:left="0" w:leftChars="0" w:right="0" w:righ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3</w:t>
            </w:r>
          </w:p>
        </w:tc>
        <w:tc>
          <w:tcPr>
            <w:tcW w:w="548" w:type="pct"/>
            <w:tcBorders>
              <w:tl2br w:val="nil"/>
              <w:tr2bl w:val="nil"/>
            </w:tcBorders>
            <w:noWrap w:val="0"/>
            <w:vAlign w:val="center"/>
          </w:tcPr>
          <w:p w14:paraId="11418074">
            <w:pPr>
              <w:spacing w:line="240" w:lineRule="auto"/>
              <w:ind w:left="0" w:leftChars="0" w:right="0" w:righ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54</w:t>
            </w:r>
          </w:p>
        </w:tc>
        <w:tc>
          <w:tcPr>
            <w:tcW w:w="1777" w:type="pct"/>
            <w:tcBorders>
              <w:tl2br w:val="nil"/>
              <w:tr2bl w:val="nil"/>
            </w:tcBorders>
            <w:noWrap w:val="0"/>
            <w:vAlign w:val="center"/>
          </w:tcPr>
          <w:p w14:paraId="4E3D7451">
            <w:pPr>
              <w:spacing w:line="240" w:lineRule="auto"/>
              <w:ind w:left="0" w:leftChars="0" w:right="0" w:righ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sz w:val="21"/>
                <w:szCs w:val="21"/>
              </w:rPr>
              <w:t>可能危险，需要注意</w:t>
            </w:r>
          </w:p>
        </w:tc>
      </w:tr>
      <w:tr w14:paraId="418BEF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17" w:type="pct"/>
            <w:tcBorders>
              <w:tl2br w:val="nil"/>
              <w:tr2bl w:val="nil"/>
            </w:tcBorders>
            <w:noWrap w:val="0"/>
            <w:vAlign w:val="center"/>
          </w:tcPr>
          <w:p w14:paraId="1EF249EC">
            <w:pPr>
              <w:spacing w:line="240" w:lineRule="auto"/>
              <w:ind w:left="0" w:leftChars="0" w:right="0" w:righ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4</w:t>
            </w:r>
          </w:p>
        </w:tc>
        <w:tc>
          <w:tcPr>
            <w:tcW w:w="681" w:type="pct"/>
            <w:tcBorders>
              <w:tl2br w:val="nil"/>
              <w:tr2bl w:val="nil"/>
            </w:tcBorders>
            <w:noWrap w:val="0"/>
            <w:vAlign w:val="center"/>
          </w:tcPr>
          <w:p w14:paraId="4B2DCE38">
            <w:pPr>
              <w:spacing w:line="240" w:lineRule="auto"/>
              <w:ind w:left="0" w:leftChars="0" w:right="0" w:righ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物体打击</w:t>
            </w:r>
          </w:p>
        </w:tc>
        <w:tc>
          <w:tcPr>
            <w:tcW w:w="485" w:type="pct"/>
            <w:tcBorders>
              <w:tl2br w:val="nil"/>
              <w:tr2bl w:val="nil"/>
            </w:tcBorders>
            <w:noWrap w:val="0"/>
            <w:vAlign w:val="center"/>
          </w:tcPr>
          <w:p w14:paraId="57A8DD07">
            <w:pPr>
              <w:spacing w:line="240" w:lineRule="auto"/>
              <w:ind w:left="0" w:leftChars="0" w:right="0" w:righ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3</w:t>
            </w:r>
          </w:p>
        </w:tc>
        <w:tc>
          <w:tcPr>
            <w:tcW w:w="545" w:type="pct"/>
            <w:tcBorders>
              <w:tl2br w:val="nil"/>
              <w:tr2bl w:val="nil"/>
            </w:tcBorders>
            <w:noWrap w:val="0"/>
            <w:vAlign w:val="center"/>
          </w:tcPr>
          <w:p w14:paraId="0B5AA929">
            <w:pPr>
              <w:spacing w:line="240" w:lineRule="auto"/>
              <w:ind w:left="0" w:leftChars="0" w:right="0" w:righ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6</w:t>
            </w:r>
          </w:p>
        </w:tc>
        <w:tc>
          <w:tcPr>
            <w:tcW w:w="545" w:type="pct"/>
            <w:tcBorders>
              <w:tl2br w:val="nil"/>
              <w:tr2bl w:val="nil"/>
            </w:tcBorders>
            <w:noWrap w:val="0"/>
            <w:vAlign w:val="center"/>
          </w:tcPr>
          <w:p w14:paraId="44EA2C24">
            <w:pPr>
              <w:spacing w:line="240" w:lineRule="auto"/>
              <w:ind w:left="0" w:leftChars="0" w:right="0" w:righ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3</w:t>
            </w:r>
          </w:p>
        </w:tc>
        <w:tc>
          <w:tcPr>
            <w:tcW w:w="548" w:type="pct"/>
            <w:tcBorders>
              <w:tl2br w:val="nil"/>
              <w:tr2bl w:val="nil"/>
            </w:tcBorders>
            <w:noWrap w:val="0"/>
            <w:vAlign w:val="center"/>
          </w:tcPr>
          <w:p w14:paraId="7B03076E">
            <w:pPr>
              <w:spacing w:line="240" w:lineRule="auto"/>
              <w:ind w:left="0" w:leftChars="0" w:right="0" w:righ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54</w:t>
            </w:r>
          </w:p>
        </w:tc>
        <w:tc>
          <w:tcPr>
            <w:tcW w:w="1777" w:type="pct"/>
            <w:tcBorders>
              <w:tl2br w:val="nil"/>
              <w:tr2bl w:val="nil"/>
            </w:tcBorders>
            <w:noWrap w:val="0"/>
            <w:vAlign w:val="center"/>
          </w:tcPr>
          <w:p w14:paraId="35917DE2">
            <w:pPr>
              <w:spacing w:line="240" w:lineRule="auto"/>
              <w:ind w:left="0" w:leftChars="0" w:right="0" w:righ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sz w:val="21"/>
                <w:szCs w:val="21"/>
              </w:rPr>
              <w:t>可能危险，需要注意</w:t>
            </w:r>
          </w:p>
        </w:tc>
      </w:tr>
    </w:tbl>
    <w:p w14:paraId="0CBB10B1">
      <w:pPr>
        <w:pStyle w:val="4"/>
        <w:bidi w:val="0"/>
        <w:rPr>
          <w:rFonts w:hint="eastAsia"/>
        </w:rPr>
      </w:pPr>
      <w:bookmarkStart w:id="188" w:name="_Toc20867"/>
      <w:r>
        <w:rPr>
          <w:rFonts w:hint="eastAsia"/>
        </w:rPr>
        <w:t>预先危险性分析</w:t>
      </w:r>
      <w:bookmarkEnd w:id="188"/>
    </w:p>
    <w:p w14:paraId="1A60E02B">
      <w:pPr>
        <w:bidi w:val="0"/>
        <w:rPr>
          <w:rFonts w:hint="eastAsia" w:ascii="宋体" w:hAnsi="宋体" w:eastAsia="宋体" w:cs="宋体"/>
          <w:lang w:val="en-US" w:eastAsia="zh-CN"/>
        </w:rPr>
      </w:pPr>
      <w:r>
        <w:rPr>
          <w:rFonts w:hint="eastAsia" w:ascii="宋体" w:hAnsi="宋体" w:eastAsia="宋体" w:cs="宋体"/>
        </w:rPr>
        <w:t>采用预先危险性分析法对</w:t>
      </w:r>
      <w:r>
        <w:rPr>
          <w:rFonts w:hint="eastAsia" w:ascii="宋体" w:hAnsi="宋体" w:eastAsia="宋体" w:cs="宋体"/>
          <w:lang w:val="en-US" w:eastAsia="zh-CN"/>
        </w:rPr>
        <w:t>采剥单元</w:t>
      </w:r>
      <w:r>
        <w:rPr>
          <w:rFonts w:hint="eastAsia" w:ascii="宋体" w:hAnsi="宋体" w:eastAsia="宋体" w:cs="宋体"/>
        </w:rPr>
        <w:t>中存在的危险因素进行分析评价并预测事故后果严重等级，见表</w:t>
      </w:r>
      <w:r>
        <w:rPr>
          <w:rFonts w:hint="eastAsia" w:ascii="宋体" w:hAnsi="宋体" w:cs="宋体"/>
          <w:lang w:val="en-US" w:eastAsia="zh-CN"/>
        </w:rPr>
        <w:t>3-14</w:t>
      </w:r>
      <w:r>
        <w:rPr>
          <w:rFonts w:hint="eastAsia" w:ascii="宋体" w:hAnsi="宋体" w:eastAsia="宋体" w:cs="宋体"/>
          <w:lang w:val="en-US" w:eastAsia="zh-CN"/>
        </w:rPr>
        <w:t>。</w:t>
      </w:r>
    </w:p>
    <w:p w14:paraId="6F996C80">
      <w:pPr>
        <w:pStyle w:val="11"/>
        <w:ind w:left="0" w:leftChars="0" w:firstLine="0" w:firstLineChars="0"/>
        <w:jc w:val="center"/>
        <w:rPr>
          <w:rFonts w:hint="eastAsia" w:eastAsia="宋体"/>
          <w:lang w:eastAsia="zh-CN"/>
        </w:rPr>
      </w:pPr>
      <w:r>
        <w:t xml:space="preserve">表 </w:t>
      </w:r>
      <w:r>
        <w:fldChar w:fldCharType="begin"/>
      </w:r>
      <w:r>
        <w:instrText xml:space="preserve"> STYLEREF 1 \s </w:instrText>
      </w:r>
      <w:r>
        <w:fldChar w:fldCharType="separate"/>
      </w:r>
      <w:r>
        <w:t>3</w:t>
      </w:r>
      <w:r>
        <w:fldChar w:fldCharType="end"/>
      </w:r>
      <w:r>
        <w:rPr>
          <w:rFonts w:hint="eastAsia"/>
          <w:lang w:eastAsia="zh-CN"/>
        </w:rPr>
        <w:t>-</w:t>
      </w:r>
      <w:r>
        <w:fldChar w:fldCharType="begin"/>
      </w:r>
      <w:r>
        <w:instrText xml:space="preserve"> SEQ 表 \* ARABIC \s 1 </w:instrText>
      </w:r>
      <w:r>
        <w:fldChar w:fldCharType="separate"/>
      </w:r>
      <w:r>
        <w:t>14</w:t>
      </w:r>
      <w:r>
        <w:fldChar w:fldCharType="end"/>
      </w:r>
      <w:r>
        <w:rPr>
          <w:rFonts w:hint="eastAsia"/>
          <w:lang w:eastAsia="zh-CN"/>
        </w:rPr>
        <w:t xml:space="preserve"> 采剥单元预先危险性分析表</w:t>
      </w:r>
    </w:p>
    <w:tbl>
      <w:tblPr>
        <w:tblStyle w:val="29"/>
        <w:tblW w:w="4901"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65"/>
        <w:gridCol w:w="3503"/>
        <w:gridCol w:w="753"/>
        <w:gridCol w:w="660"/>
        <w:gridCol w:w="2956"/>
      </w:tblGrid>
      <w:tr w14:paraId="0E5D0F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96" w:type="pct"/>
            <w:tcBorders>
              <w:tl2br w:val="nil"/>
              <w:tr2bl w:val="nil"/>
            </w:tcBorders>
            <w:noWrap w:val="0"/>
            <w:vAlign w:val="center"/>
          </w:tcPr>
          <w:p w14:paraId="59809F21">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危险有害因素</w:t>
            </w:r>
          </w:p>
        </w:tc>
        <w:tc>
          <w:tcPr>
            <w:tcW w:w="1959" w:type="pct"/>
            <w:tcBorders>
              <w:tl2br w:val="nil"/>
              <w:tr2bl w:val="nil"/>
            </w:tcBorders>
            <w:noWrap w:val="0"/>
            <w:vAlign w:val="center"/>
          </w:tcPr>
          <w:p w14:paraId="738B0C2C">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lang w:eastAsia="zh-CN"/>
              </w:rPr>
            </w:pPr>
            <w:r>
              <w:rPr>
                <w:rFonts w:hint="eastAsia" w:ascii="宋体" w:hAnsi="宋体" w:eastAsia="宋体" w:cs="宋体"/>
                <w:b/>
                <w:bCs/>
                <w:color w:val="000000"/>
                <w:sz w:val="21"/>
                <w:szCs w:val="21"/>
                <w:lang w:val="en-US" w:eastAsia="zh-CN"/>
              </w:rPr>
              <w:t>触发条件</w:t>
            </w:r>
          </w:p>
        </w:tc>
        <w:tc>
          <w:tcPr>
            <w:tcW w:w="421" w:type="pct"/>
            <w:tcBorders>
              <w:tl2br w:val="nil"/>
              <w:tr2bl w:val="nil"/>
            </w:tcBorders>
            <w:noWrap w:val="0"/>
            <w:vAlign w:val="center"/>
          </w:tcPr>
          <w:p w14:paraId="2901ADCE">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事故</w:t>
            </w:r>
          </w:p>
          <w:p w14:paraId="7FC6B6AC">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后果</w:t>
            </w:r>
          </w:p>
        </w:tc>
        <w:tc>
          <w:tcPr>
            <w:tcW w:w="369" w:type="pct"/>
            <w:tcBorders>
              <w:tl2br w:val="nil"/>
              <w:tr2bl w:val="nil"/>
            </w:tcBorders>
            <w:noWrap w:val="0"/>
            <w:vAlign w:val="center"/>
          </w:tcPr>
          <w:p w14:paraId="12BDE6FA">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危险</w:t>
            </w:r>
          </w:p>
          <w:p w14:paraId="25B569F8">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等级</w:t>
            </w:r>
          </w:p>
        </w:tc>
        <w:tc>
          <w:tcPr>
            <w:tcW w:w="1653" w:type="pct"/>
            <w:tcBorders>
              <w:tl2br w:val="nil"/>
              <w:tr2bl w:val="nil"/>
            </w:tcBorders>
            <w:noWrap w:val="0"/>
            <w:vAlign w:val="center"/>
          </w:tcPr>
          <w:p w14:paraId="384B804F">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对策措施</w:t>
            </w:r>
          </w:p>
        </w:tc>
      </w:tr>
      <w:tr w14:paraId="34EA3F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96" w:type="pct"/>
            <w:tcBorders>
              <w:tl2br w:val="nil"/>
              <w:tr2bl w:val="nil"/>
            </w:tcBorders>
            <w:noWrap w:val="0"/>
            <w:vAlign w:val="center"/>
          </w:tcPr>
          <w:p w14:paraId="18C134C9">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采场边坡</w:t>
            </w:r>
            <w:r>
              <w:rPr>
                <w:rFonts w:hint="eastAsia" w:ascii="宋体" w:hAnsi="宋体" w:eastAsia="宋体" w:cs="宋体"/>
                <w:color w:val="000000"/>
                <w:sz w:val="21"/>
                <w:szCs w:val="21"/>
                <w:lang w:val="en-US" w:eastAsia="zh-CN"/>
              </w:rPr>
              <w:t>失稳（</w:t>
            </w:r>
            <w:r>
              <w:rPr>
                <w:rFonts w:hint="eastAsia" w:ascii="宋体" w:hAnsi="宋体" w:cs="宋体"/>
                <w:color w:val="000000"/>
                <w:sz w:val="21"/>
                <w:szCs w:val="21"/>
                <w:lang w:eastAsia="zh-CN"/>
              </w:rPr>
              <w:t>坍塌</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rPr>
              <w:t>滑坡、泥石流</w:t>
            </w:r>
            <w:r>
              <w:rPr>
                <w:rFonts w:hint="eastAsia" w:ascii="宋体" w:hAnsi="宋体" w:eastAsia="宋体" w:cs="宋体"/>
                <w:color w:val="000000"/>
                <w:sz w:val="21"/>
                <w:szCs w:val="21"/>
                <w:lang w:eastAsia="zh-CN"/>
              </w:rPr>
              <w:t>）</w:t>
            </w:r>
          </w:p>
        </w:tc>
        <w:tc>
          <w:tcPr>
            <w:tcW w:w="1959" w:type="pct"/>
            <w:tcBorders>
              <w:tl2br w:val="nil"/>
              <w:tr2bl w:val="nil"/>
            </w:tcBorders>
            <w:noWrap w:val="0"/>
            <w:vAlign w:val="center"/>
          </w:tcPr>
          <w:p w14:paraId="4AF53FA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1.边坡参数不合理：台阶过高，坡面角过大，工作平台宽度窄；</w:t>
            </w:r>
          </w:p>
          <w:p w14:paraId="30AD633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2.受大气降雨和地表水等因素的影响；</w:t>
            </w:r>
          </w:p>
          <w:p w14:paraId="2FDCCF1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cs="宋体"/>
                <w:color w:val="000000"/>
                <w:sz w:val="21"/>
                <w:szCs w:val="21"/>
                <w:lang w:val="en-US" w:eastAsia="zh-CN"/>
              </w:rPr>
              <w:t>3</w:t>
            </w:r>
            <w:r>
              <w:rPr>
                <w:rFonts w:hint="eastAsia" w:ascii="宋体" w:hAnsi="宋体" w:eastAsia="宋体" w:cs="宋体"/>
                <w:color w:val="000000"/>
                <w:sz w:val="21"/>
                <w:szCs w:val="21"/>
              </w:rPr>
              <w:t>.局部掏采；</w:t>
            </w:r>
          </w:p>
          <w:p w14:paraId="024A0B9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cs="宋体"/>
                <w:color w:val="000000"/>
                <w:sz w:val="21"/>
                <w:szCs w:val="21"/>
                <w:lang w:val="en-US" w:eastAsia="zh-CN"/>
              </w:rPr>
              <w:t>4</w:t>
            </w:r>
            <w:r>
              <w:rPr>
                <w:rFonts w:hint="eastAsia" w:ascii="宋体" w:hAnsi="宋体" w:eastAsia="宋体" w:cs="宋体"/>
                <w:color w:val="000000"/>
                <w:sz w:val="21"/>
                <w:szCs w:val="21"/>
              </w:rPr>
              <w:t>.不按照规范</w:t>
            </w:r>
            <w:r>
              <w:rPr>
                <w:rFonts w:hint="eastAsia" w:ascii="宋体" w:hAnsi="宋体" w:eastAsia="宋体" w:cs="宋体"/>
                <w:color w:val="000000"/>
                <w:sz w:val="21"/>
                <w:szCs w:val="21"/>
                <w:lang w:val="en-US" w:eastAsia="zh-CN"/>
              </w:rPr>
              <w:t>施工</w:t>
            </w:r>
            <w:r>
              <w:rPr>
                <w:rFonts w:hint="eastAsia" w:ascii="宋体" w:hAnsi="宋体" w:eastAsia="宋体" w:cs="宋体"/>
                <w:color w:val="000000"/>
                <w:sz w:val="21"/>
                <w:szCs w:val="21"/>
              </w:rPr>
              <w:t>。</w:t>
            </w:r>
          </w:p>
        </w:tc>
        <w:tc>
          <w:tcPr>
            <w:tcW w:w="421" w:type="pct"/>
            <w:tcBorders>
              <w:tl2br w:val="nil"/>
              <w:tr2bl w:val="nil"/>
            </w:tcBorders>
            <w:noWrap w:val="0"/>
            <w:vAlign w:val="center"/>
          </w:tcPr>
          <w:p w14:paraId="6C22DF4F">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人员</w:t>
            </w:r>
          </w:p>
          <w:p w14:paraId="1A1F9D79">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rPr>
              <w:t>伤亡</w:t>
            </w:r>
            <w:r>
              <w:rPr>
                <w:rFonts w:hint="eastAsia" w:ascii="宋体" w:hAnsi="宋体" w:eastAsia="宋体" w:cs="宋体"/>
                <w:color w:val="000000"/>
                <w:sz w:val="21"/>
                <w:szCs w:val="21"/>
                <w:lang w:eastAsia="zh-CN"/>
              </w:rPr>
              <w:t>、</w:t>
            </w:r>
          </w:p>
          <w:p w14:paraId="78666A39">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设备损坏</w:t>
            </w:r>
          </w:p>
        </w:tc>
        <w:tc>
          <w:tcPr>
            <w:tcW w:w="369" w:type="pct"/>
            <w:tcBorders>
              <w:tl2br w:val="nil"/>
              <w:tr2bl w:val="nil"/>
            </w:tcBorders>
            <w:noWrap w:val="0"/>
            <w:vAlign w:val="center"/>
          </w:tcPr>
          <w:p w14:paraId="2DCFBAFC">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微软雅黑" w:hAnsi="微软雅黑" w:eastAsia="微软雅黑" w:cs="微软雅黑"/>
                <w:color w:val="000000"/>
                <w:sz w:val="21"/>
                <w:szCs w:val="21"/>
              </w:rPr>
              <w:t>Ⅲ</w:t>
            </w:r>
          </w:p>
        </w:tc>
        <w:tc>
          <w:tcPr>
            <w:tcW w:w="1653" w:type="pct"/>
            <w:tcBorders>
              <w:tl2br w:val="nil"/>
              <w:tr2bl w:val="nil"/>
            </w:tcBorders>
            <w:noWrap w:val="0"/>
            <w:vAlign w:val="center"/>
          </w:tcPr>
          <w:p w14:paraId="3B70407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1.按照规范、规程和设计要求开采，合理确定境界和边坡参数；</w:t>
            </w:r>
          </w:p>
          <w:p w14:paraId="6047C24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2.定期进行边坡稳定性研究分析及监测；</w:t>
            </w:r>
          </w:p>
          <w:p w14:paraId="24C96EB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3.合理布置工作面；</w:t>
            </w:r>
          </w:p>
          <w:p w14:paraId="67B258D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4.合理协调，统筹规划开采境界；</w:t>
            </w:r>
          </w:p>
          <w:p w14:paraId="7E96967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5.合理构筑防排水设施。</w:t>
            </w:r>
          </w:p>
        </w:tc>
      </w:tr>
      <w:tr w14:paraId="14BF68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96" w:type="pct"/>
            <w:tcBorders>
              <w:tl2br w:val="nil"/>
              <w:tr2bl w:val="nil"/>
            </w:tcBorders>
            <w:noWrap w:val="0"/>
            <w:vAlign w:val="center"/>
          </w:tcPr>
          <w:p w14:paraId="4A33C154">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物体</w:t>
            </w:r>
          </w:p>
          <w:p w14:paraId="58207759">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打击</w:t>
            </w:r>
          </w:p>
        </w:tc>
        <w:tc>
          <w:tcPr>
            <w:tcW w:w="1959" w:type="pct"/>
            <w:tcBorders>
              <w:tl2br w:val="nil"/>
              <w:tr2bl w:val="nil"/>
            </w:tcBorders>
            <w:noWrap w:val="0"/>
            <w:vAlign w:val="center"/>
          </w:tcPr>
          <w:p w14:paraId="73D86DE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1.工作帮坡面上因安全检查不严格及浮石、危石清理不彻底；</w:t>
            </w:r>
          </w:p>
          <w:p w14:paraId="28A0ED6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2.采场雨水冲刷等；</w:t>
            </w:r>
          </w:p>
          <w:p w14:paraId="2DD98E0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3.台阶过高，与铲装设备（工艺）不配套；</w:t>
            </w:r>
          </w:p>
          <w:p w14:paraId="4BE5E3E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4.边坡维护无人监护，人员在工作地点下部的道路停留或通过。</w:t>
            </w:r>
          </w:p>
        </w:tc>
        <w:tc>
          <w:tcPr>
            <w:tcW w:w="421" w:type="pct"/>
            <w:tcBorders>
              <w:tl2br w:val="nil"/>
              <w:tr2bl w:val="nil"/>
            </w:tcBorders>
            <w:noWrap w:val="0"/>
            <w:vAlign w:val="center"/>
          </w:tcPr>
          <w:p w14:paraId="46DF7461">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人员</w:t>
            </w:r>
          </w:p>
          <w:p w14:paraId="7762202F">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rPr>
              <w:t>伤亡</w:t>
            </w:r>
            <w:r>
              <w:rPr>
                <w:rFonts w:hint="eastAsia" w:ascii="宋体" w:hAnsi="宋体" w:eastAsia="宋体" w:cs="宋体"/>
                <w:color w:val="000000"/>
                <w:sz w:val="21"/>
                <w:szCs w:val="21"/>
                <w:lang w:eastAsia="zh-CN"/>
              </w:rPr>
              <w:t>、</w:t>
            </w:r>
          </w:p>
          <w:p w14:paraId="3DE89FC0">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设备</w:t>
            </w:r>
          </w:p>
          <w:p w14:paraId="58F42883">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损坏</w:t>
            </w:r>
          </w:p>
        </w:tc>
        <w:tc>
          <w:tcPr>
            <w:tcW w:w="369" w:type="pct"/>
            <w:tcBorders>
              <w:tl2br w:val="nil"/>
              <w:tr2bl w:val="nil"/>
            </w:tcBorders>
            <w:noWrap w:val="0"/>
            <w:vAlign w:val="center"/>
          </w:tcPr>
          <w:p w14:paraId="2247BEB3">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lang w:eastAsia="zh-CN"/>
              </w:rPr>
            </w:pPr>
            <w:r>
              <w:rPr>
                <w:rFonts w:hint="eastAsia" w:ascii="微软雅黑" w:hAnsi="微软雅黑" w:eastAsia="微软雅黑" w:cs="微软雅黑"/>
                <w:color w:val="000000"/>
                <w:sz w:val="21"/>
                <w:szCs w:val="21"/>
              </w:rPr>
              <w:t>Ⅲ</w:t>
            </w:r>
          </w:p>
        </w:tc>
        <w:tc>
          <w:tcPr>
            <w:tcW w:w="1653" w:type="pct"/>
            <w:tcBorders>
              <w:tl2br w:val="nil"/>
              <w:tr2bl w:val="nil"/>
            </w:tcBorders>
            <w:noWrap w:val="0"/>
            <w:vAlign w:val="center"/>
          </w:tcPr>
          <w:p w14:paraId="04EEFDD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1.生产作业前对工作帮边坡上的单体危岩和伞檐体进行处理；</w:t>
            </w:r>
          </w:p>
          <w:p w14:paraId="23309C1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2.建立边坡安全检查制度，及时清理浮石；</w:t>
            </w:r>
          </w:p>
          <w:p w14:paraId="5804454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3.合理构筑防排水设施；</w:t>
            </w:r>
          </w:p>
          <w:p w14:paraId="4C0A85B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4.合理确定台阶高度；</w:t>
            </w:r>
          </w:p>
          <w:p w14:paraId="0015B6A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5.作业范围设置明显安全警示标志，防止人、畜进入；</w:t>
            </w:r>
          </w:p>
          <w:p w14:paraId="641E56C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6.边坡维护时应有专人在工作点下方危险范围外监护，防止人员进入。</w:t>
            </w:r>
          </w:p>
        </w:tc>
      </w:tr>
      <w:tr w14:paraId="43464D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96" w:type="pct"/>
            <w:tcBorders>
              <w:tl2br w:val="nil"/>
              <w:tr2bl w:val="nil"/>
            </w:tcBorders>
            <w:noWrap w:val="0"/>
            <w:vAlign w:val="center"/>
          </w:tcPr>
          <w:p w14:paraId="6252D1A3">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高处</w:t>
            </w:r>
          </w:p>
          <w:p w14:paraId="7F9E2F56">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坠落</w:t>
            </w:r>
          </w:p>
        </w:tc>
        <w:tc>
          <w:tcPr>
            <w:tcW w:w="1959" w:type="pct"/>
            <w:tcBorders>
              <w:tl2br w:val="nil"/>
              <w:tr2bl w:val="nil"/>
            </w:tcBorders>
            <w:noWrap w:val="0"/>
            <w:vAlign w:val="center"/>
          </w:tcPr>
          <w:p w14:paraId="0D62353C">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1.操作不熟练；</w:t>
            </w:r>
          </w:p>
          <w:p w14:paraId="473AD2C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2.操作地点不安全；</w:t>
            </w:r>
          </w:p>
          <w:p w14:paraId="0CCAAE6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3.作业前安全检查、处理不到位；</w:t>
            </w:r>
          </w:p>
          <w:p w14:paraId="47CA10A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4.在2m及以上高处作业不系安全带进行边坡处理；</w:t>
            </w:r>
          </w:p>
          <w:p w14:paraId="5D4667C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5.采场边坡作业条件差；</w:t>
            </w:r>
          </w:p>
          <w:p w14:paraId="34921BD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6.外来人、畜进入边坡上部危险区域；</w:t>
            </w:r>
          </w:p>
          <w:p w14:paraId="0A68066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7.工作面参数选择不合理，不能满足设备安全要求。</w:t>
            </w:r>
          </w:p>
        </w:tc>
        <w:tc>
          <w:tcPr>
            <w:tcW w:w="421" w:type="pct"/>
            <w:tcBorders>
              <w:tl2br w:val="nil"/>
              <w:tr2bl w:val="nil"/>
            </w:tcBorders>
            <w:noWrap w:val="0"/>
            <w:vAlign w:val="center"/>
          </w:tcPr>
          <w:p w14:paraId="19075B69">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人员伤</w:t>
            </w:r>
            <w:r>
              <w:rPr>
                <w:rFonts w:hint="eastAsia" w:ascii="宋体" w:hAnsi="宋体" w:eastAsia="宋体" w:cs="宋体"/>
                <w:color w:val="000000"/>
                <w:sz w:val="21"/>
                <w:szCs w:val="21"/>
                <w:lang w:val="en-US" w:eastAsia="zh-CN"/>
              </w:rPr>
              <w:t>亡</w:t>
            </w:r>
            <w:r>
              <w:rPr>
                <w:rFonts w:hint="eastAsia" w:ascii="宋体" w:hAnsi="宋体" w:eastAsia="宋体" w:cs="宋体"/>
                <w:color w:val="000000"/>
                <w:sz w:val="21"/>
                <w:szCs w:val="21"/>
              </w:rPr>
              <w:t>、设备损坏</w:t>
            </w:r>
          </w:p>
        </w:tc>
        <w:tc>
          <w:tcPr>
            <w:tcW w:w="369" w:type="pct"/>
            <w:tcBorders>
              <w:tl2br w:val="nil"/>
              <w:tr2bl w:val="nil"/>
            </w:tcBorders>
            <w:noWrap w:val="0"/>
            <w:vAlign w:val="center"/>
          </w:tcPr>
          <w:p w14:paraId="7310660F">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微软雅黑" w:hAnsi="微软雅黑" w:eastAsia="微软雅黑" w:cs="微软雅黑"/>
                <w:color w:val="000000"/>
                <w:sz w:val="21"/>
                <w:szCs w:val="21"/>
              </w:rPr>
              <w:t>Ⅲ</w:t>
            </w:r>
          </w:p>
        </w:tc>
        <w:tc>
          <w:tcPr>
            <w:tcW w:w="1653" w:type="pct"/>
            <w:tcBorders>
              <w:tl2br w:val="nil"/>
              <w:tr2bl w:val="nil"/>
            </w:tcBorders>
            <w:noWrap w:val="0"/>
            <w:vAlign w:val="center"/>
          </w:tcPr>
          <w:p w14:paraId="5807F65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1.严格执行操作规程；</w:t>
            </w:r>
          </w:p>
          <w:p w14:paraId="6E90CF8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2.树立先安全后生产的观念，坚持工作前对工作面的安全处理；</w:t>
            </w:r>
          </w:p>
          <w:p w14:paraId="6F37C43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3.加强个人防护措施；作业人员在2m及以上高处作业必须系安全带，要加强现场操作管理；</w:t>
            </w:r>
          </w:p>
          <w:p w14:paraId="60B6AE0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4.在矿界边缘拉设铁丝网作为边界安全护栏，设置警示标志，防止人员或牲畜进入采场区域。</w:t>
            </w:r>
          </w:p>
          <w:p w14:paraId="14DCBC73">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lang w:val="en-US" w:eastAsia="zh-CN"/>
              </w:rPr>
              <w:t>5.</w:t>
            </w:r>
            <w:r>
              <w:rPr>
                <w:rFonts w:hint="eastAsia" w:ascii="宋体" w:hAnsi="宋体" w:eastAsia="宋体" w:cs="宋体"/>
                <w:color w:val="000000"/>
                <w:sz w:val="21"/>
                <w:szCs w:val="21"/>
              </w:rPr>
              <w:t>依据作业设备，确定合理台阶高度，最小工作平台宽度，最小工作线长度。</w:t>
            </w:r>
          </w:p>
        </w:tc>
      </w:tr>
      <w:tr w14:paraId="2A5DBF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96" w:type="pct"/>
            <w:tcBorders>
              <w:tl2br w:val="nil"/>
              <w:tr2bl w:val="nil"/>
            </w:tcBorders>
            <w:noWrap w:val="0"/>
            <w:vAlign w:val="center"/>
          </w:tcPr>
          <w:p w14:paraId="080570BB">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车辆</w:t>
            </w:r>
          </w:p>
          <w:p w14:paraId="401DE8D4">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伤害</w:t>
            </w:r>
          </w:p>
        </w:tc>
        <w:tc>
          <w:tcPr>
            <w:tcW w:w="1959" w:type="pct"/>
            <w:tcBorders>
              <w:tl2br w:val="nil"/>
              <w:tr2bl w:val="nil"/>
            </w:tcBorders>
            <w:noWrap w:val="0"/>
            <w:vAlign w:val="center"/>
          </w:tcPr>
          <w:p w14:paraId="7B908A1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1.挖掘机、装载机在作业平台上挖装矿石，如果作业平台宽度不足，视线不好，人车混行，现场行车</w:t>
            </w:r>
            <w:r>
              <w:rPr>
                <w:rFonts w:hint="eastAsia" w:ascii="宋体" w:hAnsi="宋体" w:cs="宋体"/>
                <w:color w:val="000000"/>
                <w:sz w:val="21"/>
                <w:szCs w:val="21"/>
                <w:lang w:eastAsia="zh-CN"/>
              </w:rPr>
              <w:t>秩序</w:t>
            </w:r>
            <w:r>
              <w:rPr>
                <w:rFonts w:hint="eastAsia" w:ascii="宋体" w:hAnsi="宋体" w:eastAsia="宋体" w:cs="宋体"/>
                <w:color w:val="000000"/>
                <w:sz w:val="21"/>
                <w:szCs w:val="21"/>
              </w:rPr>
              <w:t>混乱，铲装作业无专人指挥，均有可能导致车辆伤害事故的发生。</w:t>
            </w:r>
          </w:p>
          <w:p w14:paraId="1C1F34C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2.采装设备与运输设备的安全距离不足，人员违规在挖掘机、装载机铲斗、机械的活动范围内行走、逗留，稍有不慎就有可能发生车辆伤害。</w:t>
            </w:r>
          </w:p>
          <w:p w14:paraId="67846E1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3.采装作业无人监护、无人指挥。</w:t>
            </w:r>
          </w:p>
        </w:tc>
        <w:tc>
          <w:tcPr>
            <w:tcW w:w="421" w:type="pct"/>
            <w:tcBorders>
              <w:tl2br w:val="nil"/>
              <w:tr2bl w:val="nil"/>
            </w:tcBorders>
            <w:noWrap w:val="0"/>
            <w:vAlign w:val="center"/>
          </w:tcPr>
          <w:p w14:paraId="79C2E4E5">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人员伤害、设备损坏</w:t>
            </w:r>
          </w:p>
        </w:tc>
        <w:tc>
          <w:tcPr>
            <w:tcW w:w="369" w:type="pct"/>
            <w:tcBorders>
              <w:tl2br w:val="nil"/>
              <w:tr2bl w:val="nil"/>
            </w:tcBorders>
            <w:noWrap w:val="0"/>
            <w:vAlign w:val="center"/>
          </w:tcPr>
          <w:p w14:paraId="3A661B5A">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color w:val="000000"/>
                <w:sz w:val="21"/>
                <w:szCs w:val="21"/>
              </w:rPr>
            </w:pPr>
            <w:r>
              <w:rPr>
                <w:rFonts w:hint="eastAsia" w:ascii="微软雅黑" w:hAnsi="微软雅黑" w:eastAsia="微软雅黑" w:cs="微软雅黑"/>
                <w:color w:val="000000"/>
                <w:sz w:val="21"/>
                <w:szCs w:val="21"/>
              </w:rPr>
              <w:t>Ⅲ</w:t>
            </w:r>
          </w:p>
        </w:tc>
        <w:tc>
          <w:tcPr>
            <w:tcW w:w="1653" w:type="pct"/>
            <w:tcBorders>
              <w:tl2br w:val="nil"/>
              <w:tr2bl w:val="nil"/>
            </w:tcBorders>
            <w:noWrap w:val="0"/>
            <w:vAlign w:val="center"/>
          </w:tcPr>
          <w:p w14:paraId="0A59025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1.制定采装作业安全操作规程；</w:t>
            </w:r>
          </w:p>
          <w:p w14:paraId="326EC16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2.确保作业平台宽度符合设计要求；</w:t>
            </w:r>
          </w:p>
          <w:p w14:paraId="1AFE514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3.采装作业安排专人负责指挥和监督；</w:t>
            </w:r>
          </w:p>
          <w:p w14:paraId="5FCFC16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4.确保采装和运输设备的安全距离；</w:t>
            </w:r>
          </w:p>
          <w:p w14:paraId="2B47348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5.无关人员不得进入采装作业场所；</w:t>
            </w:r>
          </w:p>
          <w:p w14:paraId="1BCC52C9">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6.设置安全警示标志。</w:t>
            </w:r>
          </w:p>
        </w:tc>
      </w:tr>
    </w:tbl>
    <w:p w14:paraId="16955DC8">
      <w:pPr>
        <w:pStyle w:val="14"/>
        <w:bidi w:val="0"/>
        <w:rPr>
          <w:rFonts w:hint="eastAsia" w:ascii="Times New Roman" w:hAnsi="Times New Roman" w:eastAsia="宋体" w:cs="Times New Roman"/>
        </w:rPr>
      </w:pPr>
      <w:r>
        <w:rPr>
          <w:rFonts w:hint="eastAsia" w:ascii="Times New Roman" w:hAnsi="Times New Roman" w:eastAsia="宋体" w:cs="Times New Roman"/>
        </w:rPr>
        <w:t>通过</w:t>
      </w:r>
      <w:r>
        <w:rPr>
          <w:rFonts w:hint="eastAsia" w:ascii="Times New Roman" w:hAnsi="Times New Roman" w:eastAsia="宋体" w:cs="Times New Roman"/>
          <w:lang w:val="en-US" w:eastAsia="zh-CN"/>
        </w:rPr>
        <w:t>对采剥单元的</w:t>
      </w:r>
      <w:r>
        <w:rPr>
          <w:rFonts w:hint="eastAsia" w:ascii="Times New Roman" w:hAnsi="Times New Roman" w:eastAsia="宋体" w:cs="Times New Roman"/>
        </w:rPr>
        <w:t>预先危险性分析，采场边坡</w:t>
      </w:r>
      <w:r>
        <w:rPr>
          <w:rFonts w:hint="eastAsia" w:ascii="Times New Roman" w:hAnsi="Times New Roman" w:eastAsia="宋体" w:cs="Times New Roman"/>
          <w:lang w:val="en-US" w:eastAsia="zh-CN"/>
        </w:rPr>
        <w:t>失稳（</w:t>
      </w:r>
      <w:r>
        <w:rPr>
          <w:rFonts w:hint="eastAsia" w:cs="Times New Roman"/>
          <w:lang w:eastAsia="zh-CN"/>
        </w:rPr>
        <w:t>坍塌</w:t>
      </w:r>
      <w:r>
        <w:rPr>
          <w:rFonts w:hint="eastAsia" w:ascii="Times New Roman" w:hAnsi="Times New Roman" w:eastAsia="宋体" w:cs="Times New Roman"/>
          <w:lang w:eastAsia="zh-CN"/>
        </w:rPr>
        <w:t>、</w:t>
      </w:r>
      <w:r>
        <w:rPr>
          <w:rFonts w:hint="eastAsia" w:ascii="Times New Roman" w:hAnsi="Times New Roman" w:eastAsia="宋体" w:cs="Times New Roman"/>
        </w:rPr>
        <w:t>滑坡、泥石流</w:t>
      </w:r>
      <w:r>
        <w:rPr>
          <w:rFonts w:hint="eastAsia" w:ascii="Times New Roman" w:hAnsi="Times New Roman" w:eastAsia="宋体" w:cs="Times New Roman"/>
          <w:lang w:eastAsia="zh-CN"/>
        </w:rPr>
        <w:t>）</w:t>
      </w:r>
      <w:r>
        <w:rPr>
          <w:rFonts w:hint="eastAsia" w:ascii="Times New Roman" w:hAnsi="Times New Roman" w:eastAsia="宋体" w:cs="Times New Roman"/>
        </w:rPr>
        <w:t>、物体打击、车辆伤害及高处坠落的危险等级均为Ⅲ级，危险性较高，会造成人员伤亡或</w:t>
      </w:r>
      <w:r>
        <w:rPr>
          <w:rFonts w:hint="eastAsia" w:ascii="Times New Roman" w:hAnsi="Times New Roman" w:eastAsia="宋体" w:cs="Times New Roman"/>
          <w:lang w:val="en-US" w:eastAsia="zh-CN"/>
        </w:rPr>
        <w:t>设备设施</w:t>
      </w:r>
      <w:r>
        <w:rPr>
          <w:rFonts w:hint="eastAsia" w:ascii="Times New Roman" w:hAnsi="Times New Roman" w:eastAsia="宋体" w:cs="Times New Roman"/>
        </w:rPr>
        <w:t>的破坏。需要采取防范对策措施，确保矿山采剥作业的安全。</w:t>
      </w:r>
    </w:p>
    <w:p w14:paraId="512C3273">
      <w:pPr>
        <w:pStyle w:val="4"/>
        <w:bidi w:val="0"/>
        <w:rPr>
          <w:rFonts w:hint="eastAsia"/>
        </w:rPr>
      </w:pPr>
      <w:bookmarkStart w:id="189" w:name="_Toc3702"/>
      <w:r>
        <w:rPr>
          <w:rFonts w:hint="eastAsia"/>
        </w:rPr>
        <w:t>安全检查表</w:t>
      </w:r>
      <w:r>
        <w:rPr>
          <w:rFonts w:hint="eastAsia"/>
          <w:lang w:val="en-US" w:eastAsia="zh-CN"/>
        </w:rPr>
        <w:t>分析评价</w:t>
      </w:r>
      <w:bookmarkEnd w:id="189"/>
    </w:p>
    <w:p w14:paraId="44E645A1">
      <w:pPr>
        <w:bidi w:val="0"/>
        <w:rPr>
          <w:rFonts w:hint="eastAsia" w:ascii="宋体" w:hAnsi="宋体" w:eastAsia="宋体" w:cs="宋体"/>
          <w:lang w:val="en-US" w:eastAsia="zh-CN"/>
        </w:rPr>
      </w:pPr>
      <w:r>
        <w:rPr>
          <w:rFonts w:hint="eastAsia" w:ascii="宋体" w:hAnsi="宋体" w:eastAsia="宋体" w:cs="宋体"/>
          <w:lang w:val="en-US" w:eastAsia="zh-CN"/>
        </w:rPr>
        <w:t>根</w:t>
      </w:r>
      <w:r>
        <w:rPr>
          <w:rFonts w:hint="eastAsia" w:ascii="宋体" w:hAnsi="宋体" w:eastAsia="宋体" w:cs="宋体"/>
        </w:rPr>
        <w:t>据《金属非金属矿山安全规程》</w:t>
      </w:r>
      <w:r>
        <w:rPr>
          <w:rFonts w:hint="eastAsia" w:ascii="宋体" w:hAnsi="宋体" w:eastAsia="宋体" w:cs="宋体"/>
          <w:lang w:val="en-US" w:eastAsia="zh-CN"/>
        </w:rPr>
        <w:t>(</w:t>
      </w:r>
      <w:r>
        <w:rPr>
          <w:rFonts w:hint="eastAsia" w:ascii="宋体" w:hAnsi="宋体" w:eastAsia="宋体" w:cs="宋体"/>
        </w:rPr>
        <w:t>GB</w:t>
      </w:r>
      <w:r>
        <w:rPr>
          <w:rFonts w:hint="eastAsia" w:ascii="宋体" w:hAnsi="宋体" w:eastAsia="宋体" w:cs="宋体"/>
          <w:lang w:val="en-US" w:eastAsia="zh-CN"/>
        </w:rPr>
        <w:t xml:space="preserve"> </w:t>
      </w:r>
      <w:r>
        <w:rPr>
          <w:rFonts w:hint="eastAsia" w:ascii="宋体" w:hAnsi="宋体" w:eastAsia="宋体" w:cs="宋体"/>
        </w:rPr>
        <w:t>16423-2020</w:t>
      </w:r>
      <w:r>
        <w:rPr>
          <w:rFonts w:hint="eastAsia" w:ascii="宋体" w:hAnsi="宋体" w:cs="宋体"/>
          <w:lang w:eastAsia="zh-CN"/>
        </w:rPr>
        <w:t>)</w:t>
      </w:r>
      <w:r>
        <w:rPr>
          <w:rFonts w:hint="eastAsia" w:ascii="宋体" w:hAnsi="宋体" w:eastAsia="宋体" w:cs="宋体"/>
          <w:lang w:eastAsia="zh-CN"/>
        </w:rPr>
        <w:t>、</w:t>
      </w:r>
      <w:r>
        <w:rPr>
          <w:rFonts w:hint="eastAsia" w:ascii="宋体" w:hAnsi="宋体" w:eastAsia="宋体" w:cs="宋体"/>
        </w:rPr>
        <w:t>《小型露天采石场安全管理与监督检查规定》（原国家安全监管总局令78号修正）</w:t>
      </w:r>
      <w:r>
        <w:rPr>
          <w:rFonts w:hint="eastAsia" w:ascii="宋体" w:hAnsi="宋体" w:eastAsia="宋体" w:cs="宋体"/>
          <w:lang w:val="en-US" w:eastAsia="zh-CN"/>
        </w:rPr>
        <w:t>中的相关内容对初步设计的</w:t>
      </w:r>
      <w:r>
        <w:rPr>
          <w:rFonts w:hint="eastAsia" w:ascii="宋体" w:hAnsi="宋体" w:eastAsia="宋体" w:cs="宋体"/>
          <w:lang w:eastAsia="zh-CN"/>
        </w:rPr>
        <w:t>采剥</w:t>
      </w:r>
      <w:r>
        <w:rPr>
          <w:rFonts w:hint="eastAsia" w:ascii="宋体" w:hAnsi="宋体" w:eastAsia="宋体" w:cs="宋体"/>
        </w:rPr>
        <w:t>单元进行</w:t>
      </w:r>
      <w:r>
        <w:rPr>
          <w:rFonts w:hint="eastAsia" w:ascii="宋体" w:hAnsi="宋体" w:eastAsia="宋体" w:cs="宋体"/>
          <w:lang w:val="en-US" w:eastAsia="zh-CN"/>
        </w:rPr>
        <w:t>符合性检查</w:t>
      </w:r>
      <w:r>
        <w:rPr>
          <w:rFonts w:hint="eastAsia" w:ascii="宋体" w:hAnsi="宋体" w:eastAsia="宋体" w:cs="宋体"/>
        </w:rPr>
        <w:t>。</w:t>
      </w:r>
    </w:p>
    <w:p w14:paraId="7BC0C5FB">
      <w:pPr>
        <w:pStyle w:val="11"/>
        <w:ind w:left="0" w:leftChars="0" w:firstLine="0" w:firstLineChars="0"/>
        <w:jc w:val="center"/>
        <w:rPr>
          <w:rFonts w:hint="eastAsia" w:eastAsia="宋体"/>
          <w:lang w:eastAsia="zh-CN"/>
        </w:rPr>
      </w:pPr>
      <w:r>
        <w:t xml:space="preserve">表 </w:t>
      </w:r>
      <w:r>
        <w:fldChar w:fldCharType="begin"/>
      </w:r>
      <w:r>
        <w:instrText xml:space="preserve"> STYLEREF 1 \s </w:instrText>
      </w:r>
      <w:r>
        <w:fldChar w:fldCharType="separate"/>
      </w:r>
      <w:r>
        <w:t>3</w:t>
      </w:r>
      <w:r>
        <w:fldChar w:fldCharType="end"/>
      </w:r>
      <w:r>
        <w:rPr>
          <w:rFonts w:hint="eastAsia"/>
          <w:lang w:eastAsia="zh-CN"/>
        </w:rPr>
        <w:t>-</w:t>
      </w:r>
      <w:r>
        <w:fldChar w:fldCharType="begin"/>
      </w:r>
      <w:r>
        <w:instrText xml:space="preserve"> SEQ 表 \* ARABIC \s 1 </w:instrText>
      </w:r>
      <w:r>
        <w:fldChar w:fldCharType="separate"/>
      </w:r>
      <w:r>
        <w:t>15</w:t>
      </w:r>
      <w:r>
        <w:fldChar w:fldCharType="end"/>
      </w:r>
      <w:r>
        <w:rPr>
          <w:rFonts w:hint="eastAsia"/>
          <w:lang w:eastAsia="zh-CN"/>
        </w:rPr>
        <w:t xml:space="preserve"> 采剥单元安全检查表</w:t>
      </w:r>
    </w:p>
    <w:tbl>
      <w:tblPr>
        <w:tblStyle w:val="29"/>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01"/>
        <w:gridCol w:w="4002"/>
        <w:gridCol w:w="1896"/>
        <w:gridCol w:w="1632"/>
        <w:gridCol w:w="1082"/>
      </w:tblGrid>
      <w:tr w14:paraId="5C66DC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75" w:type="pct"/>
            <w:tcBorders>
              <w:tl2br w:val="nil"/>
              <w:tr2bl w:val="nil"/>
            </w:tcBorders>
            <w:noWrap w:val="0"/>
            <w:vAlign w:val="center"/>
          </w:tcPr>
          <w:p w14:paraId="1EEDFAFE">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序号</w:t>
            </w:r>
          </w:p>
        </w:tc>
        <w:tc>
          <w:tcPr>
            <w:tcW w:w="2195" w:type="pct"/>
            <w:tcBorders>
              <w:tl2br w:val="nil"/>
              <w:tr2bl w:val="nil"/>
            </w:tcBorders>
            <w:noWrap w:val="0"/>
            <w:vAlign w:val="center"/>
          </w:tcPr>
          <w:p w14:paraId="6BC287E7">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检查项目</w:t>
            </w:r>
          </w:p>
        </w:tc>
        <w:tc>
          <w:tcPr>
            <w:tcW w:w="1040" w:type="pct"/>
            <w:tcBorders>
              <w:tl2br w:val="nil"/>
              <w:tr2bl w:val="nil"/>
            </w:tcBorders>
            <w:noWrap w:val="0"/>
            <w:vAlign w:val="center"/>
          </w:tcPr>
          <w:p w14:paraId="52A213DB">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检查依据</w:t>
            </w:r>
          </w:p>
        </w:tc>
        <w:tc>
          <w:tcPr>
            <w:tcW w:w="895" w:type="pct"/>
            <w:tcBorders>
              <w:tl2br w:val="nil"/>
              <w:tr2bl w:val="nil"/>
            </w:tcBorders>
            <w:noWrap w:val="0"/>
            <w:vAlign w:val="center"/>
          </w:tcPr>
          <w:p w14:paraId="721EE68B">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spacing w:val="4"/>
                <w:kern w:val="10"/>
                <w:position w:val="2"/>
                <w:sz w:val="21"/>
                <w:szCs w:val="21"/>
              </w:rPr>
            </w:pPr>
            <w:r>
              <w:rPr>
                <w:rFonts w:hint="eastAsia" w:ascii="宋体" w:hAnsi="宋体" w:eastAsia="宋体" w:cs="宋体"/>
                <w:b/>
                <w:spacing w:val="4"/>
                <w:kern w:val="10"/>
                <w:position w:val="2"/>
                <w:sz w:val="21"/>
                <w:szCs w:val="21"/>
              </w:rPr>
              <w:t>设计检查情况</w:t>
            </w:r>
          </w:p>
        </w:tc>
        <w:tc>
          <w:tcPr>
            <w:tcW w:w="593" w:type="pct"/>
            <w:tcBorders>
              <w:tl2br w:val="nil"/>
              <w:tr2bl w:val="nil"/>
            </w:tcBorders>
            <w:noWrap w:val="0"/>
            <w:vAlign w:val="center"/>
          </w:tcPr>
          <w:p w14:paraId="6418B9D6">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检查结果</w:t>
            </w:r>
          </w:p>
        </w:tc>
      </w:tr>
      <w:tr w14:paraId="2EA6D8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5" w:type="pct"/>
            <w:tcBorders>
              <w:tl2br w:val="nil"/>
              <w:tr2bl w:val="nil"/>
            </w:tcBorders>
            <w:noWrap w:val="0"/>
            <w:vAlign w:val="center"/>
          </w:tcPr>
          <w:p w14:paraId="6765FB0B">
            <w:pPr>
              <w:keepNext w:val="0"/>
              <w:keepLines w:val="0"/>
              <w:pageBreakBefore w:val="0"/>
              <w:widowControl w:val="0"/>
              <w:numPr>
                <w:ilvl w:val="0"/>
                <w:numId w:val="53"/>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2195" w:type="pct"/>
            <w:tcBorders>
              <w:tl2br w:val="nil"/>
              <w:tr2bl w:val="nil"/>
            </w:tcBorders>
            <w:noWrap w:val="0"/>
            <w:vAlign w:val="center"/>
          </w:tcPr>
          <w:p w14:paraId="379681B2">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ascii="宋体" w:hAnsi="宋体" w:eastAsia="宋体" w:cs="宋体"/>
                <w:color w:val="000000"/>
                <w:spacing w:val="0"/>
                <w:w w:val="100"/>
                <w:kern w:val="2"/>
                <w:position w:val="0"/>
                <w:sz w:val="21"/>
                <w:szCs w:val="21"/>
                <w:lang w:val="en-US" w:eastAsia="zh-CN" w:bidi="ar-SA"/>
              </w:rPr>
            </w:pPr>
            <w:r>
              <w:rPr>
                <w:rFonts w:hint="eastAsia" w:ascii="宋体" w:hAnsi="宋体" w:eastAsia="宋体" w:cs="宋体"/>
                <w:color w:val="000000"/>
                <w:spacing w:val="0"/>
                <w:w w:val="100"/>
                <w:kern w:val="2"/>
                <w:position w:val="0"/>
                <w:sz w:val="21"/>
                <w:szCs w:val="21"/>
                <w:lang w:val="en-US" w:eastAsia="zh-CN" w:bidi="ar-SA"/>
              </w:rPr>
              <w:t>露天开采应遵循自上而下的开采顺序，分台阶开采。生产台阶高度应符合规定。</w:t>
            </w:r>
          </w:p>
          <w:p w14:paraId="13B0242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ascii="宋体" w:hAnsi="宋体" w:eastAsia="宋体" w:cs="宋体"/>
                <w:color w:val="000000"/>
                <w:spacing w:val="0"/>
                <w:w w:val="100"/>
                <w:kern w:val="2"/>
                <w:position w:val="0"/>
                <w:sz w:val="21"/>
                <w:szCs w:val="21"/>
                <w:lang w:val="en-US" w:eastAsia="zh-CN" w:bidi="ar-SA"/>
              </w:rPr>
            </w:pPr>
            <w:r>
              <w:rPr>
                <w:rFonts w:hint="eastAsia" w:ascii="宋体" w:hAnsi="宋体" w:eastAsia="宋体" w:cs="宋体"/>
                <w:color w:val="000000"/>
                <w:spacing w:val="0"/>
                <w:w w:val="100"/>
                <w:kern w:val="2"/>
                <w:position w:val="0"/>
                <w:sz w:val="21"/>
                <w:szCs w:val="21"/>
                <w:lang w:val="en-US" w:eastAsia="zh-CN" w:bidi="ar-SA"/>
              </w:rPr>
              <w:t>1）松软的岩土、砂状的矿岩，机械铲装（不爆破）台阶高度不大于机械的最大挖掘高度；</w:t>
            </w:r>
          </w:p>
          <w:p w14:paraId="111EA37F">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ascii="宋体" w:hAnsi="宋体" w:eastAsia="宋体" w:cs="宋体"/>
                <w:color w:val="000000"/>
                <w:spacing w:val="0"/>
                <w:w w:val="100"/>
                <w:kern w:val="2"/>
                <w:position w:val="0"/>
                <w:sz w:val="21"/>
                <w:szCs w:val="21"/>
                <w:lang w:val="en-US" w:eastAsia="zh-CN" w:bidi="ar-SA"/>
              </w:rPr>
            </w:pPr>
            <w:r>
              <w:rPr>
                <w:rFonts w:hint="eastAsia" w:ascii="宋体" w:hAnsi="宋体" w:eastAsia="宋体" w:cs="宋体"/>
                <w:color w:val="000000"/>
                <w:spacing w:val="0"/>
                <w:w w:val="100"/>
                <w:kern w:val="2"/>
                <w:position w:val="0"/>
                <w:sz w:val="21"/>
                <w:szCs w:val="21"/>
                <w:lang w:val="en-US" w:eastAsia="zh-CN" w:bidi="ar-SA"/>
              </w:rPr>
              <w:t>2）坚硬稳固的矿岩机械铲装（爆破）台阶高度不大于机械最大挖掘高度的</w:t>
            </w:r>
            <w:r>
              <w:rPr>
                <w:rFonts w:hint="eastAsia" w:ascii="宋体" w:hAnsi="宋体" w:eastAsia="宋体" w:cs="宋体"/>
                <w:color w:val="000000"/>
                <w:spacing w:val="0"/>
                <w:w w:val="100"/>
                <w:kern w:val="2"/>
                <w:position w:val="0"/>
                <w:sz w:val="21"/>
                <w:szCs w:val="21"/>
                <w:lang w:val="en-US" w:eastAsia="en-US" w:bidi="ar-SA"/>
              </w:rPr>
              <w:t>1.5</w:t>
            </w:r>
            <w:r>
              <w:rPr>
                <w:rFonts w:hint="eastAsia" w:ascii="宋体" w:hAnsi="宋体" w:eastAsia="宋体" w:cs="宋体"/>
                <w:color w:val="000000"/>
                <w:spacing w:val="0"/>
                <w:w w:val="100"/>
                <w:kern w:val="2"/>
                <w:position w:val="0"/>
                <w:sz w:val="21"/>
                <w:szCs w:val="21"/>
                <w:lang w:val="en-US" w:eastAsia="zh-CN" w:bidi="ar-SA"/>
              </w:rPr>
              <w:t>倍。</w:t>
            </w:r>
          </w:p>
        </w:tc>
        <w:tc>
          <w:tcPr>
            <w:tcW w:w="1040" w:type="pct"/>
            <w:tcBorders>
              <w:tl2br w:val="nil"/>
              <w:tr2bl w:val="nil"/>
            </w:tcBorders>
            <w:noWrap w:val="0"/>
            <w:vAlign w:val="center"/>
          </w:tcPr>
          <w:p w14:paraId="226825C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《金属非金属矿山安全规程》</w:t>
            </w:r>
            <w:r>
              <w:rPr>
                <w:rFonts w:hint="eastAsia" w:ascii="宋体" w:hAnsi="宋体" w:cs="宋体"/>
                <w:color w:val="000000"/>
                <w:sz w:val="21"/>
                <w:szCs w:val="21"/>
              </w:rPr>
              <w:t>（GB16423-2020）</w:t>
            </w:r>
          </w:p>
          <w:p w14:paraId="55A869A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第5.2.1.1条</w:t>
            </w:r>
          </w:p>
        </w:tc>
        <w:tc>
          <w:tcPr>
            <w:tcW w:w="895" w:type="pct"/>
            <w:tcBorders>
              <w:tl2br w:val="nil"/>
              <w:tr2bl w:val="nil"/>
            </w:tcBorders>
            <w:noWrap w:val="0"/>
            <w:vAlign w:val="center"/>
          </w:tcPr>
          <w:p w14:paraId="742F17A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ascii="宋体" w:hAnsi="宋体" w:eastAsia="宋体" w:cs="宋体"/>
                <w:color w:val="000000"/>
                <w:spacing w:val="0"/>
                <w:w w:val="100"/>
                <w:kern w:val="2"/>
                <w:position w:val="0"/>
                <w:sz w:val="21"/>
                <w:szCs w:val="21"/>
                <w:lang w:val="en-US" w:eastAsia="zh-CN" w:bidi="ar-SA"/>
              </w:rPr>
            </w:pPr>
            <w:r>
              <w:rPr>
                <w:rFonts w:hint="eastAsia" w:ascii="宋体" w:hAnsi="宋体" w:cs="宋体"/>
                <w:color w:val="000000"/>
                <w:spacing w:val="0"/>
                <w:w w:val="100"/>
                <w:kern w:val="2"/>
                <w:position w:val="0"/>
                <w:sz w:val="21"/>
                <w:szCs w:val="21"/>
                <w:lang w:val="en-US" w:eastAsia="zh-CN" w:bidi="ar-SA"/>
              </w:rPr>
              <w:t>设计</w:t>
            </w:r>
            <w:r>
              <w:rPr>
                <w:rFonts w:hint="eastAsia" w:ascii="宋体" w:hAnsi="宋体" w:eastAsia="宋体" w:cs="宋体"/>
                <w:color w:val="000000"/>
                <w:spacing w:val="0"/>
                <w:w w:val="100"/>
                <w:kern w:val="2"/>
                <w:position w:val="0"/>
                <w:sz w:val="21"/>
                <w:szCs w:val="21"/>
                <w:lang w:val="en-US" w:eastAsia="zh-CN" w:bidi="ar-SA"/>
              </w:rPr>
              <w:t>矿山开采顺序为自上而下分台阶开采。</w:t>
            </w:r>
            <w:r>
              <w:rPr>
                <w:rFonts w:hint="eastAsia" w:ascii="宋体" w:hAnsi="宋体" w:cs="宋体"/>
                <w:color w:val="000000"/>
                <w:spacing w:val="0"/>
                <w:w w:val="100"/>
                <w:kern w:val="2"/>
                <w:position w:val="0"/>
                <w:sz w:val="21"/>
                <w:szCs w:val="21"/>
                <w:lang w:val="en-US" w:eastAsia="zh-CN" w:bidi="ar-SA"/>
              </w:rPr>
              <w:t>设计</w:t>
            </w:r>
            <w:r>
              <w:rPr>
                <w:rFonts w:hint="eastAsia" w:ascii="宋体" w:hAnsi="宋体" w:eastAsia="宋体" w:cs="宋体"/>
                <w:color w:val="000000"/>
                <w:spacing w:val="0"/>
                <w:w w:val="100"/>
                <w:kern w:val="2"/>
                <w:position w:val="0"/>
                <w:sz w:val="21"/>
                <w:szCs w:val="21"/>
                <w:lang w:val="en-US" w:eastAsia="zh-CN" w:bidi="ar-SA"/>
              </w:rPr>
              <w:t>生产台阶高度</w:t>
            </w:r>
            <w:r>
              <w:rPr>
                <w:rFonts w:hint="eastAsia" w:ascii="宋体" w:hAnsi="宋体" w:cs="宋体"/>
                <w:color w:val="000000"/>
                <w:spacing w:val="0"/>
                <w:w w:val="100"/>
                <w:kern w:val="2"/>
                <w:position w:val="0"/>
                <w:sz w:val="21"/>
                <w:szCs w:val="21"/>
                <w:lang w:val="en-US" w:eastAsia="zh-CN" w:bidi="ar-SA"/>
              </w:rPr>
              <w:t>为8m</w:t>
            </w:r>
            <w:r>
              <w:rPr>
                <w:rFonts w:hint="eastAsia" w:ascii="宋体" w:hAnsi="宋体" w:eastAsia="宋体" w:cs="宋体"/>
                <w:color w:val="000000"/>
                <w:spacing w:val="0"/>
                <w:w w:val="100"/>
                <w:kern w:val="2"/>
                <w:position w:val="0"/>
                <w:sz w:val="21"/>
                <w:szCs w:val="21"/>
                <w:lang w:val="en-US" w:eastAsia="zh-CN" w:bidi="ar-SA"/>
              </w:rPr>
              <w:t>。</w:t>
            </w:r>
          </w:p>
        </w:tc>
        <w:tc>
          <w:tcPr>
            <w:tcW w:w="593" w:type="pct"/>
            <w:tcBorders>
              <w:tl2br w:val="nil"/>
              <w:tr2bl w:val="nil"/>
            </w:tcBorders>
            <w:noWrap w:val="0"/>
            <w:vAlign w:val="center"/>
          </w:tcPr>
          <w:p w14:paraId="29F84E2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Cs/>
                <w:color w:val="auto"/>
                <w:sz w:val="21"/>
                <w:szCs w:val="21"/>
                <w:lang w:val="en-US" w:eastAsia="zh-CN"/>
              </w:rPr>
            </w:pPr>
            <w:r>
              <w:rPr>
                <w:rFonts w:hint="eastAsia" w:ascii="宋体" w:hAnsi="宋体" w:eastAsia="宋体" w:cs="宋体"/>
                <w:bCs/>
                <w:color w:val="auto"/>
                <w:sz w:val="21"/>
                <w:szCs w:val="21"/>
              </w:rPr>
              <w:t>符合</w:t>
            </w:r>
          </w:p>
        </w:tc>
      </w:tr>
      <w:tr w14:paraId="45D285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5" w:type="pct"/>
            <w:tcBorders>
              <w:tl2br w:val="nil"/>
              <w:tr2bl w:val="nil"/>
            </w:tcBorders>
            <w:noWrap w:val="0"/>
            <w:vAlign w:val="center"/>
          </w:tcPr>
          <w:p w14:paraId="0DB07456">
            <w:pPr>
              <w:keepNext w:val="0"/>
              <w:keepLines w:val="0"/>
              <w:pageBreakBefore w:val="0"/>
              <w:widowControl w:val="0"/>
              <w:numPr>
                <w:ilvl w:val="0"/>
                <w:numId w:val="53"/>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2195" w:type="pct"/>
            <w:tcBorders>
              <w:tl2br w:val="nil"/>
              <w:tr2bl w:val="nil"/>
            </w:tcBorders>
            <w:noWrap w:val="0"/>
            <w:vAlign w:val="center"/>
          </w:tcPr>
          <w:p w14:paraId="24FFBEF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ascii="宋体" w:hAnsi="宋体" w:eastAsia="宋体" w:cs="宋体"/>
                <w:color w:val="000000"/>
                <w:spacing w:val="0"/>
                <w:w w:val="100"/>
                <w:kern w:val="2"/>
                <w:position w:val="0"/>
                <w:sz w:val="21"/>
                <w:szCs w:val="21"/>
                <w:lang w:val="en-US" w:eastAsia="zh-CN" w:bidi="ar-SA"/>
              </w:rPr>
            </w:pPr>
            <w:r>
              <w:rPr>
                <w:rFonts w:hint="eastAsia" w:ascii="宋体" w:hAnsi="宋体" w:eastAsia="宋体" w:cs="宋体"/>
                <w:color w:val="000000"/>
                <w:spacing w:val="0"/>
                <w:w w:val="100"/>
                <w:kern w:val="2"/>
                <w:position w:val="0"/>
                <w:sz w:val="21"/>
                <w:szCs w:val="21"/>
                <w:lang w:val="en-US" w:eastAsia="zh-CN" w:bidi="ar-SA"/>
              </w:rPr>
              <w:t>露天矿山应该采用机械方式进行开采。</w:t>
            </w:r>
          </w:p>
        </w:tc>
        <w:tc>
          <w:tcPr>
            <w:tcW w:w="1040" w:type="pct"/>
            <w:tcBorders>
              <w:tl2br w:val="nil"/>
              <w:tr2bl w:val="nil"/>
            </w:tcBorders>
            <w:noWrap w:val="0"/>
            <w:vAlign w:val="center"/>
          </w:tcPr>
          <w:p w14:paraId="3331C97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《金属非金属矿山安全规程》</w:t>
            </w:r>
            <w:r>
              <w:rPr>
                <w:rFonts w:hint="eastAsia" w:ascii="宋体" w:hAnsi="宋体" w:cs="宋体"/>
                <w:color w:val="000000"/>
                <w:sz w:val="21"/>
                <w:szCs w:val="21"/>
              </w:rPr>
              <w:t>（GB16423-2020）</w:t>
            </w:r>
          </w:p>
          <w:p w14:paraId="6872F91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第5.2.1.2条</w:t>
            </w:r>
          </w:p>
        </w:tc>
        <w:tc>
          <w:tcPr>
            <w:tcW w:w="895" w:type="pct"/>
            <w:tcBorders>
              <w:tl2br w:val="nil"/>
              <w:tr2bl w:val="nil"/>
            </w:tcBorders>
            <w:noWrap w:val="0"/>
            <w:vAlign w:val="center"/>
          </w:tcPr>
          <w:p w14:paraId="0378FC7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default" w:ascii="宋体" w:hAnsi="宋体" w:eastAsia="宋体" w:cs="宋体"/>
                <w:color w:val="000000"/>
                <w:spacing w:val="0"/>
                <w:w w:val="100"/>
                <w:kern w:val="2"/>
                <w:position w:val="0"/>
                <w:sz w:val="21"/>
                <w:szCs w:val="21"/>
                <w:lang w:val="en-US" w:eastAsia="zh-CN" w:bidi="ar-SA"/>
              </w:rPr>
            </w:pPr>
            <w:r>
              <w:rPr>
                <w:rFonts w:hint="eastAsia" w:ascii="宋体" w:hAnsi="宋体" w:cs="宋体"/>
                <w:color w:val="000000"/>
                <w:spacing w:val="0"/>
                <w:w w:val="100"/>
                <w:kern w:val="2"/>
                <w:position w:val="0"/>
                <w:sz w:val="21"/>
                <w:szCs w:val="21"/>
                <w:lang w:val="en-US" w:eastAsia="zh-CN" w:bidi="ar-SA"/>
              </w:rPr>
              <w:t>设计</w:t>
            </w:r>
            <w:r>
              <w:rPr>
                <w:rFonts w:hint="eastAsia" w:ascii="宋体" w:hAnsi="宋体" w:eastAsia="宋体" w:cs="宋体"/>
                <w:color w:val="000000"/>
                <w:spacing w:val="0"/>
                <w:w w:val="100"/>
                <w:kern w:val="2"/>
                <w:position w:val="0"/>
                <w:sz w:val="21"/>
                <w:szCs w:val="21"/>
                <w:lang w:val="en-US" w:eastAsia="zh-CN" w:bidi="ar-SA"/>
              </w:rPr>
              <w:t>矿山采用机械方式进行开采。</w:t>
            </w:r>
          </w:p>
        </w:tc>
        <w:tc>
          <w:tcPr>
            <w:tcW w:w="593" w:type="pct"/>
            <w:tcBorders>
              <w:tl2br w:val="nil"/>
              <w:tr2bl w:val="nil"/>
            </w:tcBorders>
            <w:noWrap w:val="0"/>
            <w:vAlign w:val="center"/>
          </w:tcPr>
          <w:p w14:paraId="19209ED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Cs/>
                <w:color w:val="auto"/>
                <w:sz w:val="21"/>
                <w:szCs w:val="21"/>
              </w:rPr>
            </w:pPr>
            <w:r>
              <w:rPr>
                <w:rFonts w:hint="eastAsia" w:ascii="宋体" w:hAnsi="宋体" w:eastAsia="宋体" w:cs="宋体"/>
                <w:bCs/>
                <w:color w:val="auto"/>
                <w:sz w:val="21"/>
                <w:szCs w:val="21"/>
              </w:rPr>
              <w:t>符合</w:t>
            </w:r>
          </w:p>
        </w:tc>
      </w:tr>
      <w:tr w14:paraId="0DB34A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5" w:type="pct"/>
            <w:tcBorders>
              <w:tl2br w:val="nil"/>
              <w:tr2bl w:val="nil"/>
            </w:tcBorders>
            <w:noWrap w:val="0"/>
            <w:vAlign w:val="center"/>
          </w:tcPr>
          <w:p w14:paraId="3F1E0DCF">
            <w:pPr>
              <w:keepNext w:val="0"/>
              <w:keepLines w:val="0"/>
              <w:pageBreakBefore w:val="0"/>
              <w:widowControl w:val="0"/>
              <w:numPr>
                <w:ilvl w:val="0"/>
                <w:numId w:val="53"/>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2195" w:type="pct"/>
            <w:tcBorders>
              <w:tl2br w:val="nil"/>
              <w:tr2bl w:val="nil"/>
            </w:tcBorders>
            <w:noWrap w:val="0"/>
            <w:vAlign w:val="center"/>
          </w:tcPr>
          <w:p w14:paraId="5D41C65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ascii="宋体" w:hAnsi="宋体" w:eastAsia="宋体" w:cs="宋体"/>
                <w:color w:val="000000"/>
                <w:spacing w:val="0"/>
                <w:w w:val="100"/>
                <w:kern w:val="2"/>
                <w:position w:val="0"/>
                <w:sz w:val="21"/>
                <w:szCs w:val="21"/>
                <w:lang w:val="en-US" w:eastAsia="zh-CN" w:bidi="ar-SA"/>
              </w:rPr>
            </w:pPr>
            <w:r>
              <w:rPr>
                <w:rFonts w:hint="eastAsia" w:ascii="宋体" w:hAnsi="宋体" w:eastAsia="宋体" w:cs="宋体"/>
                <w:color w:val="000000"/>
                <w:spacing w:val="0"/>
                <w:w w:val="100"/>
                <w:kern w:val="2"/>
                <w:position w:val="0"/>
                <w:sz w:val="21"/>
                <w:szCs w:val="21"/>
                <w:lang w:val="en-US" w:eastAsia="zh-CN" w:bidi="ar-SA"/>
              </w:rPr>
              <w:t>多台阶并段时并段数量不超过３个，且不应影响边坡稳定性及下部作业安全</w:t>
            </w:r>
          </w:p>
          <w:p w14:paraId="289CE14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ascii="宋体" w:hAnsi="宋体" w:eastAsia="宋体" w:cs="宋体"/>
                <w:color w:val="000000"/>
                <w:spacing w:val="0"/>
                <w:w w:val="100"/>
                <w:kern w:val="2"/>
                <w:position w:val="0"/>
                <w:sz w:val="21"/>
                <w:szCs w:val="21"/>
                <w:lang w:val="en-US" w:eastAsia="zh-CN" w:bidi="ar-SA"/>
              </w:rPr>
            </w:pPr>
          </w:p>
        </w:tc>
        <w:tc>
          <w:tcPr>
            <w:tcW w:w="1040" w:type="pct"/>
            <w:tcBorders>
              <w:tl2br w:val="nil"/>
              <w:tr2bl w:val="nil"/>
            </w:tcBorders>
            <w:noWrap w:val="0"/>
            <w:vAlign w:val="center"/>
          </w:tcPr>
          <w:p w14:paraId="1D464BA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《金属非金属矿山安全规程》（GB16423-2020）第5.2.1.3条</w:t>
            </w:r>
          </w:p>
        </w:tc>
        <w:tc>
          <w:tcPr>
            <w:tcW w:w="895" w:type="pct"/>
            <w:tcBorders>
              <w:tl2br w:val="nil"/>
              <w:tr2bl w:val="nil"/>
            </w:tcBorders>
            <w:noWrap w:val="0"/>
            <w:vAlign w:val="center"/>
          </w:tcPr>
          <w:p w14:paraId="792289D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ascii="宋体" w:hAnsi="宋体" w:eastAsia="宋体" w:cs="宋体"/>
                <w:color w:val="000000"/>
                <w:spacing w:val="0"/>
                <w:w w:val="100"/>
                <w:kern w:val="2"/>
                <w:position w:val="0"/>
                <w:sz w:val="21"/>
                <w:szCs w:val="21"/>
                <w:lang w:val="en-US" w:eastAsia="zh-CN" w:bidi="ar-SA"/>
              </w:rPr>
            </w:pPr>
            <w:r>
              <w:rPr>
                <w:rFonts w:hint="eastAsia" w:ascii="宋体" w:hAnsi="宋体" w:eastAsia="宋体" w:cs="宋体"/>
                <w:color w:val="000000"/>
                <w:spacing w:val="0"/>
                <w:w w:val="100"/>
                <w:kern w:val="2"/>
                <w:position w:val="0"/>
                <w:sz w:val="21"/>
                <w:szCs w:val="21"/>
                <w:lang w:val="en-US" w:eastAsia="zh-CN" w:bidi="ar-SA"/>
              </w:rPr>
              <w:t>采场设计1个台阶开采。</w:t>
            </w:r>
          </w:p>
        </w:tc>
        <w:tc>
          <w:tcPr>
            <w:tcW w:w="593" w:type="pct"/>
            <w:tcBorders>
              <w:tl2br w:val="nil"/>
              <w:tr2bl w:val="nil"/>
            </w:tcBorders>
            <w:noWrap w:val="0"/>
            <w:vAlign w:val="center"/>
          </w:tcPr>
          <w:p w14:paraId="17A6462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Cs/>
                <w:color w:val="auto"/>
                <w:sz w:val="21"/>
                <w:szCs w:val="21"/>
                <w:lang w:val="en-US" w:eastAsia="zh-CN"/>
              </w:rPr>
            </w:pPr>
            <w:r>
              <w:rPr>
                <w:rFonts w:hint="eastAsia" w:ascii="宋体" w:hAnsi="宋体" w:eastAsia="宋体" w:cs="宋体"/>
                <w:bCs/>
                <w:color w:val="auto"/>
                <w:sz w:val="21"/>
                <w:szCs w:val="21"/>
              </w:rPr>
              <w:t>符合</w:t>
            </w:r>
          </w:p>
        </w:tc>
      </w:tr>
      <w:tr w14:paraId="345AA0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5" w:type="pct"/>
            <w:tcBorders>
              <w:tl2br w:val="nil"/>
              <w:tr2bl w:val="nil"/>
            </w:tcBorders>
            <w:noWrap w:val="0"/>
            <w:vAlign w:val="center"/>
          </w:tcPr>
          <w:p w14:paraId="444B73A2">
            <w:pPr>
              <w:keepNext w:val="0"/>
              <w:keepLines w:val="0"/>
              <w:pageBreakBefore w:val="0"/>
              <w:widowControl w:val="0"/>
              <w:numPr>
                <w:ilvl w:val="0"/>
                <w:numId w:val="53"/>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2195" w:type="pct"/>
            <w:tcBorders>
              <w:tl2br w:val="nil"/>
              <w:tr2bl w:val="nil"/>
            </w:tcBorders>
            <w:noWrap w:val="0"/>
            <w:vAlign w:val="center"/>
          </w:tcPr>
          <w:p w14:paraId="48E8BA44">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000000"/>
                <w:spacing w:val="0"/>
                <w:w w:val="100"/>
                <w:position w:val="0"/>
                <w:sz w:val="21"/>
                <w:szCs w:val="21"/>
                <w:lang w:val="en-US" w:eastAsia="zh-CN"/>
              </w:rPr>
            </w:pPr>
            <w:r>
              <w:rPr>
                <w:rFonts w:hint="eastAsia" w:ascii="宋体" w:hAnsi="宋体" w:eastAsia="宋体" w:cs="宋体"/>
                <w:color w:val="000000"/>
                <w:spacing w:val="0"/>
                <w:w w:val="100"/>
                <w:position w:val="0"/>
                <w:sz w:val="21"/>
                <w:szCs w:val="21"/>
              </w:rPr>
              <w:t>露天采场应设安全平台和清扫平台。人工清扫平台宽度不小于6</w:t>
            </w:r>
            <w:r>
              <w:rPr>
                <w:rFonts w:hint="eastAsia" w:ascii="宋体" w:hAnsi="宋体" w:eastAsia="宋体" w:cs="宋体"/>
                <w:color w:val="000000"/>
                <w:spacing w:val="0"/>
                <w:w w:val="100"/>
                <w:position w:val="0"/>
                <w:sz w:val="21"/>
                <w:szCs w:val="21"/>
                <w:lang w:val="en-US" w:eastAsia="en-US"/>
              </w:rPr>
              <w:t>m</w:t>
            </w:r>
            <w:r>
              <w:rPr>
                <w:rFonts w:hint="eastAsia" w:ascii="宋体" w:hAnsi="宋体" w:eastAsia="宋体" w:cs="宋体"/>
                <w:color w:val="000000"/>
                <w:spacing w:val="0"/>
                <w:w w:val="100"/>
                <w:position w:val="0"/>
                <w:sz w:val="21"/>
                <w:szCs w:val="21"/>
                <w:lang w:val="en-US" w:eastAsia="zh-CN"/>
              </w:rPr>
              <w:t>，</w:t>
            </w:r>
            <w:r>
              <w:rPr>
                <w:rFonts w:hint="eastAsia" w:ascii="宋体" w:hAnsi="宋体" w:eastAsia="宋体" w:cs="宋体"/>
                <w:color w:val="000000"/>
                <w:spacing w:val="0"/>
                <w:w w:val="100"/>
                <w:position w:val="0"/>
                <w:sz w:val="21"/>
                <w:szCs w:val="21"/>
              </w:rPr>
              <w:t>机械清扫平台宽度应满足设备要求且不小于8</w:t>
            </w:r>
            <w:r>
              <w:rPr>
                <w:rFonts w:hint="eastAsia" w:ascii="宋体" w:hAnsi="宋体" w:eastAsia="宋体" w:cs="宋体"/>
                <w:color w:val="000000"/>
                <w:spacing w:val="0"/>
                <w:w w:val="100"/>
                <w:position w:val="0"/>
                <w:sz w:val="21"/>
                <w:szCs w:val="21"/>
                <w:lang w:val="en-US" w:eastAsia="en-US"/>
              </w:rPr>
              <w:t>m。</w:t>
            </w:r>
          </w:p>
        </w:tc>
        <w:tc>
          <w:tcPr>
            <w:tcW w:w="1040" w:type="pct"/>
            <w:tcBorders>
              <w:tl2br w:val="nil"/>
              <w:tr2bl w:val="nil"/>
            </w:tcBorders>
            <w:noWrap w:val="0"/>
            <w:vAlign w:val="center"/>
          </w:tcPr>
          <w:p w14:paraId="76CB5CC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《金属非金属矿山安全规程》</w:t>
            </w:r>
            <w:r>
              <w:rPr>
                <w:rFonts w:hint="eastAsia" w:ascii="宋体" w:hAnsi="宋体" w:cs="宋体"/>
                <w:color w:val="000000"/>
                <w:sz w:val="21"/>
                <w:szCs w:val="21"/>
              </w:rPr>
              <w:t>（GB16423-2020）</w:t>
            </w:r>
          </w:p>
          <w:p w14:paraId="7991D9D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第5.2.1.4条</w:t>
            </w:r>
          </w:p>
        </w:tc>
        <w:tc>
          <w:tcPr>
            <w:tcW w:w="895" w:type="pct"/>
            <w:tcBorders>
              <w:tl2br w:val="nil"/>
              <w:tr2bl w:val="nil"/>
            </w:tcBorders>
            <w:noWrap w:val="0"/>
            <w:vAlign w:val="center"/>
          </w:tcPr>
          <w:p w14:paraId="0114E69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both"/>
              <w:textAlignment w:val="auto"/>
              <w:rPr>
                <w:rFonts w:hint="eastAsia" w:ascii="宋体" w:hAnsi="宋体" w:eastAsia="宋体" w:cs="宋体"/>
                <w:color w:val="000000"/>
                <w:spacing w:val="0"/>
                <w:w w:val="100"/>
                <w:kern w:val="2"/>
                <w:position w:val="0"/>
                <w:sz w:val="21"/>
                <w:szCs w:val="21"/>
                <w:lang w:val="en-US" w:eastAsia="zh-CN" w:bidi="ar-SA"/>
              </w:rPr>
            </w:pPr>
            <w:r>
              <w:rPr>
                <w:rFonts w:hint="eastAsia" w:ascii="宋体" w:hAnsi="宋体" w:eastAsia="宋体" w:cs="宋体"/>
                <w:color w:val="000000"/>
                <w:spacing w:val="0"/>
                <w:w w:val="100"/>
                <w:kern w:val="2"/>
                <w:position w:val="0"/>
                <w:sz w:val="21"/>
                <w:szCs w:val="21"/>
                <w:lang w:val="en-US" w:eastAsia="zh-CN" w:bidi="ar-SA"/>
              </w:rPr>
              <w:t>设计采用人工清扫平面平台，清扫平台宽度确定为6m</w:t>
            </w:r>
            <w:r>
              <w:rPr>
                <w:rFonts w:hint="eastAsia" w:ascii="宋体" w:hAnsi="宋体" w:cs="宋体"/>
                <w:color w:val="000000"/>
                <w:spacing w:val="0"/>
                <w:w w:val="100"/>
                <w:kern w:val="2"/>
                <w:position w:val="0"/>
                <w:sz w:val="21"/>
                <w:szCs w:val="21"/>
                <w:lang w:val="en-US" w:eastAsia="zh-CN" w:bidi="ar-SA"/>
              </w:rPr>
              <w:t>。</w:t>
            </w:r>
          </w:p>
        </w:tc>
        <w:tc>
          <w:tcPr>
            <w:tcW w:w="593" w:type="pct"/>
            <w:tcBorders>
              <w:tl2br w:val="nil"/>
              <w:tr2bl w:val="nil"/>
            </w:tcBorders>
            <w:noWrap w:val="0"/>
            <w:vAlign w:val="center"/>
          </w:tcPr>
          <w:p w14:paraId="0EFA552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Cs/>
                <w:color w:val="auto"/>
                <w:sz w:val="21"/>
                <w:szCs w:val="21"/>
              </w:rPr>
            </w:pPr>
            <w:r>
              <w:rPr>
                <w:rFonts w:hint="eastAsia" w:ascii="宋体" w:hAnsi="宋体" w:eastAsia="宋体" w:cs="宋体"/>
                <w:bCs/>
                <w:color w:val="auto"/>
                <w:sz w:val="21"/>
                <w:szCs w:val="21"/>
              </w:rPr>
              <w:t>符合</w:t>
            </w:r>
          </w:p>
        </w:tc>
      </w:tr>
      <w:tr w14:paraId="47ED6E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5" w:type="pct"/>
            <w:tcBorders>
              <w:tl2br w:val="nil"/>
              <w:tr2bl w:val="nil"/>
            </w:tcBorders>
            <w:noWrap w:val="0"/>
            <w:vAlign w:val="center"/>
          </w:tcPr>
          <w:p w14:paraId="78319081">
            <w:pPr>
              <w:keepNext w:val="0"/>
              <w:keepLines w:val="0"/>
              <w:pageBreakBefore w:val="0"/>
              <w:widowControl w:val="0"/>
              <w:numPr>
                <w:ilvl w:val="0"/>
                <w:numId w:val="53"/>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2195" w:type="pct"/>
            <w:tcBorders>
              <w:tl2br w:val="nil"/>
              <w:tr2bl w:val="nil"/>
            </w:tcBorders>
            <w:noWrap w:val="0"/>
            <w:vAlign w:val="center"/>
          </w:tcPr>
          <w:p w14:paraId="34DEF2A7">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color w:val="000000"/>
                <w:spacing w:val="0"/>
                <w:w w:val="100"/>
                <w:position w:val="0"/>
                <w:sz w:val="21"/>
                <w:szCs w:val="21"/>
              </w:rPr>
            </w:pPr>
            <w:r>
              <w:rPr>
                <w:rFonts w:hint="eastAsia" w:ascii="宋体" w:hAnsi="宋体" w:eastAsia="宋体" w:cs="宋体"/>
                <w:color w:val="000000"/>
                <w:spacing w:val="0"/>
                <w:w w:val="100"/>
                <w:position w:val="0"/>
                <w:sz w:val="21"/>
                <w:szCs w:val="21"/>
              </w:rPr>
              <w:t>边坡浮石清除完毕之前不应在边坡底部作业</w:t>
            </w:r>
            <w:r>
              <w:rPr>
                <w:rFonts w:hint="eastAsia" w:ascii="宋体" w:hAnsi="宋体" w:cs="宋体"/>
                <w:color w:val="000000"/>
                <w:spacing w:val="0"/>
                <w:w w:val="100"/>
                <w:position w:val="0"/>
                <w:sz w:val="21"/>
                <w:szCs w:val="21"/>
                <w:lang w:eastAsia="zh-CN"/>
              </w:rPr>
              <w:t>；</w:t>
            </w:r>
            <w:r>
              <w:rPr>
                <w:rFonts w:hint="eastAsia" w:ascii="宋体" w:hAnsi="宋体" w:eastAsia="宋体" w:cs="宋体"/>
                <w:color w:val="000000"/>
                <w:spacing w:val="0"/>
                <w:w w:val="100"/>
                <w:position w:val="0"/>
                <w:sz w:val="21"/>
                <w:szCs w:val="21"/>
              </w:rPr>
              <w:t>人员和设备不应在边坡底部停留。</w:t>
            </w:r>
          </w:p>
        </w:tc>
        <w:tc>
          <w:tcPr>
            <w:tcW w:w="1040" w:type="pct"/>
            <w:tcBorders>
              <w:tl2br w:val="nil"/>
              <w:tr2bl w:val="nil"/>
            </w:tcBorders>
            <w:noWrap w:val="0"/>
            <w:vAlign w:val="center"/>
          </w:tcPr>
          <w:p w14:paraId="4E448355">
            <w:pPr>
              <w:keepNext/>
              <w:spacing w:line="240" w:lineRule="auto"/>
              <w:ind w:firstLine="0" w:firstLineChars="0"/>
              <w:jc w:val="center"/>
              <w:rPr>
                <w:rFonts w:ascii="宋体" w:hAnsi="宋体" w:cs="宋体"/>
                <w:color w:val="000000"/>
                <w:sz w:val="21"/>
                <w:szCs w:val="21"/>
              </w:rPr>
            </w:pPr>
            <w:r>
              <w:rPr>
                <w:rFonts w:hint="eastAsia" w:ascii="宋体" w:hAnsi="宋体" w:cs="宋体"/>
                <w:color w:val="000000"/>
                <w:sz w:val="21"/>
                <w:szCs w:val="21"/>
              </w:rPr>
              <w:t>《金属非金属矿山安全规程》（GB16423-2020）</w:t>
            </w:r>
          </w:p>
          <w:p w14:paraId="31398A4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cs="宋体"/>
                <w:color w:val="000000"/>
                <w:sz w:val="21"/>
                <w:szCs w:val="21"/>
              </w:rPr>
              <w:t>第5.2.4.4条</w:t>
            </w:r>
          </w:p>
        </w:tc>
        <w:tc>
          <w:tcPr>
            <w:tcW w:w="895" w:type="pct"/>
            <w:tcBorders>
              <w:tl2br w:val="nil"/>
              <w:tr2bl w:val="nil"/>
            </w:tcBorders>
            <w:noWrap w:val="0"/>
            <w:vAlign w:val="center"/>
          </w:tcPr>
          <w:p w14:paraId="12F6082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初步设计</w:t>
            </w:r>
            <w:r>
              <w:rPr>
                <w:rFonts w:hint="eastAsia" w:ascii="宋体" w:hAnsi="宋体" w:cs="宋体"/>
                <w:color w:val="auto"/>
                <w:sz w:val="21"/>
                <w:szCs w:val="21"/>
                <w:lang w:val="en-US" w:eastAsia="zh-CN"/>
              </w:rPr>
              <w:t>未明确</w:t>
            </w:r>
            <w:r>
              <w:rPr>
                <w:rFonts w:hint="eastAsia" w:ascii="宋体" w:hAnsi="宋体" w:eastAsia="宋体" w:cs="宋体"/>
                <w:color w:val="auto"/>
                <w:sz w:val="21"/>
                <w:szCs w:val="21"/>
                <w:lang w:val="en-US" w:eastAsia="zh-CN"/>
              </w:rPr>
              <w:t>。</w:t>
            </w:r>
          </w:p>
        </w:tc>
        <w:tc>
          <w:tcPr>
            <w:tcW w:w="593" w:type="pct"/>
            <w:tcBorders>
              <w:tl2br w:val="nil"/>
              <w:tr2bl w:val="nil"/>
            </w:tcBorders>
            <w:noWrap w:val="0"/>
            <w:vAlign w:val="center"/>
          </w:tcPr>
          <w:p w14:paraId="63066FA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Cs/>
                <w:color w:val="auto"/>
                <w:sz w:val="21"/>
                <w:szCs w:val="21"/>
              </w:rPr>
            </w:pPr>
            <w:r>
              <w:rPr>
                <w:rFonts w:hint="eastAsia" w:eastAsia="宋体" w:cs="宋体"/>
                <w:caps w:val="0"/>
                <w:color w:val="auto"/>
                <w:sz w:val="21"/>
                <w:szCs w:val="21"/>
                <w:shd w:val="clear" w:color="auto" w:fill="auto"/>
                <w:lang w:val="en-US" w:eastAsia="zh-CN"/>
              </w:rPr>
              <w:t>不符合</w:t>
            </w:r>
          </w:p>
        </w:tc>
      </w:tr>
      <w:tr w14:paraId="0E4FA3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5" w:type="pct"/>
            <w:tcBorders>
              <w:tl2br w:val="nil"/>
              <w:tr2bl w:val="nil"/>
            </w:tcBorders>
            <w:noWrap w:val="0"/>
            <w:vAlign w:val="center"/>
          </w:tcPr>
          <w:p w14:paraId="587DB1A8">
            <w:pPr>
              <w:keepNext w:val="0"/>
              <w:keepLines w:val="0"/>
              <w:pageBreakBefore w:val="0"/>
              <w:widowControl w:val="0"/>
              <w:numPr>
                <w:ilvl w:val="0"/>
                <w:numId w:val="53"/>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2195" w:type="pct"/>
            <w:tcBorders>
              <w:tl2br w:val="nil"/>
              <w:tr2bl w:val="nil"/>
            </w:tcBorders>
            <w:noWrap w:val="0"/>
            <w:vAlign w:val="center"/>
          </w:tcPr>
          <w:p w14:paraId="265C3DF4">
            <w:pPr>
              <w:pStyle w:val="18"/>
              <w:keepNext/>
              <w:spacing w:line="240" w:lineRule="auto"/>
              <w:ind w:left="0" w:leftChars="0" w:firstLine="0" w:firstLineChars="0"/>
              <w:rPr>
                <w:rFonts w:ascii="宋体" w:hAnsi="宋体" w:eastAsia="宋体" w:cs="宋体"/>
                <w:color w:val="000000"/>
                <w:kern w:val="2"/>
                <w:sz w:val="21"/>
                <w:szCs w:val="21"/>
                <w:lang w:val="en-US" w:eastAsia="zh-CN" w:bidi="ar-SA"/>
              </w:rPr>
            </w:pPr>
            <w:r>
              <w:rPr>
                <w:rFonts w:hint="eastAsia" w:ascii="宋体" w:hAnsi="宋体" w:cs="宋体"/>
                <w:color w:val="000000"/>
                <w:sz w:val="21"/>
                <w:szCs w:val="21"/>
              </w:rPr>
              <w:t>矿山应建立健全边坡安全管理和检查制度。</w:t>
            </w:r>
          </w:p>
        </w:tc>
        <w:tc>
          <w:tcPr>
            <w:tcW w:w="1040" w:type="pct"/>
            <w:tcBorders>
              <w:tl2br w:val="nil"/>
              <w:tr2bl w:val="nil"/>
            </w:tcBorders>
            <w:noWrap w:val="0"/>
            <w:vAlign w:val="center"/>
          </w:tcPr>
          <w:p w14:paraId="38204DFB">
            <w:pPr>
              <w:keepNext/>
              <w:spacing w:line="240" w:lineRule="auto"/>
              <w:ind w:firstLine="0" w:firstLineChars="0"/>
              <w:jc w:val="center"/>
              <w:rPr>
                <w:rFonts w:ascii="宋体" w:hAnsi="宋体" w:cs="宋体"/>
                <w:color w:val="000000"/>
                <w:sz w:val="21"/>
                <w:szCs w:val="21"/>
              </w:rPr>
            </w:pPr>
            <w:r>
              <w:rPr>
                <w:rFonts w:hint="eastAsia" w:ascii="宋体" w:hAnsi="宋体" w:cs="宋体"/>
                <w:color w:val="000000"/>
                <w:sz w:val="21"/>
                <w:szCs w:val="21"/>
              </w:rPr>
              <w:t>《金属非金属矿山安全规程》（GB16423-2020）</w:t>
            </w:r>
          </w:p>
          <w:p w14:paraId="7A77698B">
            <w:pPr>
              <w:keepNext/>
              <w:spacing w:line="240" w:lineRule="auto"/>
              <w:ind w:firstLine="0" w:firstLineChars="0"/>
              <w:jc w:val="center"/>
              <w:rPr>
                <w:rFonts w:hint="eastAsia" w:ascii="宋体" w:hAnsi="宋体" w:eastAsia="宋体" w:cs="宋体"/>
                <w:color w:val="000000"/>
                <w:kern w:val="2"/>
                <w:sz w:val="21"/>
                <w:szCs w:val="21"/>
                <w:lang w:val="en-US" w:eastAsia="zh-CN" w:bidi="ar-SA"/>
              </w:rPr>
            </w:pPr>
            <w:r>
              <w:rPr>
                <w:rFonts w:hint="eastAsia" w:ascii="宋体" w:hAnsi="宋体" w:cs="宋体"/>
                <w:color w:val="000000"/>
                <w:sz w:val="21"/>
                <w:szCs w:val="21"/>
              </w:rPr>
              <w:t>第5.2.4.5条</w:t>
            </w:r>
          </w:p>
        </w:tc>
        <w:tc>
          <w:tcPr>
            <w:tcW w:w="1632" w:type="dxa"/>
            <w:tcBorders>
              <w:tl2br w:val="nil"/>
              <w:tr2bl w:val="nil"/>
            </w:tcBorders>
            <w:noWrap w:val="0"/>
            <w:vAlign w:val="center"/>
          </w:tcPr>
          <w:p w14:paraId="24A13DF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default" w:ascii="宋体" w:hAnsi="宋体" w:eastAsia="宋体" w:cs="宋体"/>
                <w:color w:val="FF0000"/>
                <w:sz w:val="21"/>
                <w:szCs w:val="21"/>
                <w:lang w:val="en-US" w:eastAsia="zh-CN"/>
              </w:rPr>
            </w:pPr>
            <w:r>
              <w:rPr>
                <w:rFonts w:hint="eastAsia" w:ascii="宋体" w:hAnsi="宋体" w:eastAsia="宋体" w:cs="宋体"/>
                <w:color w:val="auto"/>
                <w:sz w:val="21"/>
                <w:szCs w:val="21"/>
                <w:lang w:val="en-US" w:eastAsia="zh-CN"/>
              </w:rPr>
              <w:t>初步设计</w:t>
            </w:r>
            <w:r>
              <w:rPr>
                <w:rFonts w:hint="eastAsia" w:ascii="宋体" w:hAnsi="宋体" w:cs="宋体"/>
                <w:color w:val="auto"/>
                <w:sz w:val="21"/>
                <w:szCs w:val="21"/>
                <w:lang w:val="en-US" w:eastAsia="zh-CN"/>
              </w:rPr>
              <w:t>未明确</w:t>
            </w:r>
            <w:r>
              <w:rPr>
                <w:rFonts w:hint="eastAsia" w:ascii="宋体" w:hAnsi="宋体" w:eastAsia="宋体" w:cs="宋体"/>
                <w:color w:val="auto"/>
                <w:sz w:val="21"/>
                <w:szCs w:val="21"/>
                <w:lang w:val="en-US" w:eastAsia="zh-CN"/>
              </w:rPr>
              <w:t>。</w:t>
            </w:r>
          </w:p>
        </w:tc>
        <w:tc>
          <w:tcPr>
            <w:tcW w:w="1082" w:type="dxa"/>
            <w:tcBorders>
              <w:tl2br w:val="nil"/>
              <w:tr2bl w:val="nil"/>
            </w:tcBorders>
            <w:noWrap w:val="0"/>
            <w:vAlign w:val="center"/>
          </w:tcPr>
          <w:p w14:paraId="1C6103E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Cs/>
                <w:color w:val="auto"/>
                <w:sz w:val="21"/>
                <w:szCs w:val="21"/>
              </w:rPr>
            </w:pPr>
            <w:r>
              <w:rPr>
                <w:rFonts w:hint="eastAsia" w:eastAsia="宋体" w:cs="宋体"/>
                <w:caps w:val="0"/>
                <w:color w:val="auto"/>
                <w:sz w:val="21"/>
                <w:szCs w:val="21"/>
                <w:shd w:val="clear" w:color="auto" w:fill="auto"/>
                <w:lang w:val="en-US" w:eastAsia="zh-CN"/>
              </w:rPr>
              <w:t>不符合</w:t>
            </w:r>
          </w:p>
        </w:tc>
      </w:tr>
      <w:tr w14:paraId="65C375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5" w:type="pct"/>
            <w:tcBorders>
              <w:tl2br w:val="nil"/>
              <w:tr2bl w:val="nil"/>
            </w:tcBorders>
            <w:noWrap w:val="0"/>
            <w:vAlign w:val="center"/>
          </w:tcPr>
          <w:p w14:paraId="44DE5524">
            <w:pPr>
              <w:keepNext w:val="0"/>
              <w:keepLines w:val="0"/>
              <w:pageBreakBefore w:val="0"/>
              <w:widowControl w:val="0"/>
              <w:numPr>
                <w:ilvl w:val="0"/>
                <w:numId w:val="53"/>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2195" w:type="pct"/>
            <w:tcBorders>
              <w:tl2br w:val="nil"/>
              <w:tr2bl w:val="nil"/>
            </w:tcBorders>
            <w:noWrap w:val="0"/>
            <w:vAlign w:val="center"/>
          </w:tcPr>
          <w:p w14:paraId="1604146B">
            <w:pPr>
              <w:pStyle w:val="18"/>
              <w:keepNext/>
              <w:spacing w:line="240" w:lineRule="auto"/>
              <w:ind w:left="0" w:leftChars="0" w:firstLine="0" w:firstLineChars="0"/>
              <w:rPr>
                <w:rFonts w:hint="eastAsia" w:ascii="宋体" w:hAnsi="宋体" w:eastAsia="宋体" w:cs="宋体"/>
                <w:color w:val="000000"/>
                <w:kern w:val="2"/>
                <w:sz w:val="21"/>
                <w:szCs w:val="21"/>
                <w:lang w:val="en-US" w:eastAsia="zh-CN" w:bidi="ar-SA"/>
              </w:rPr>
            </w:pPr>
            <w:r>
              <w:rPr>
                <w:rFonts w:hint="eastAsia" w:ascii="宋体" w:hAnsi="宋体" w:cs="宋体"/>
                <w:color w:val="000000"/>
                <w:sz w:val="21"/>
                <w:szCs w:val="21"/>
              </w:rPr>
              <w:t>露天采场工作边坡应每季度检查1次，运输或者行人的非工作边坡每半年检查1次；边坡出现 滑坡或者坍塌迹象时，应立即停止受影响区域的生产作业，撤出相关人员和设备，采取安全措施；高度超过200m的露天边坡应进行在线监测，对承受水压的边坡应进行水压监测。</w:t>
            </w:r>
          </w:p>
        </w:tc>
        <w:tc>
          <w:tcPr>
            <w:tcW w:w="1040" w:type="pct"/>
            <w:tcBorders>
              <w:tl2br w:val="nil"/>
              <w:tr2bl w:val="nil"/>
            </w:tcBorders>
            <w:noWrap w:val="0"/>
            <w:vAlign w:val="center"/>
          </w:tcPr>
          <w:p w14:paraId="5F3C2102">
            <w:pPr>
              <w:keepNext/>
              <w:spacing w:line="240" w:lineRule="auto"/>
              <w:ind w:firstLine="0" w:firstLineChars="0"/>
              <w:jc w:val="center"/>
              <w:rPr>
                <w:rFonts w:ascii="宋体" w:hAnsi="宋体" w:cs="宋体"/>
                <w:color w:val="000000"/>
                <w:sz w:val="21"/>
                <w:szCs w:val="21"/>
              </w:rPr>
            </w:pPr>
            <w:r>
              <w:rPr>
                <w:rFonts w:hint="eastAsia" w:ascii="宋体" w:hAnsi="宋体" w:cs="宋体"/>
                <w:color w:val="000000"/>
                <w:sz w:val="21"/>
                <w:szCs w:val="21"/>
              </w:rPr>
              <w:t>《金属非金属矿山安全规程》（GB16423-2020）</w:t>
            </w:r>
          </w:p>
          <w:p w14:paraId="3E29E074">
            <w:pPr>
              <w:keepNext/>
              <w:spacing w:line="240" w:lineRule="auto"/>
              <w:ind w:firstLine="0" w:firstLineChars="0"/>
              <w:jc w:val="center"/>
              <w:rPr>
                <w:rFonts w:hint="eastAsia" w:ascii="宋体" w:hAnsi="宋体" w:eastAsia="宋体" w:cs="宋体"/>
                <w:color w:val="000000"/>
                <w:kern w:val="2"/>
                <w:sz w:val="21"/>
                <w:szCs w:val="21"/>
                <w:lang w:val="en-US" w:eastAsia="zh-CN" w:bidi="ar-SA"/>
              </w:rPr>
            </w:pPr>
            <w:r>
              <w:rPr>
                <w:rFonts w:hint="eastAsia" w:ascii="宋体" w:hAnsi="宋体" w:cs="宋体"/>
                <w:color w:val="000000"/>
                <w:sz w:val="21"/>
                <w:szCs w:val="21"/>
              </w:rPr>
              <w:t>第5.2.4.6条</w:t>
            </w:r>
          </w:p>
        </w:tc>
        <w:tc>
          <w:tcPr>
            <w:tcW w:w="1632" w:type="dxa"/>
            <w:tcBorders>
              <w:tl2br w:val="nil"/>
              <w:tr2bl w:val="nil"/>
            </w:tcBorders>
            <w:noWrap w:val="0"/>
            <w:vAlign w:val="center"/>
          </w:tcPr>
          <w:p w14:paraId="1474D56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eastAsia" w:ascii="宋体" w:hAnsi="宋体" w:eastAsia="宋体" w:cs="宋体"/>
                <w:color w:val="FF0000"/>
                <w:sz w:val="21"/>
                <w:szCs w:val="21"/>
                <w:lang w:val="en-US" w:eastAsia="zh-CN"/>
              </w:rPr>
            </w:pPr>
            <w:r>
              <w:rPr>
                <w:rFonts w:hint="eastAsia" w:ascii="宋体" w:hAnsi="宋体" w:eastAsia="宋体" w:cs="宋体"/>
                <w:color w:val="auto"/>
                <w:sz w:val="21"/>
                <w:szCs w:val="21"/>
                <w:lang w:val="en-US" w:eastAsia="zh-CN"/>
              </w:rPr>
              <w:t>初步设计</w:t>
            </w:r>
            <w:r>
              <w:rPr>
                <w:rFonts w:hint="eastAsia" w:ascii="宋体" w:hAnsi="宋体" w:cs="宋体"/>
                <w:color w:val="auto"/>
                <w:sz w:val="21"/>
                <w:szCs w:val="21"/>
                <w:lang w:val="en-US" w:eastAsia="zh-CN"/>
              </w:rPr>
              <w:t>未明确</w:t>
            </w:r>
            <w:r>
              <w:rPr>
                <w:rFonts w:hint="eastAsia" w:ascii="宋体" w:hAnsi="宋体" w:eastAsia="宋体" w:cs="宋体"/>
                <w:color w:val="auto"/>
                <w:sz w:val="21"/>
                <w:szCs w:val="21"/>
                <w:lang w:val="en-US" w:eastAsia="zh-CN"/>
              </w:rPr>
              <w:t>。</w:t>
            </w:r>
          </w:p>
        </w:tc>
        <w:tc>
          <w:tcPr>
            <w:tcW w:w="1082" w:type="dxa"/>
            <w:tcBorders>
              <w:tl2br w:val="nil"/>
              <w:tr2bl w:val="nil"/>
            </w:tcBorders>
            <w:noWrap w:val="0"/>
            <w:vAlign w:val="center"/>
          </w:tcPr>
          <w:p w14:paraId="43CF541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Cs/>
                <w:color w:val="auto"/>
                <w:sz w:val="21"/>
                <w:szCs w:val="21"/>
              </w:rPr>
            </w:pPr>
            <w:r>
              <w:rPr>
                <w:rFonts w:hint="eastAsia" w:eastAsia="宋体" w:cs="宋体"/>
                <w:caps w:val="0"/>
                <w:color w:val="auto"/>
                <w:sz w:val="21"/>
                <w:szCs w:val="21"/>
                <w:shd w:val="clear" w:color="auto" w:fill="auto"/>
                <w:lang w:val="en-US" w:eastAsia="zh-CN"/>
              </w:rPr>
              <w:t>不符合</w:t>
            </w:r>
          </w:p>
        </w:tc>
      </w:tr>
      <w:tr w14:paraId="7FD949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5" w:type="pct"/>
            <w:tcBorders>
              <w:tl2br w:val="nil"/>
              <w:tr2bl w:val="nil"/>
            </w:tcBorders>
            <w:noWrap w:val="0"/>
            <w:vAlign w:val="center"/>
          </w:tcPr>
          <w:p w14:paraId="320F6C91">
            <w:pPr>
              <w:keepNext w:val="0"/>
              <w:keepLines w:val="0"/>
              <w:pageBreakBefore w:val="0"/>
              <w:widowControl w:val="0"/>
              <w:numPr>
                <w:ilvl w:val="0"/>
                <w:numId w:val="53"/>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auto"/>
                <w:sz w:val="21"/>
                <w:szCs w:val="21"/>
              </w:rPr>
            </w:pPr>
          </w:p>
        </w:tc>
        <w:tc>
          <w:tcPr>
            <w:tcW w:w="2195" w:type="pct"/>
            <w:tcBorders>
              <w:tl2br w:val="nil"/>
              <w:tr2bl w:val="nil"/>
            </w:tcBorders>
            <w:noWrap w:val="0"/>
            <w:vAlign w:val="center"/>
          </w:tcPr>
          <w:p w14:paraId="1E635C23">
            <w:pPr>
              <w:keepNext/>
              <w:adjustRightInd w:val="0"/>
              <w:snapToGrid w:val="0"/>
              <w:spacing w:line="240" w:lineRule="auto"/>
              <w:ind w:firstLine="0" w:firstLineChars="0"/>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rPr>
              <w:t>采石场上部需要剥离的，剥离工作面应当超前于开采工作面4米以上。</w:t>
            </w:r>
          </w:p>
        </w:tc>
        <w:tc>
          <w:tcPr>
            <w:tcW w:w="1040" w:type="pct"/>
            <w:tcBorders>
              <w:tl2br w:val="nil"/>
              <w:tr2bl w:val="nil"/>
            </w:tcBorders>
            <w:noWrap w:val="0"/>
            <w:vAlign w:val="center"/>
          </w:tcPr>
          <w:p w14:paraId="371B096C">
            <w:pPr>
              <w:pStyle w:val="18"/>
              <w:keepNext/>
              <w:spacing w:line="240" w:lineRule="auto"/>
              <w:ind w:left="0" w:leftChars="0" w:firstLine="0" w:firstLineChars="0"/>
              <w:jc w:val="center"/>
              <w:rPr>
                <w:rFonts w:hint="eastAsia" w:ascii="宋体" w:hAnsi="宋体" w:cs="宋体"/>
                <w:color w:val="auto"/>
                <w:sz w:val="21"/>
                <w:szCs w:val="21"/>
              </w:rPr>
            </w:pPr>
            <w:r>
              <w:rPr>
                <w:rFonts w:hint="eastAsia" w:ascii="宋体" w:hAnsi="宋体" w:cs="宋体"/>
                <w:color w:val="auto"/>
                <w:sz w:val="21"/>
                <w:szCs w:val="21"/>
              </w:rPr>
              <w:t>《小型露天采石场安全管理与监督检查规定》</w:t>
            </w:r>
          </w:p>
          <w:p w14:paraId="5FC8B992">
            <w:pPr>
              <w:pStyle w:val="18"/>
              <w:keepNext/>
              <w:spacing w:line="240" w:lineRule="auto"/>
              <w:ind w:left="0" w:leftChars="0" w:firstLine="0" w:firstLineChars="0"/>
              <w:jc w:val="center"/>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rPr>
              <w:t>第十九条</w:t>
            </w:r>
          </w:p>
        </w:tc>
        <w:tc>
          <w:tcPr>
            <w:tcW w:w="895" w:type="pct"/>
            <w:tcBorders>
              <w:tl2br w:val="nil"/>
              <w:tr2bl w:val="nil"/>
            </w:tcBorders>
            <w:noWrap w:val="0"/>
            <w:vAlign w:val="center"/>
          </w:tcPr>
          <w:p w14:paraId="0A66E91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初步设计</w:t>
            </w:r>
            <w:r>
              <w:rPr>
                <w:rFonts w:hint="eastAsia" w:ascii="宋体" w:hAnsi="宋体" w:cs="宋体"/>
                <w:color w:val="auto"/>
                <w:sz w:val="21"/>
                <w:szCs w:val="21"/>
                <w:lang w:val="en-US" w:eastAsia="zh-CN"/>
              </w:rPr>
              <w:t>未明确</w:t>
            </w:r>
            <w:r>
              <w:rPr>
                <w:rFonts w:hint="eastAsia" w:ascii="宋体" w:hAnsi="宋体" w:eastAsia="宋体" w:cs="宋体"/>
                <w:color w:val="auto"/>
                <w:sz w:val="21"/>
                <w:szCs w:val="21"/>
                <w:lang w:val="en-US" w:eastAsia="zh-CN"/>
              </w:rPr>
              <w:t>。</w:t>
            </w:r>
          </w:p>
        </w:tc>
        <w:tc>
          <w:tcPr>
            <w:tcW w:w="593" w:type="pct"/>
            <w:tcBorders>
              <w:tl2br w:val="nil"/>
              <w:tr2bl w:val="nil"/>
            </w:tcBorders>
            <w:noWrap w:val="0"/>
            <w:vAlign w:val="center"/>
          </w:tcPr>
          <w:p w14:paraId="32455A2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Cs/>
                <w:color w:val="auto"/>
                <w:sz w:val="21"/>
                <w:szCs w:val="21"/>
              </w:rPr>
            </w:pPr>
            <w:r>
              <w:rPr>
                <w:rFonts w:hint="eastAsia" w:ascii="宋体" w:hAnsi="宋体" w:cs="宋体"/>
                <w:bCs/>
                <w:color w:val="auto"/>
                <w:sz w:val="21"/>
                <w:szCs w:val="21"/>
                <w:lang w:val="en-US" w:eastAsia="zh-CN"/>
              </w:rPr>
              <w:t>不</w:t>
            </w:r>
            <w:r>
              <w:rPr>
                <w:rFonts w:hint="eastAsia" w:ascii="宋体" w:hAnsi="宋体" w:eastAsia="宋体" w:cs="宋体"/>
                <w:bCs/>
                <w:color w:val="auto"/>
                <w:sz w:val="21"/>
                <w:szCs w:val="21"/>
              </w:rPr>
              <w:t>符合</w:t>
            </w:r>
          </w:p>
        </w:tc>
      </w:tr>
      <w:tr w14:paraId="2D9D79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5" w:type="pct"/>
            <w:tcBorders>
              <w:tl2br w:val="nil"/>
              <w:tr2bl w:val="nil"/>
            </w:tcBorders>
            <w:noWrap w:val="0"/>
            <w:vAlign w:val="center"/>
          </w:tcPr>
          <w:p w14:paraId="3BA19B95">
            <w:pPr>
              <w:keepNext w:val="0"/>
              <w:keepLines w:val="0"/>
              <w:pageBreakBefore w:val="0"/>
              <w:widowControl w:val="0"/>
              <w:numPr>
                <w:ilvl w:val="0"/>
                <w:numId w:val="53"/>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2195" w:type="pct"/>
            <w:tcBorders>
              <w:tl2br w:val="nil"/>
              <w:tr2bl w:val="nil"/>
            </w:tcBorders>
            <w:noWrap w:val="0"/>
            <w:vAlign w:val="center"/>
          </w:tcPr>
          <w:p w14:paraId="0863F6A1">
            <w:pPr>
              <w:keepNext/>
              <w:adjustRightInd w:val="0"/>
              <w:snapToGrid w:val="0"/>
              <w:spacing w:line="240" w:lineRule="auto"/>
              <w:ind w:firstLine="0" w:firstLineChars="0"/>
              <w:rPr>
                <w:rFonts w:hint="eastAsia" w:ascii="宋体" w:hAnsi="宋体" w:eastAsia="宋体" w:cs="宋体"/>
                <w:color w:val="000000"/>
                <w:kern w:val="2"/>
                <w:sz w:val="21"/>
                <w:szCs w:val="21"/>
                <w:lang w:val="en-US" w:eastAsia="zh-CN" w:bidi="ar-SA"/>
              </w:rPr>
            </w:pPr>
            <w:r>
              <w:rPr>
                <w:rFonts w:hint="eastAsia" w:ascii="宋体" w:hAnsi="宋体" w:cs="宋体"/>
                <w:color w:val="000000"/>
                <w:sz w:val="21"/>
                <w:szCs w:val="21"/>
              </w:rPr>
              <w:t>小型露天采石场在作业前和作业中以及每次爆破后，应当对坡面进行安全检查。发现工作面有裂痕，或者在坡面上有浮石、危石和伞檐体可能塌落时，应当立即停止作业并撤离人员至安全地点，采取安全措施和消除隐患。</w:t>
            </w:r>
          </w:p>
        </w:tc>
        <w:tc>
          <w:tcPr>
            <w:tcW w:w="1040" w:type="pct"/>
            <w:tcBorders>
              <w:tl2br w:val="nil"/>
              <w:tr2bl w:val="nil"/>
            </w:tcBorders>
            <w:noWrap w:val="0"/>
            <w:vAlign w:val="center"/>
          </w:tcPr>
          <w:p w14:paraId="42D88B5E">
            <w:pPr>
              <w:pStyle w:val="18"/>
              <w:keepNext/>
              <w:spacing w:line="240" w:lineRule="auto"/>
              <w:ind w:left="0" w:leftChars="0" w:firstLine="0" w:firstLineChars="0"/>
              <w:jc w:val="center"/>
              <w:rPr>
                <w:rFonts w:hint="eastAsia" w:ascii="宋体" w:hAnsi="宋体" w:cs="宋体"/>
                <w:color w:val="000000"/>
                <w:sz w:val="21"/>
                <w:szCs w:val="21"/>
              </w:rPr>
            </w:pPr>
            <w:r>
              <w:rPr>
                <w:rFonts w:hint="eastAsia" w:ascii="宋体" w:hAnsi="宋体" w:cs="宋体"/>
                <w:color w:val="000000"/>
                <w:sz w:val="21"/>
                <w:szCs w:val="21"/>
              </w:rPr>
              <w:t>《小型露天采石场安全管理与监督检查规定》</w:t>
            </w:r>
          </w:p>
          <w:p w14:paraId="44015D41">
            <w:pPr>
              <w:pStyle w:val="18"/>
              <w:keepNext/>
              <w:spacing w:line="240" w:lineRule="auto"/>
              <w:ind w:left="0" w:leftChars="0" w:firstLine="0" w:firstLineChars="0"/>
              <w:jc w:val="center"/>
              <w:rPr>
                <w:rFonts w:hint="eastAsia" w:ascii="宋体" w:hAnsi="宋体" w:eastAsia="宋体" w:cs="宋体"/>
                <w:color w:val="000000"/>
                <w:kern w:val="2"/>
                <w:sz w:val="21"/>
                <w:szCs w:val="21"/>
                <w:lang w:val="en-US" w:eastAsia="zh-CN" w:bidi="ar-SA"/>
              </w:rPr>
            </w:pPr>
            <w:r>
              <w:rPr>
                <w:rFonts w:hint="eastAsia" w:ascii="宋体" w:hAnsi="宋体" w:cs="宋体"/>
                <w:color w:val="000000"/>
                <w:sz w:val="21"/>
                <w:szCs w:val="21"/>
              </w:rPr>
              <w:t>第二十条</w:t>
            </w:r>
          </w:p>
        </w:tc>
        <w:tc>
          <w:tcPr>
            <w:tcW w:w="1632" w:type="dxa"/>
            <w:tcBorders>
              <w:tl2br w:val="nil"/>
              <w:tr2bl w:val="nil"/>
            </w:tcBorders>
            <w:noWrap w:val="0"/>
            <w:vAlign w:val="center"/>
          </w:tcPr>
          <w:p w14:paraId="42A9C54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eastAsia" w:ascii="宋体" w:hAnsi="宋体" w:eastAsia="宋体" w:cs="宋体"/>
                <w:color w:val="FF0000"/>
                <w:sz w:val="21"/>
                <w:szCs w:val="21"/>
                <w:lang w:val="en-US" w:eastAsia="zh-CN"/>
              </w:rPr>
            </w:pPr>
            <w:r>
              <w:rPr>
                <w:rFonts w:hint="eastAsia" w:ascii="宋体" w:hAnsi="宋体" w:eastAsia="宋体" w:cs="宋体"/>
                <w:color w:val="auto"/>
                <w:sz w:val="21"/>
                <w:szCs w:val="21"/>
                <w:lang w:val="en-US" w:eastAsia="zh-CN"/>
              </w:rPr>
              <w:t>初步设计</w:t>
            </w:r>
            <w:r>
              <w:rPr>
                <w:rFonts w:hint="eastAsia" w:ascii="宋体" w:hAnsi="宋体" w:cs="宋体"/>
                <w:color w:val="auto"/>
                <w:sz w:val="21"/>
                <w:szCs w:val="21"/>
                <w:lang w:val="en-US" w:eastAsia="zh-CN"/>
              </w:rPr>
              <w:t>未明确</w:t>
            </w:r>
            <w:r>
              <w:rPr>
                <w:rFonts w:hint="eastAsia" w:ascii="宋体" w:hAnsi="宋体" w:eastAsia="宋体" w:cs="宋体"/>
                <w:color w:val="auto"/>
                <w:sz w:val="21"/>
                <w:szCs w:val="21"/>
                <w:lang w:val="en-US" w:eastAsia="zh-CN"/>
              </w:rPr>
              <w:t>。</w:t>
            </w:r>
          </w:p>
        </w:tc>
        <w:tc>
          <w:tcPr>
            <w:tcW w:w="1082" w:type="dxa"/>
            <w:tcBorders>
              <w:tl2br w:val="nil"/>
              <w:tr2bl w:val="nil"/>
            </w:tcBorders>
            <w:noWrap w:val="0"/>
            <w:vAlign w:val="center"/>
          </w:tcPr>
          <w:p w14:paraId="71D6A4C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Cs/>
                <w:color w:val="auto"/>
                <w:sz w:val="21"/>
                <w:szCs w:val="21"/>
              </w:rPr>
            </w:pPr>
            <w:r>
              <w:rPr>
                <w:rFonts w:hint="eastAsia" w:eastAsia="宋体" w:cs="宋体"/>
                <w:caps w:val="0"/>
                <w:color w:val="auto"/>
                <w:sz w:val="21"/>
                <w:szCs w:val="21"/>
                <w:shd w:val="clear" w:color="auto" w:fill="auto"/>
                <w:lang w:val="en-US" w:eastAsia="zh-CN"/>
              </w:rPr>
              <w:t>不符合</w:t>
            </w:r>
          </w:p>
        </w:tc>
      </w:tr>
    </w:tbl>
    <w:p w14:paraId="6F350949">
      <w:pPr>
        <w:pStyle w:val="4"/>
        <w:bidi w:val="0"/>
        <w:rPr>
          <w:rFonts w:hint="eastAsia"/>
          <w:lang w:val="en-US" w:eastAsia="zh-CN"/>
        </w:rPr>
      </w:pPr>
      <w:bookmarkStart w:id="190" w:name="_Toc13817"/>
      <w:r>
        <w:rPr>
          <w:rFonts w:hint="eastAsia"/>
          <w:lang w:val="en-US" w:eastAsia="zh-CN"/>
        </w:rPr>
        <w:t>《初步设计》评述</w:t>
      </w:r>
      <w:bookmarkEnd w:id="190"/>
    </w:p>
    <w:p w14:paraId="67B3F35E">
      <w:pPr>
        <w:bidi w:val="0"/>
        <w:rPr>
          <w:rFonts w:hint="eastAsia"/>
        </w:rPr>
      </w:pPr>
      <w:r>
        <w:rPr>
          <w:rFonts w:hint="eastAsia"/>
          <w:lang w:val="en-US" w:eastAsia="zh-CN"/>
        </w:rPr>
        <w:t>本</w:t>
      </w:r>
      <w:r>
        <w:rPr>
          <w:rFonts w:hint="eastAsia"/>
        </w:rPr>
        <w:t>项目</w:t>
      </w:r>
      <w:r>
        <w:rPr>
          <w:rFonts w:hint="eastAsia"/>
          <w:lang w:eastAsia="zh-CN"/>
        </w:rPr>
        <w:t>设计</w:t>
      </w:r>
      <w:r>
        <w:rPr>
          <w:rFonts w:hint="eastAsia"/>
        </w:rPr>
        <w:t>矿山开采方式为</w:t>
      </w:r>
      <w:r>
        <w:rPr>
          <w:rFonts w:hint="eastAsia"/>
          <w:lang w:eastAsia="zh-CN"/>
        </w:rPr>
        <w:t>山坡</w:t>
      </w:r>
      <w:r>
        <w:rPr>
          <w:rFonts w:hint="eastAsia"/>
        </w:rPr>
        <w:t>露天</w:t>
      </w:r>
      <w:r>
        <w:rPr>
          <w:rFonts w:hint="eastAsia"/>
          <w:lang w:val="en-US" w:eastAsia="zh-CN"/>
        </w:rPr>
        <w:t>开采</w:t>
      </w:r>
      <w:r>
        <w:rPr>
          <w:rFonts w:hint="eastAsia"/>
        </w:rPr>
        <w:t>，开采顺序为矿区内</w:t>
      </w:r>
      <w:r>
        <w:rPr>
          <w:rFonts w:hint="eastAsia"/>
          <w:lang w:eastAsia="zh-CN"/>
        </w:rPr>
        <w:t>自</w:t>
      </w:r>
      <w:r>
        <w:rPr>
          <w:rFonts w:hint="eastAsia"/>
        </w:rPr>
        <w:t>上而下</w:t>
      </w:r>
      <w:r>
        <w:rPr>
          <w:rFonts w:hint="eastAsia"/>
          <w:lang w:eastAsia="zh-CN"/>
        </w:rPr>
        <w:t>分台阶开采</w:t>
      </w:r>
      <w:r>
        <w:rPr>
          <w:rFonts w:hint="eastAsia"/>
        </w:rPr>
        <w:t>。</w:t>
      </w:r>
      <w:r>
        <w:rPr>
          <w:rFonts w:hint="eastAsia"/>
          <w:lang w:eastAsia="zh-CN"/>
        </w:rPr>
        <w:t>《初步设计》</w:t>
      </w:r>
      <w:r>
        <w:rPr>
          <w:rFonts w:hint="eastAsia"/>
          <w:lang w:val="en-US" w:eastAsia="zh-CN"/>
        </w:rPr>
        <w:t>对开采范围、露天开采境界、露天采场边坡参数、采剥方法等采矿工艺参数</w:t>
      </w:r>
      <w:r>
        <w:rPr>
          <w:rFonts w:hint="eastAsia"/>
        </w:rPr>
        <w:t>进行了设计，设计工艺满足规范要求。</w:t>
      </w:r>
    </w:p>
    <w:p w14:paraId="285CD227">
      <w:pPr>
        <w:bidi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《初步设计》未对采场边坡稳定性进行分析，下一步安全设施设计中应做详细设计说明。</w:t>
      </w:r>
    </w:p>
    <w:p w14:paraId="69344793">
      <w:pPr>
        <w:bidi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《初步设计》未明确具体边坡监测措施和设施、采区降雨量监测系统和视频监控系统的设计内容和设备布设情况，下一步安全设施设计中应做详细设计说明。</w:t>
      </w:r>
    </w:p>
    <w:p w14:paraId="0B992F73">
      <w:pPr>
        <w:bidi w:val="0"/>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《初步设计》未明确边坡作业、安全管理和检查的设计要求，下一步安全设施设计中应做详细设计说明。</w:t>
      </w:r>
    </w:p>
    <w:p w14:paraId="740DFBAA">
      <w:pPr>
        <w:pStyle w:val="4"/>
        <w:bidi w:val="0"/>
        <w:rPr>
          <w:rFonts w:hint="eastAsia"/>
          <w:lang w:val="en-US" w:eastAsia="zh-CN"/>
        </w:rPr>
      </w:pPr>
      <w:bookmarkStart w:id="191" w:name="_Toc8528"/>
      <w:r>
        <w:rPr>
          <w:rFonts w:hint="eastAsia"/>
          <w:lang w:val="en-US" w:eastAsia="zh-CN"/>
        </w:rPr>
        <w:t>单元小结</w:t>
      </w:r>
      <w:bookmarkEnd w:id="191"/>
    </w:p>
    <w:p w14:paraId="759BC821">
      <w:pPr>
        <w:bidi w:val="0"/>
        <w:rPr>
          <w:rFonts w:hint="eastAsia"/>
        </w:rPr>
      </w:pPr>
      <w:r>
        <w:rPr>
          <w:rFonts w:hint="eastAsia"/>
        </w:rPr>
        <w:t>依据本项目</w:t>
      </w:r>
      <w:r>
        <w:rPr>
          <w:rFonts w:hint="eastAsia"/>
          <w:lang w:eastAsia="zh-CN"/>
        </w:rPr>
        <w:t>《初步设计》</w:t>
      </w:r>
      <w:r>
        <w:rPr>
          <w:rFonts w:hint="eastAsia"/>
        </w:rPr>
        <w:t>进行检查评价，</w:t>
      </w:r>
      <w:r>
        <w:rPr>
          <w:rFonts w:hint="eastAsia"/>
          <w:lang w:val="en-US" w:eastAsia="zh-CN"/>
        </w:rPr>
        <w:t>采剥单元对采场边坡</w:t>
      </w:r>
      <w:r>
        <w:t>的</w:t>
      </w:r>
      <w:r>
        <w:rPr>
          <w:rFonts w:hint="eastAsia"/>
          <w:lang w:val="en-US" w:eastAsia="zh-CN"/>
        </w:rPr>
        <w:t>稳定性分析和</w:t>
      </w:r>
      <w:r>
        <w:rPr>
          <w:rFonts w:hint="eastAsia" w:ascii="宋体" w:hAnsi="宋体" w:eastAsia="宋体" w:cs="宋体"/>
        </w:rPr>
        <w:t>边坡安全管理措施</w:t>
      </w:r>
      <w:r>
        <w:rPr>
          <w:rFonts w:hint="eastAsia"/>
          <w:lang w:val="en-US" w:eastAsia="zh-CN"/>
        </w:rPr>
        <w:t>等方面的内容</w:t>
      </w:r>
      <w:r>
        <w:rPr>
          <w:rFonts w:hint="eastAsia"/>
          <w:lang w:val="en-US"/>
        </w:rPr>
        <w:t>未进行详细设计说明，不符合</w:t>
      </w:r>
      <w:r>
        <w:rPr>
          <w:rFonts w:hint="eastAsia"/>
        </w:rPr>
        <w:t>《金属非金属矿山安全规程》(GB16423-2020</w:t>
      </w:r>
      <w:r>
        <w:rPr>
          <w:rFonts w:hint="eastAsia"/>
          <w:lang w:eastAsia="zh-CN"/>
        </w:rPr>
        <w:t>)、</w:t>
      </w:r>
      <w:r>
        <w:rPr>
          <w:rFonts w:hint="eastAsia"/>
        </w:rPr>
        <w:t>《小型露天采石场安全管理与监督检查规定》</w:t>
      </w:r>
      <w:r>
        <w:rPr>
          <w:rFonts w:hint="eastAsia"/>
          <w:lang w:val="en-US"/>
        </w:rPr>
        <w:t>相关规定。</w:t>
      </w:r>
    </w:p>
    <w:p w14:paraId="57856A3F">
      <w:pPr>
        <w:pStyle w:val="3"/>
        <w:bidi w:val="0"/>
      </w:pPr>
      <w:bookmarkStart w:id="192" w:name="_Toc728"/>
      <w:r>
        <w:rPr>
          <w:rFonts w:hint="eastAsia"/>
        </w:rPr>
        <w:t>矿山</w:t>
      </w:r>
      <w:r>
        <w:rPr>
          <w:rFonts w:hint="eastAsia"/>
          <w:lang w:eastAsia="zh-CN"/>
        </w:rPr>
        <w:t>供配电设施单元</w:t>
      </w:r>
      <w:bookmarkEnd w:id="192"/>
    </w:p>
    <w:p w14:paraId="30463908">
      <w:pPr>
        <w:pStyle w:val="4"/>
        <w:bidi w:val="0"/>
      </w:pPr>
      <w:bookmarkStart w:id="193" w:name="_Toc22533"/>
      <w:r>
        <w:rPr>
          <w:rFonts w:hint="eastAsia"/>
        </w:rPr>
        <w:t>危险有害因素辨识与分析</w:t>
      </w:r>
      <w:bookmarkEnd w:id="193"/>
    </w:p>
    <w:p w14:paraId="0857ADEA">
      <w:pPr>
        <w:bidi w:val="0"/>
      </w:pPr>
      <w:r>
        <w:rPr>
          <w:rFonts w:hint="eastAsia"/>
        </w:rPr>
        <w:t>根据项目设置的供配电设施分析，矿山供配电</w:t>
      </w:r>
      <w:r>
        <w:rPr>
          <w:rFonts w:hint="eastAsia"/>
          <w:lang w:val="en-US" w:eastAsia="zh-CN"/>
        </w:rPr>
        <w:t>设施</w:t>
      </w:r>
      <w:r>
        <w:rPr>
          <w:rFonts w:hint="eastAsia"/>
        </w:rPr>
        <w:t>单元存在的主要危险有害因素为触电</w:t>
      </w:r>
      <w:r>
        <w:rPr>
          <w:rFonts w:hint="eastAsia"/>
          <w:lang w:eastAsia="zh-CN"/>
        </w:rPr>
        <w:t>、</w:t>
      </w:r>
      <w:r>
        <w:rPr>
          <w:rFonts w:hint="eastAsia" w:ascii="Times New Roman" w:hAnsi="Times New Roman" w:eastAsia="宋体" w:cs="Times New Roman"/>
        </w:rPr>
        <w:t>电气火灾</w:t>
      </w:r>
      <w:r>
        <w:rPr>
          <w:rFonts w:hint="eastAsia" w:ascii="Times New Roman" w:hAnsi="Times New Roman" w:eastAsia="宋体" w:cs="Times New Roman"/>
          <w:lang w:val="en-US" w:eastAsia="zh-CN"/>
        </w:rPr>
        <w:t>和</w:t>
      </w:r>
      <w:r>
        <w:rPr>
          <w:rFonts w:hint="eastAsia" w:ascii="Times New Roman" w:hAnsi="Times New Roman" w:eastAsia="宋体" w:cs="Times New Roman"/>
        </w:rPr>
        <w:t>雷击。</w:t>
      </w:r>
    </w:p>
    <w:p w14:paraId="64D8A80F">
      <w:pPr>
        <w:numPr>
          <w:ilvl w:val="0"/>
          <w:numId w:val="54"/>
        </w:numPr>
        <w:bidi w:val="0"/>
        <w:ind w:left="0" w:leftChars="0" w:firstLine="560" w:firstLineChars="200"/>
      </w:pPr>
      <w:r>
        <w:rPr>
          <w:rFonts w:hint="eastAsia"/>
        </w:rPr>
        <w:t>触电</w:t>
      </w:r>
    </w:p>
    <w:p w14:paraId="5FA9C3FA">
      <w:pPr>
        <w:bidi w:val="0"/>
        <w:rPr>
          <w:rFonts w:hint="eastAsia" w:ascii="宋体" w:hAnsi="宋体" w:eastAsia="宋体" w:cs="宋体"/>
        </w:rPr>
      </w:pPr>
      <w:r>
        <w:rPr>
          <w:rFonts w:hint="eastAsia" w:ascii="宋体" w:hAnsi="宋体" w:eastAsia="宋体" w:cs="宋体"/>
        </w:rPr>
        <w:t>引起触电事故的主要原因，除了设备缺陷、设计不周等技术因素外，大部分是由于违章指挥、违章操作引起的。以下因素均可能导致触电事故的发生。</w:t>
      </w:r>
    </w:p>
    <w:p w14:paraId="2927D22D">
      <w:pPr>
        <w:keepNext w:val="0"/>
        <w:keepLines w:val="0"/>
        <w:pageBreakBefore w:val="0"/>
        <w:widowControl w:val="0"/>
        <w:numPr>
          <w:ilvl w:val="0"/>
          <w:numId w:val="55"/>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设计架线高度不够或未按设计施工架设，电缆铺设不规范，电路接头裸露等。</w:t>
      </w:r>
    </w:p>
    <w:p w14:paraId="342366D4">
      <w:pPr>
        <w:keepNext w:val="0"/>
        <w:keepLines w:val="0"/>
        <w:pageBreakBefore w:val="0"/>
        <w:widowControl w:val="0"/>
        <w:numPr>
          <w:ilvl w:val="0"/>
          <w:numId w:val="55"/>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电气设备质量缺陷或未按规定接零</w:t>
      </w:r>
      <w:r>
        <w:rPr>
          <w:rFonts w:hint="eastAsia" w:ascii="宋体" w:hAnsi="宋体" w:eastAsia="宋体" w:cs="宋体"/>
          <w:lang w:eastAsia="zh-CN"/>
        </w:rPr>
        <w:t>、接地</w:t>
      </w:r>
      <w:r>
        <w:rPr>
          <w:rFonts w:hint="eastAsia" w:ascii="宋体" w:hAnsi="宋体" w:eastAsia="宋体" w:cs="宋体"/>
        </w:rPr>
        <w:t>。线路磨损、压破绝缘层使外壳带电，设备缺少漏电保护等防护装置。</w:t>
      </w:r>
    </w:p>
    <w:p w14:paraId="67C4FF6F">
      <w:pPr>
        <w:keepNext w:val="0"/>
        <w:keepLines w:val="0"/>
        <w:pageBreakBefore w:val="0"/>
        <w:widowControl w:val="0"/>
        <w:numPr>
          <w:ilvl w:val="0"/>
          <w:numId w:val="55"/>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检修作业不填写操作票或不执行监护制度，使用不合格绝缘工具和电气工具。</w:t>
      </w:r>
    </w:p>
    <w:p w14:paraId="3847FCF4">
      <w:pPr>
        <w:keepNext w:val="0"/>
        <w:keepLines w:val="0"/>
        <w:pageBreakBefore w:val="0"/>
        <w:widowControl w:val="0"/>
        <w:numPr>
          <w:ilvl w:val="0"/>
          <w:numId w:val="55"/>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线路或电气设备工作完毕，未办理工作票终结手续，就对停电设备恢复送电。</w:t>
      </w:r>
    </w:p>
    <w:p w14:paraId="09E495A4">
      <w:pPr>
        <w:keepNext w:val="0"/>
        <w:keepLines w:val="0"/>
        <w:pageBreakBefore w:val="0"/>
        <w:widowControl w:val="0"/>
        <w:numPr>
          <w:ilvl w:val="0"/>
          <w:numId w:val="55"/>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在带电设备附近进行作业，不符合安全距离或无监护措施。</w:t>
      </w:r>
    </w:p>
    <w:p w14:paraId="2815C36D">
      <w:pPr>
        <w:keepNext w:val="0"/>
        <w:keepLines w:val="0"/>
        <w:pageBreakBefore w:val="0"/>
        <w:widowControl w:val="0"/>
        <w:numPr>
          <w:ilvl w:val="0"/>
          <w:numId w:val="55"/>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绝缘</w:t>
      </w:r>
      <w:r>
        <w:rPr>
          <w:rFonts w:hint="eastAsia" w:ascii="宋体" w:hAnsi="宋体" w:eastAsia="宋体" w:cs="宋体"/>
          <w:lang w:val="en-US" w:eastAsia="zh-CN"/>
        </w:rPr>
        <w:t>鞋（靴）</w:t>
      </w:r>
      <w:r>
        <w:rPr>
          <w:rFonts w:hint="eastAsia" w:ascii="宋体" w:hAnsi="宋体" w:eastAsia="宋体" w:cs="宋体"/>
        </w:rPr>
        <w:t>破损，作业者身体或工具碰到带电设备或线路上。</w:t>
      </w:r>
    </w:p>
    <w:p w14:paraId="681C804E">
      <w:pPr>
        <w:keepNext w:val="0"/>
        <w:keepLines w:val="0"/>
        <w:pageBreakBefore w:val="0"/>
        <w:widowControl w:val="0"/>
        <w:numPr>
          <w:ilvl w:val="0"/>
          <w:numId w:val="55"/>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缺少标志或标志不明显。</w:t>
      </w:r>
    </w:p>
    <w:p w14:paraId="4B7529A2">
      <w:pPr>
        <w:keepNext w:val="0"/>
        <w:keepLines w:val="0"/>
        <w:pageBreakBefore w:val="0"/>
        <w:widowControl w:val="0"/>
        <w:numPr>
          <w:ilvl w:val="0"/>
          <w:numId w:val="55"/>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使用电动工具不戴绝缘手套。</w:t>
      </w:r>
    </w:p>
    <w:p w14:paraId="2CD4C5B2">
      <w:pPr>
        <w:keepNext w:val="0"/>
        <w:keepLines w:val="0"/>
        <w:pageBreakBefore w:val="0"/>
        <w:widowControl w:val="0"/>
        <w:numPr>
          <w:ilvl w:val="0"/>
          <w:numId w:val="55"/>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作业人员缺乏安全用电知识，违反电气安全操作规程。</w:t>
      </w:r>
    </w:p>
    <w:p w14:paraId="21FA3D88">
      <w:pPr>
        <w:keepNext w:val="0"/>
        <w:keepLines w:val="0"/>
        <w:pageBreakBefore w:val="0"/>
        <w:widowControl w:val="0"/>
        <w:numPr>
          <w:ilvl w:val="0"/>
          <w:numId w:val="55"/>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电源电压、电气设备等方面的选用与所处的环境条件不相符。</w:t>
      </w:r>
    </w:p>
    <w:p w14:paraId="64C3E934">
      <w:pPr>
        <w:keepNext w:val="0"/>
        <w:keepLines w:val="0"/>
        <w:pageBreakBefore w:val="0"/>
        <w:widowControl w:val="0"/>
        <w:numPr>
          <w:ilvl w:val="0"/>
          <w:numId w:val="55"/>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使用了安全性能不合格的设备、器具，缺乏必要的安全保护装置。</w:t>
      </w:r>
    </w:p>
    <w:p w14:paraId="41F435A9">
      <w:pPr>
        <w:keepNext w:val="0"/>
        <w:keepLines w:val="0"/>
        <w:pageBreakBefore w:val="0"/>
        <w:widowControl w:val="0"/>
        <w:numPr>
          <w:ilvl w:val="0"/>
          <w:numId w:val="55"/>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设备使用不当，超载运行。</w:t>
      </w:r>
    </w:p>
    <w:p w14:paraId="5B15A193">
      <w:pPr>
        <w:keepNext w:val="0"/>
        <w:keepLines w:val="0"/>
        <w:pageBreakBefore w:val="0"/>
        <w:widowControl w:val="0"/>
        <w:numPr>
          <w:ilvl w:val="0"/>
          <w:numId w:val="55"/>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设备和线路的安装不合格，检查、维修不善，带病运行等。</w:t>
      </w:r>
    </w:p>
    <w:p w14:paraId="5FAD2742">
      <w:pPr>
        <w:keepNext w:val="0"/>
        <w:keepLines w:val="0"/>
        <w:pageBreakBefore w:val="0"/>
        <w:widowControl w:val="0"/>
        <w:numPr>
          <w:ilvl w:val="0"/>
          <w:numId w:val="55"/>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电气作业的安全管理工作存在漏洞。</w:t>
      </w:r>
    </w:p>
    <w:p w14:paraId="08F3647A">
      <w:pPr>
        <w:numPr>
          <w:ilvl w:val="0"/>
          <w:numId w:val="54"/>
        </w:numPr>
        <w:bidi w:val="0"/>
        <w:ind w:left="0" w:leftChars="0" w:firstLine="560" w:firstLineChars="200"/>
        <w:rPr>
          <w:rFonts w:hint="eastAsia"/>
        </w:rPr>
      </w:pPr>
      <w:r>
        <w:rPr>
          <w:rFonts w:hint="eastAsia"/>
        </w:rPr>
        <w:t>电气火灾</w:t>
      </w:r>
    </w:p>
    <w:p w14:paraId="06485C63">
      <w:pPr>
        <w:bidi w:val="0"/>
        <w:rPr>
          <w:rFonts w:hint="eastAsia"/>
          <w:lang w:val="en-US" w:eastAsia="zh-CN"/>
        </w:rPr>
      </w:pPr>
      <w:r>
        <w:rPr>
          <w:rFonts w:hint="eastAsia"/>
        </w:rPr>
        <w:t>矿山供电系统中，有变压器，配备相应的电柜、隔离开关、真空断路器等</w:t>
      </w:r>
      <w:r>
        <w:rPr>
          <w:rFonts w:hint="eastAsia"/>
          <w:lang w:eastAsia="zh-CN"/>
        </w:rPr>
        <w:t>。</w:t>
      </w:r>
      <w:r>
        <w:rPr>
          <w:rFonts w:hint="eastAsia"/>
          <w:lang w:val="en-US" w:eastAsia="zh-CN"/>
        </w:rPr>
        <w:t>由于使用、维护不当，电气设备、照明设备等会发生火灾事故。其原因通常是：设备选用不当；线路年久失修，绝缘老化造成短路；超负荷运行；维修不善导致接头松动；电气设备积尘、受潮，热源接近电器，接近易燃易爆物；通风散热不良；电焊火星引燃易燃物等。违规使用油浸变阻器和油开关致使着火。</w:t>
      </w:r>
    </w:p>
    <w:p w14:paraId="79E99A57">
      <w:pPr>
        <w:numPr>
          <w:ilvl w:val="0"/>
          <w:numId w:val="54"/>
        </w:numPr>
        <w:bidi w:val="0"/>
        <w:ind w:left="0" w:leftChars="0" w:firstLine="560" w:firstLineChars="200"/>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雷击</w:t>
      </w:r>
    </w:p>
    <w:p w14:paraId="492F9147">
      <w:pPr>
        <w:bidi w:val="0"/>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主要建构筑物无防雷击设施；电气设备、线路，未设有可靠的防雷、接地装置；未定期进行全面检查和监测导致防雷设施失效；违章作业，未穿戴劳动防护用品。</w:t>
      </w:r>
    </w:p>
    <w:p w14:paraId="6856792C">
      <w:pPr>
        <w:pStyle w:val="4"/>
        <w:bidi w:val="0"/>
      </w:pPr>
      <w:bookmarkStart w:id="194" w:name="_Toc32223"/>
      <w:r>
        <w:rPr>
          <w:rFonts w:hint="eastAsia"/>
        </w:rPr>
        <w:t>危险程度评价</w:t>
      </w:r>
      <w:bookmarkEnd w:id="194"/>
    </w:p>
    <w:p w14:paraId="5F3175D6">
      <w:pPr>
        <w:bidi w:val="0"/>
        <w:rPr>
          <w:rFonts w:hint="eastAsia" w:ascii="宋体" w:hAnsi="宋体" w:eastAsia="宋体" w:cs="宋体"/>
        </w:rPr>
      </w:pPr>
      <w:r>
        <w:rPr>
          <w:rFonts w:hint="eastAsia" w:ascii="宋体" w:hAnsi="宋体" w:eastAsia="宋体" w:cs="宋体"/>
        </w:rPr>
        <w:t>矿山</w:t>
      </w:r>
      <w:r>
        <w:rPr>
          <w:rFonts w:hint="eastAsia" w:ascii="宋体" w:hAnsi="宋体" w:eastAsia="宋体" w:cs="宋体"/>
          <w:lang w:eastAsia="zh-CN"/>
        </w:rPr>
        <w:t>供配电设施</w:t>
      </w:r>
      <w:r>
        <w:rPr>
          <w:rFonts w:hint="eastAsia" w:ascii="宋体" w:hAnsi="宋体" w:eastAsia="宋体" w:cs="宋体"/>
        </w:rPr>
        <w:t>主要存在的危险有害因素，采用作业条件危险性评价法针对矿山</w:t>
      </w:r>
      <w:r>
        <w:rPr>
          <w:rFonts w:hint="eastAsia" w:ascii="宋体" w:hAnsi="宋体" w:eastAsia="宋体" w:cs="宋体"/>
          <w:lang w:eastAsia="zh-CN"/>
        </w:rPr>
        <w:t>供配电设施</w:t>
      </w:r>
      <w:r>
        <w:rPr>
          <w:rFonts w:hint="eastAsia" w:ascii="宋体" w:hAnsi="宋体" w:eastAsia="宋体" w:cs="宋体"/>
        </w:rPr>
        <w:t>单元存在的危险因素进行危险程度评价，参照</w:t>
      </w:r>
      <w:r>
        <w:rPr>
          <w:rFonts w:hint="eastAsia" w:ascii="宋体" w:hAnsi="宋体" w:cs="宋体"/>
          <w:lang w:eastAsia="zh-CN"/>
        </w:rPr>
        <w:t>表3-5</w:t>
      </w:r>
      <w:r>
        <w:rPr>
          <w:rFonts w:hint="eastAsia" w:ascii="宋体" w:hAnsi="宋体" w:eastAsia="宋体" w:cs="宋体"/>
        </w:rPr>
        <w:t>、</w:t>
      </w:r>
      <w:r>
        <w:rPr>
          <w:rFonts w:hint="eastAsia" w:ascii="宋体" w:hAnsi="宋体" w:cs="宋体"/>
          <w:lang w:eastAsia="zh-CN"/>
        </w:rPr>
        <w:t>表3-6</w:t>
      </w:r>
      <w:r>
        <w:rPr>
          <w:rFonts w:hint="eastAsia" w:ascii="宋体" w:hAnsi="宋体" w:eastAsia="宋体" w:cs="宋体"/>
        </w:rPr>
        <w:t>、</w:t>
      </w:r>
      <w:r>
        <w:rPr>
          <w:rFonts w:hint="eastAsia" w:ascii="宋体" w:hAnsi="宋体" w:cs="宋体"/>
          <w:lang w:eastAsia="zh-CN"/>
        </w:rPr>
        <w:t>表3-7</w:t>
      </w:r>
      <w:r>
        <w:rPr>
          <w:rFonts w:hint="eastAsia" w:ascii="宋体" w:hAnsi="宋体" w:eastAsia="宋体" w:cs="宋体"/>
        </w:rPr>
        <w:t>取值范围，根据矿山实际情况取值对应表</w:t>
      </w:r>
      <w:r>
        <w:rPr>
          <w:rFonts w:hint="eastAsia" w:ascii="宋体" w:hAnsi="宋体" w:cs="宋体"/>
          <w:lang w:val="en-US" w:eastAsia="zh-CN"/>
        </w:rPr>
        <w:t>3-16</w:t>
      </w:r>
      <w:r>
        <w:rPr>
          <w:rFonts w:hint="eastAsia" w:ascii="宋体" w:hAnsi="宋体" w:eastAsia="宋体" w:cs="宋体"/>
        </w:rPr>
        <w:t>可知：</w:t>
      </w:r>
    </w:p>
    <w:p w14:paraId="03FF2CAA">
      <w:pPr>
        <w:pStyle w:val="11"/>
        <w:ind w:left="0" w:leftChars="0" w:firstLine="0" w:firstLineChars="0"/>
        <w:jc w:val="center"/>
        <w:rPr>
          <w:rFonts w:hint="eastAsia" w:eastAsia="宋体"/>
          <w:lang w:eastAsia="zh-CN"/>
        </w:rPr>
      </w:pPr>
      <w:r>
        <w:t xml:space="preserve">表 </w:t>
      </w:r>
      <w:r>
        <w:fldChar w:fldCharType="begin"/>
      </w:r>
      <w:r>
        <w:instrText xml:space="preserve"> STYLEREF 1 \s </w:instrText>
      </w:r>
      <w:r>
        <w:fldChar w:fldCharType="separate"/>
      </w:r>
      <w:r>
        <w:t>3</w:t>
      </w:r>
      <w:r>
        <w:fldChar w:fldCharType="end"/>
      </w:r>
      <w:r>
        <w:rPr>
          <w:rFonts w:hint="eastAsia"/>
          <w:lang w:eastAsia="zh-CN"/>
        </w:rPr>
        <w:t>-</w:t>
      </w:r>
      <w:r>
        <w:fldChar w:fldCharType="begin"/>
      </w:r>
      <w:r>
        <w:instrText xml:space="preserve"> SEQ 表 \* ARABIC \s 1 </w:instrText>
      </w:r>
      <w:r>
        <w:fldChar w:fldCharType="separate"/>
      </w:r>
      <w:r>
        <w:t>16</w:t>
      </w:r>
      <w:r>
        <w:fldChar w:fldCharType="end"/>
      </w:r>
      <w:r>
        <w:rPr>
          <w:rFonts w:hint="eastAsia"/>
          <w:lang w:eastAsia="zh-CN"/>
        </w:rPr>
        <w:t xml:space="preserve"> 矿山供配电设施单元危险有害因素危险度分析表</w:t>
      </w:r>
    </w:p>
    <w:tbl>
      <w:tblPr>
        <w:tblStyle w:val="29"/>
        <w:tblW w:w="4869" w:type="pct"/>
        <w:tblInd w:w="147"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80"/>
        <w:gridCol w:w="1917"/>
        <w:gridCol w:w="542"/>
        <w:gridCol w:w="542"/>
        <w:gridCol w:w="542"/>
        <w:gridCol w:w="933"/>
        <w:gridCol w:w="3623"/>
      </w:tblGrid>
      <w:tr w14:paraId="6CFE08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439" w:type="pct"/>
            <w:tcBorders>
              <w:tl2br w:val="nil"/>
              <w:tr2bl w:val="nil"/>
            </w:tcBorders>
            <w:noWrap w:val="0"/>
            <w:vAlign w:val="center"/>
          </w:tcPr>
          <w:p w14:paraId="2D221535">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center"/>
              <w:textAlignment w:val="auto"/>
              <w:rPr>
                <w:rFonts w:hint="eastAsia" w:ascii="宋体" w:hAnsi="宋体" w:eastAsia="宋体" w:cs="宋体"/>
                <w:b/>
                <w:bCs/>
                <w:color w:val="auto"/>
                <w:kern w:val="0"/>
                <w:sz w:val="24"/>
                <w:szCs w:val="24"/>
                <w:lang w:val="en-US" w:eastAsia="zh-CN" w:bidi="ar-SA"/>
              </w:rPr>
            </w:pPr>
            <w:r>
              <w:rPr>
                <w:rFonts w:hint="eastAsia" w:ascii="宋体" w:hAnsi="宋体" w:eastAsia="宋体" w:cs="宋体"/>
                <w:b/>
                <w:bCs/>
                <w:color w:val="auto"/>
                <w:kern w:val="0"/>
                <w:sz w:val="24"/>
                <w:szCs w:val="24"/>
              </w:rPr>
              <w:t>序号</w:t>
            </w:r>
          </w:p>
        </w:tc>
        <w:tc>
          <w:tcPr>
            <w:tcW w:w="1079" w:type="pct"/>
            <w:tcBorders>
              <w:tl2br w:val="nil"/>
              <w:tr2bl w:val="nil"/>
            </w:tcBorders>
            <w:noWrap w:val="0"/>
            <w:vAlign w:val="center"/>
          </w:tcPr>
          <w:p w14:paraId="20D42D16">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center"/>
              <w:textAlignment w:val="auto"/>
              <w:rPr>
                <w:rFonts w:hint="eastAsia" w:ascii="宋体" w:hAnsi="宋体" w:eastAsia="宋体" w:cs="宋体"/>
                <w:b/>
                <w:bCs/>
                <w:color w:val="auto"/>
                <w:kern w:val="0"/>
                <w:sz w:val="24"/>
                <w:szCs w:val="24"/>
                <w:lang w:val="en-US" w:eastAsia="zh-CN" w:bidi="ar-SA"/>
              </w:rPr>
            </w:pPr>
            <w:r>
              <w:rPr>
                <w:rFonts w:hint="eastAsia" w:ascii="宋体" w:hAnsi="宋体" w:eastAsia="宋体" w:cs="宋体"/>
                <w:b/>
                <w:bCs/>
                <w:color w:val="auto"/>
                <w:kern w:val="0"/>
                <w:sz w:val="24"/>
                <w:szCs w:val="24"/>
              </w:rPr>
              <w:t>危害因素</w:t>
            </w:r>
          </w:p>
        </w:tc>
        <w:tc>
          <w:tcPr>
            <w:tcW w:w="305" w:type="pct"/>
            <w:tcBorders>
              <w:tl2br w:val="nil"/>
              <w:tr2bl w:val="nil"/>
            </w:tcBorders>
            <w:noWrap w:val="0"/>
            <w:vAlign w:val="center"/>
          </w:tcPr>
          <w:p w14:paraId="19DCAB78">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center"/>
              <w:textAlignment w:val="auto"/>
              <w:rPr>
                <w:rFonts w:hint="eastAsia" w:ascii="宋体" w:hAnsi="宋体" w:eastAsia="宋体" w:cs="宋体"/>
                <w:b/>
                <w:bCs/>
                <w:color w:val="auto"/>
                <w:kern w:val="0"/>
                <w:sz w:val="24"/>
                <w:szCs w:val="24"/>
                <w:lang w:val="en-US" w:eastAsia="zh-CN" w:bidi="ar-SA"/>
              </w:rPr>
            </w:pPr>
            <w:r>
              <w:rPr>
                <w:rFonts w:hint="eastAsia" w:ascii="宋体" w:hAnsi="宋体" w:eastAsia="宋体" w:cs="宋体"/>
                <w:b/>
                <w:bCs/>
                <w:color w:val="auto"/>
                <w:kern w:val="0"/>
                <w:sz w:val="24"/>
                <w:szCs w:val="24"/>
              </w:rPr>
              <w:t>L</w:t>
            </w:r>
          </w:p>
        </w:tc>
        <w:tc>
          <w:tcPr>
            <w:tcW w:w="305" w:type="pct"/>
            <w:tcBorders>
              <w:tl2br w:val="nil"/>
              <w:tr2bl w:val="nil"/>
            </w:tcBorders>
            <w:noWrap w:val="0"/>
            <w:vAlign w:val="center"/>
          </w:tcPr>
          <w:p w14:paraId="1C5F6728">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center"/>
              <w:textAlignment w:val="auto"/>
              <w:rPr>
                <w:rFonts w:hint="eastAsia" w:ascii="宋体" w:hAnsi="宋体" w:eastAsia="宋体" w:cs="宋体"/>
                <w:b/>
                <w:bCs/>
                <w:color w:val="auto"/>
                <w:kern w:val="0"/>
                <w:sz w:val="24"/>
                <w:szCs w:val="24"/>
                <w:lang w:val="en-US" w:eastAsia="zh-CN" w:bidi="ar-SA"/>
              </w:rPr>
            </w:pPr>
            <w:r>
              <w:rPr>
                <w:rFonts w:hint="eastAsia" w:ascii="宋体" w:hAnsi="宋体" w:eastAsia="宋体" w:cs="宋体"/>
                <w:b/>
                <w:bCs/>
                <w:color w:val="auto"/>
                <w:kern w:val="0"/>
                <w:sz w:val="24"/>
                <w:szCs w:val="24"/>
              </w:rPr>
              <w:t>E</w:t>
            </w:r>
          </w:p>
        </w:tc>
        <w:tc>
          <w:tcPr>
            <w:tcW w:w="305" w:type="pct"/>
            <w:tcBorders>
              <w:tl2br w:val="nil"/>
              <w:tr2bl w:val="nil"/>
            </w:tcBorders>
            <w:noWrap w:val="0"/>
            <w:vAlign w:val="center"/>
          </w:tcPr>
          <w:p w14:paraId="2F4A0D8A">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center"/>
              <w:textAlignment w:val="auto"/>
              <w:rPr>
                <w:rFonts w:hint="eastAsia" w:ascii="宋体" w:hAnsi="宋体" w:eastAsia="宋体" w:cs="宋体"/>
                <w:b/>
                <w:bCs/>
                <w:color w:val="auto"/>
                <w:kern w:val="0"/>
                <w:sz w:val="24"/>
                <w:szCs w:val="24"/>
                <w:lang w:val="en-US" w:eastAsia="zh-CN" w:bidi="ar-SA"/>
              </w:rPr>
            </w:pPr>
            <w:r>
              <w:rPr>
                <w:rFonts w:hint="eastAsia" w:ascii="宋体" w:hAnsi="宋体" w:eastAsia="宋体" w:cs="宋体"/>
                <w:b/>
                <w:bCs/>
                <w:color w:val="auto"/>
                <w:kern w:val="0"/>
                <w:sz w:val="24"/>
                <w:szCs w:val="24"/>
              </w:rPr>
              <w:t>C</w:t>
            </w:r>
          </w:p>
        </w:tc>
        <w:tc>
          <w:tcPr>
            <w:tcW w:w="525" w:type="pct"/>
            <w:tcBorders>
              <w:tl2br w:val="nil"/>
              <w:tr2bl w:val="nil"/>
            </w:tcBorders>
            <w:noWrap w:val="0"/>
            <w:vAlign w:val="center"/>
          </w:tcPr>
          <w:p w14:paraId="3F9821A3">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center"/>
              <w:textAlignment w:val="auto"/>
              <w:rPr>
                <w:rFonts w:hint="eastAsia" w:ascii="宋体" w:hAnsi="宋体" w:eastAsia="宋体" w:cs="宋体"/>
                <w:b/>
                <w:bCs/>
                <w:color w:val="auto"/>
                <w:kern w:val="0"/>
                <w:sz w:val="24"/>
                <w:szCs w:val="24"/>
                <w:lang w:val="en-US" w:eastAsia="zh-CN" w:bidi="ar-SA"/>
              </w:rPr>
            </w:pPr>
            <w:r>
              <w:rPr>
                <w:rFonts w:hint="eastAsia" w:ascii="宋体" w:hAnsi="宋体" w:eastAsia="宋体" w:cs="宋体"/>
                <w:b/>
                <w:bCs/>
                <w:color w:val="auto"/>
                <w:kern w:val="0"/>
                <w:sz w:val="24"/>
                <w:szCs w:val="24"/>
              </w:rPr>
              <w:t>D</w:t>
            </w:r>
          </w:p>
        </w:tc>
        <w:tc>
          <w:tcPr>
            <w:tcW w:w="2039" w:type="pct"/>
            <w:tcBorders>
              <w:tl2br w:val="nil"/>
              <w:tr2bl w:val="nil"/>
            </w:tcBorders>
            <w:noWrap w:val="0"/>
            <w:vAlign w:val="center"/>
          </w:tcPr>
          <w:p w14:paraId="0B6DA8EF">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center"/>
              <w:textAlignment w:val="auto"/>
              <w:rPr>
                <w:rFonts w:hint="eastAsia" w:ascii="宋体" w:hAnsi="宋体" w:eastAsia="宋体" w:cs="宋体"/>
                <w:b/>
                <w:bCs/>
                <w:color w:val="auto"/>
                <w:kern w:val="0"/>
                <w:sz w:val="24"/>
                <w:szCs w:val="24"/>
                <w:lang w:val="en-US" w:eastAsia="zh-CN" w:bidi="ar-SA"/>
              </w:rPr>
            </w:pPr>
            <w:r>
              <w:rPr>
                <w:rFonts w:hint="eastAsia" w:ascii="宋体" w:hAnsi="宋体" w:eastAsia="宋体" w:cs="宋体"/>
                <w:b/>
                <w:bCs/>
                <w:color w:val="auto"/>
                <w:kern w:val="0"/>
                <w:sz w:val="24"/>
                <w:szCs w:val="24"/>
              </w:rPr>
              <w:t>危险程度</w:t>
            </w:r>
          </w:p>
        </w:tc>
      </w:tr>
      <w:tr w14:paraId="12483F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439" w:type="pct"/>
            <w:tcBorders>
              <w:tl2br w:val="nil"/>
              <w:tr2bl w:val="nil"/>
            </w:tcBorders>
            <w:noWrap w:val="0"/>
            <w:vAlign w:val="center"/>
          </w:tcPr>
          <w:p w14:paraId="0851879C">
            <w:pPr>
              <w:spacing w:line="360" w:lineRule="auto"/>
              <w:ind w:left="0" w:leftChars="0" w:right="0" w:rightChars="0" w:firstLine="0" w:firstLineChars="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p>
        </w:tc>
        <w:tc>
          <w:tcPr>
            <w:tcW w:w="1079" w:type="pct"/>
            <w:tcBorders>
              <w:tl2br w:val="nil"/>
              <w:tr2bl w:val="nil"/>
            </w:tcBorders>
            <w:noWrap w:val="0"/>
            <w:vAlign w:val="center"/>
          </w:tcPr>
          <w:p w14:paraId="7FF25865">
            <w:pPr>
              <w:spacing w:line="360" w:lineRule="auto"/>
              <w:ind w:left="0" w:leftChars="0" w:right="0" w:rightChars="0" w:firstLine="0" w:firstLineChars="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触电</w:t>
            </w:r>
          </w:p>
        </w:tc>
        <w:tc>
          <w:tcPr>
            <w:tcW w:w="305" w:type="pct"/>
            <w:tcBorders>
              <w:tl2br w:val="nil"/>
              <w:tr2bl w:val="nil"/>
            </w:tcBorders>
            <w:noWrap w:val="0"/>
            <w:vAlign w:val="center"/>
          </w:tcPr>
          <w:p w14:paraId="203CF4A5">
            <w:pPr>
              <w:spacing w:line="360" w:lineRule="auto"/>
              <w:ind w:left="0" w:leftChars="0" w:right="0" w:rightChars="0" w:firstLine="0" w:firstLineChars="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w:t>
            </w:r>
          </w:p>
        </w:tc>
        <w:tc>
          <w:tcPr>
            <w:tcW w:w="305" w:type="pct"/>
            <w:tcBorders>
              <w:tl2br w:val="nil"/>
              <w:tr2bl w:val="nil"/>
            </w:tcBorders>
            <w:noWrap w:val="0"/>
            <w:vAlign w:val="center"/>
          </w:tcPr>
          <w:p w14:paraId="242FA62D">
            <w:pPr>
              <w:spacing w:line="360" w:lineRule="auto"/>
              <w:ind w:left="0" w:leftChars="0" w:right="0" w:rightChars="0" w:firstLine="0" w:firstLineChars="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6</w:t>
            </w:r>
          </w:p>
        </w:tc>
        <w:tc>
          <w:tcPr>
            <w:tcW w:w="305" w:type="pct"/>
            <w:tcBorders>
              <w:tl2br w:val="nil"/>
              <w:tr2bl w:val="nil"/>
            </w:tcBorders>
            <w:noWrap w:val="0"/>
            <w:vAlign w:val="center"/>
          </w:tcPr>
          <w:p w14:paraId="6638DCBA">
            <w:pPr>
              <w:spacing w:line="360" w:lineRule="auto"/>
              <w:ind w:left="0" w:leftChars="0" w:right="0" w:rightChars="0" w:firstLine="0" w:firstLineChars="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7</w:t>
            </w:r>
          </w:p>
        </w:tc>
        <w:tc>
          <w:tcPr>
            <w:tcW w:w="525" w:type="pct"/>
            <w:tcBorders>
              <w:tl2br w:val="nil"/>
              <w:tr2bl w:val="nil"/>
            </w:tcBorders>
            <w:noWrap w:val="0"/>
            <w:vAlign w:val="center"/>
          </w:tcPr>
          <w:p w14:paraId="46BD4B47">
            <w:pPr>
              <w:spacing w:line="360" w:lineRule="auto"/>
              <w:ind w:left="0" w:leftChars="0" w:right="0" w:rightChars="0" w:firstLine="0" w:firstLineChars="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126</w:t>
            </w:r>
          </w:p>
        </w:tc>
        <w:tc>
          <w:tcPr>
            <w:tcW w:w="2039" w:type="pct"/>
            <w:tcBorders>
              <w:tl2br w:val="nil"/>
              <w:tr2bl w:val="nil"/>
            </w:tcBorders>
            <w:noWrap w:val="0"/>
            <w:vAlign w:val="center"/>
          </w:tcPr>
          <w:p w14:paraId="1063D79B">
            <w:pPr>
              <w:spacing w:line="360" w:lineRule="auto"/>
              <w:ind w:left="0" w:leftChars="0" w:right="0" w:rightChars="0" w:firstLine="0" w:firstLineChars="0"/>
              <w:jc w:val="center"/>
              <w:rPr>
                <w:rFonts w:hint="eastAsia" w:ascii="宋体" w:hAnsi="宋体" w:eastAsia="宋体" w:cs="宋体"/>
                <w:color w:val="auto"/>
                <w:kern w:val="0"/>
                <w:sz w:val="24"/>
                <w:szCs w:val="24"/>
              </w:rPr>
            </w:pPr>
            <w:r>
              <w:rPr>
                <w:rFonts w:hint="eastAsia" w:ascii="宋体" w:hAnsi="宋体" w:eastAsia="宋体" w:cs="宋体"/>
                <w:color w:val="auto"/>
                <w:sz w:val="24"/>
                <w:szCs w:val="24"/>
              </w:rPr>
              <w:t>显著危险，需要整改</w:t>
            </w:r>
          </w:p>
        </w:tc>
      </w:tr>
      <w:tr w14:paraId="6668AF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439" w:type="pct"/>
            <w:tcBorders>
              <w:tl2br w:val="nil"/>
              <w:tr2bl w:val="nil"/>
            </w:tcBorders>
            <w:noWrap w:val="0"/>
            <w:vAlign w:val="center"/>
          </w:tcPr>
          <w:p w14:paraId="0F99B85E">
            <w:pPr>
              <w:spacing w:line="360" w:lineRule="auto"/>
              <w:ind w:left="0" w:leftChars="0" w:right="0" w:rightChars="0" w:firstLine="0" w:firstLineChars="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w:t>
            </w:r>
          </w:p>
        </w:tc>
        <w:tc>
          <w:tcPr>
            <w:tcW w:w="1079" w:type="pct"/>
            <w:tcBorders>
              <w:tl2br w:val="nil"/>
              <w:tr2bl w:val="nil"/>
            </w:tcBorders>
            <w:noWrap w:val="0"/>
            <w:vAlign w:val="center"/>
          </w:tcPr>
          <w:p w14:paraId="7F815F03">
            <w:pPr>
              <w:spacing w:line="360" w:lineRule="auto"/>
              <w:ind w:left="0" w:leftChars="0" w:right="0" w:rightChars="0" w:firstLine="0" w:firstLineChars="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电气火灾</w:t>
            </w:r>
          </w:p>
        </w:tc>
        <w:tc>
          <w:tcPr>
            <w:tcW w:w="305" w:type="pct"/>
            <w:tcBorders>
              <w:tl2br w:val="nil"/>
              <w:tr2bl w:val="nil"/>
            </w:tcBorders>
            <w:noWrap w:val="0"/>
            <w:vAlign w:val="center"/>
          </w:tcPr>
          <w:p w14:paraId="76243ADE">
            <w:pPr>
              <w:spacing w:line="360" w:lineRule="auto"/>
              <w:ind w:left="0" w:leftChars="0" w:right="0" w:rightChars="0" w:firstLine="0" w:firstLineChars="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w:t>
            </w:r>
          </w:p>
        </w:tc>
        <w:tc>
          <w:tcPr>
            <w:tcW w:w="305" w:type="pct"/>
            <w:tcBorders>
              <w:tl2br w:val="nil"/>
              <w:tr2bl w:val="nil"/>
            </w:tcBorders>
            <w:noWrap w:val="0"/>
            <w:vAlign w:val="center"/>
          </w:tcPr>
          <w:p w14:paraId="25F9B6F1">
            <w:pPr>
              <w:spacing w:line="360" w:lineRule="auto"/>
              <w:ind w:left="0" w:leftChars="0" w:right="0" w:rightChars="0" w:firstLine="0" w:firstLineChars="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6</w:t>
            </w:r>
          </w:p>
        </w:tc>
        <w:tc>
          <w:tcPr>
            <w:tcW w:w="305" w:type="pct"/>
            <w:tcBorders>
              <w:tl2br w:val="nil"/>
              <w:tr2bl w:val="nil"/>
            </w:tcBorders>
            <w:noWrap w:val="0"/>
            <w:vAlign w:val="center"/>
          </w:tcPr>
          <w:p w14:paraId="232D5853">
            <w:pPr>
              <w:spacing w:line="360" w:lineRule="auto"/>
              <w:ind w:left="0" w:leftChars="0" w:right="0" w:rightChars="0" w:firstLine="0" w:firstLineChars="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w:t>
            </w:r>
          </w:p>
        </w:tc>
        <w:tc>
          <w:tcPr>
            <w:tcW w:w="525" w:type="pct"/>
            <w:tcBorders>
              <w:tl2br w:val="nil"/>
              <w:tr2bl w:val="nil"/>
            </w:tcBorders>
            <w:noWrap w:val="0"/>
            <w:vAlign w:val="center"/>
          </w:tcPr>
          <w:p w14:paraId="34331E01">
            <w:pPr>
              <w:spacing w:line="360" w:lineRule="auto"/>
              <w:ind w:left="0" w:leftChars="0" w:right="0" w:rightChars="0" w:firstLine="0" w:firstLineChars="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54</w:t>
            </w:r>
          </w:p>
        </w:tc>
        <w:tc>
          <w:tcPr>
            <w:tcW w:w="2039" w:type="pct"/>
            <w:tcBorders>
              <w:tl2br w:val="nil"/>
              <w:tr2bl w:val="nil"/>
            </w:tcBorders>
            <w:noWrap w:val="0"/>
            <w:vAlign w:val="center"/>
          </w:tcPr>
          <w:p w14:paraId="0881F2BE">
            <w:pPr>
              <w:spacing w:line="360" w:lineRule="auto"/>
              <w:ind w:left="0" w:leftChars="0" w:right="0" w:rightChars="0" w:firstLine="0" w:firstLineChars="0"/>
              <w:jc w:val="center"/>
              <w:rPr>
                <w:rFonts w:hint="eastAsia" w:ascii="宋体" w:hAnsi="宋体" w:eastAsia="宋体" w:cs="宋体"/>
                <w:color w:val="auto"/>
                <w:kern w:val="0"/>
                <w:sz w:val="24"/>
                <w:szCs w:val="24"/>
              </w:rPr>
            </w:pPr>
            <w:r>
              <w:rPr>
                <w:rFonts w:hint="eastAsia" w:ascii="宋体" w:hAnsi="宋体" w:eastAsia="宋体" w:cs="宋体"/>
                <w:color w:val="auto"/>
                <w:sz w:val="24"/>
                <w:szCs w:val="24"/>
              </w:rPr>
              <w:t>可能危险，需要注意</w:t>
            </w:r>
          </w:p>
        </w:tc>
      </w:tr>
      <w:tr w14:paraId="60D195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439" w:type="pct"/>
            <w:tcBorders>
              <w:tl2br w:val="nil"/>
              <w:tr2bl w:val="nil"/>
            </w:tcBorders>
            <w:noWrap w:val="0"/>
            <w:vAlign w:val="center"/>
          </w:tcPr>
          <w:p w14:paraId="7231451B">
            <w:pPr>
              <w:spacing w:line="360" w:lineRule="auto"/>
              <w:ind w:left="0" w:leftChars="0" w:right="0" w:rightChars="0" w:firstLine="0" w:firstLineChars="0"/>
              <w:jc w:val="center"/>
              <w:rPr>
                <w:rFonts w:hint="eastAsia"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3</w:t>
            </w:r>
          </w:p>
        </w:tc>
        <w:tc>
          <w:tcPr>
            <w:tcW w:w="1079" w:type="pct"/>
            <w:tcBorders>
              <w:tl2br w:val="nil"/>
              <w:tr2bl w:val="nil"/>
            </w:tcBorders>
            <w:noWrap w:val="0"/>
            <w:vAlign w:val="center"/>
          </w:tcPr>
          <w:p w14:paraId="7DD82DB6">
            <w:pPr>
              <w:spacing w:line="360" w:lineRule="auto"/>
              <w:ind w:left="0" w:leftChars="0" w:right="0" w:rightChars="0" w:firstLine="0" w:firstLineChars="0"/>
              <w:jc w:val="center"/>
              <w:rPr>
                <w:rFonts w:hint="eastAsia"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雷击</w:t>
            </w:r>
          </w:p>
        </w:tc>
        <w:tc>
          <w:tcPr>
            <w:tcW w:w="305" w:type="pct"/>
            <w:tcBorders>
              <w:tl2br w:val="nil"/>
              <w:tr2bl w:val="nil"/>
            </w:tcBorders>
            <w:noWrap w:val="0"/>
            <w:vAlign w:val="center"/>
          </w:tcPr>
          <w:p w14:paraId="3676314D">
            <w:pPr>
              <w:spacing w:line="360" w:lineRule="auto"/>
              <w:ind w:left="0" w:leftChars="0" w:right="0" w:rightChars="0" w:firstLine="0" w:firstLineChars="0"/>
              <w:jc w:val="center"/>
              <w:rPr>
                <w:rFonts w:hint="eastAsia"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1</w:t>
            </w:r>
          </w:p>
        </w:tc>
        <w:tc>
          <w:tcPr>
            <w:tcW w:w="305" w:type="pct"/>
            <w:tcBorders>
              <w:tl2br w:val="nil"/>
              <w:tr2bl w:val="nil"/>
            </w:tcBorders>
            <w:noWrap w:val="0"/>
            <w:vAlign w:val="center"/>
          </w:tcPr>
          <w:p w14:paraId="12BAB56E">
            <w:pPr>
              <w:spacing w:line="360" w:lineRule="auto"/>
              <w:ind w:left="0" w:leftChars="0" w:right="0" w:rightChars="0" w:firstLine="0" w:firstLineChars="0"/>
              <w:jc w:val="center"/>
              <w:rPr>
                <w:rFonts w:hint="eastAsia"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3</w:t>
            </w:r>
          </w:p>
        </w:tc>
        <w:tc>
          <w:tcPr>
            <w:tcW w:w="305" w:type="pct"/>
            <w:tcBorders>
              <w:tl2br w:val="nil"/>
              <w:tr2bl w:val="nil"/>
            </w:tcBorders>
            <w:noWrap w:val="0"/>
            <w:vAlign w:val="center"/>
          </w:tcPr>
          <w:p w14:paraId="7D28746A">
            <w:pPr>
              <w:spacing w:line="360" w:lineRule="auto"/>
              <w:ind w:left="0" w:leftChars="0" w:right="0" w:rightChars="0" w:firstLine="0" w:firstLineChars="0"/>
              <w:jc w:val="center"/>
              <w:rPr>
                <w:rFonts w:hint="default"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15</w:t>
            </w:r>
          </w:p>
        </w:tc>
        <w:tc>
          <w:tcPr>
            <w:tcW w:w="525" w:type="pct"/>
            <w:tcBorders>
              <w:tl2br w:val="nil"/>
              <w:tr2bl w:val="nil"/>
            </w:tcBorders>
            <w:noWrap w:val="0"/>
            <w:vAlign w:val="center"/>
          </w:tcPr>
          <w:p w14:paraId="13FB1009">
            <w:pPr>
              <w:spacing w:line="360" w:lineRule="auto"/>
              <w:ind w:left="0" w:leftChars="0" w:right="0" w:rightChars="0" w:firstLine="0" w:firstLineChars="0"/>
              <w:jc w:val="center"/>
              <w:rPr>
                <w:rFonts w:hint="default"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45</w:t>
            </w:r>
          </w:p>
        </w:tc>
        <w:tc>
          <w:tcPr>
            <w:tcW w:w="2039" w:type="pct"/>
            <w:tcBorders>
              <w:tl2br w:val="nil"/>
              <w:tr2bl w:val="nil"/>
            </w:tcBorders>
            <w:noWrap w:val="0"/>
            <w:vAlign w:val="center"/>
          </w:tcPr>
          <w:p w14:paraId="71353E29">
            <w:pPr>
              <w:spacing w:line="360" w:lineRule="auto"/>
              <w:ind w:left="0" w:leftChars="0" w:right="0" w:rightChars="0" w:firstLine="0" w:firstLineChars="0"/>
              <w:jc w:val="center"/>
              <w:rPr>
                <w:rFonts w:hint="eastAsia" w:ascii="宋体" w:hAnsi="宋体" w:eastAsia="宋体" w:cs="宋体"/>
                <w:color w:val="auto"/>
                <w:sz w:val="24"/>
                <w:szCs w:val="24"/>
              </w:rPr>
            </w:pPr>
            <w:r>
              <w:rPr>
                <w:rFonts w:hint="eastAsia" w:ascii="宋体" w:hAnsi="宋体" w:eastAsia="宋体" w:cs="宋体"/>
                <w:color w:val="auto"/>
                <w:sz w:val="24"/>
                <w:szCs w:val="24"/>
              </w:rPr>
              <w:t>可能危险，需要注意</w:t>
            </w:r>
          </w:p>
        </w:tc>
      </w:tr>
    </w:tbl>
    <w:p w14:paraId="5E73AFF4">
      <w:pPr>
        <w:pStyle w:val="4"/>
        <w:bidi w:val="0"/>
      </w:pPr>
      <w:bookmarkStart w:id="195" w:name="_Toc9245"/>
      <w:r>
        <w:rPr>
          <w:rFonts w:hint="eastAsia"/>
        </w:rPr>
        <w:t>预先危险性分析表</w:t>
      </w:r>
      <w:bookmarkEnd w:id="195"/>
    </w:p>
    <w:p w14:paraId="49288B60">
      <w:pPr>
        <w:bidi w:val="0"/>
        <w:rPr>
          <w:rFonts w:hint="eastAsia" w:ascii="宋体" w:hAnsi="宋体" w:eastAsia="宋体" w:cs="宋体"/>
        </w:rPr>
      </w:pPr>
      <w:r>
        <w:rPr>
          <w:rFonts w:hint="eastAsia" w:ascii="宋体" w:hAnsi="宋体" w:eastAsia="宋体" w:cs="宋体"/>
        </w:rPr>
        <w:t>采用预先危险性分析法对</w:t>
      </w:r>
      <w:r>
        <w:rPr>
          <w:rFonts w:hint="eastAsia" w:ascii="宋体" w:hAnsi="宋体" w:eastAsia="宋体" w:cs="宋体"/>
          <w:lang w:val="en-US" w:eastAsia="zh-CN"/>
        </w:rPr>
        <w:t>矿山</w:t>
      </w:r>
      <w:r>
        <w:rPr>
          <w:rFonts w:hint="eastAsia"/>
          <w:lang w:eastAsia="zh-CN"/>
        </w:rPr>
        <w:t>供配电设施</w:t>
      </w:r>
      <w:r>
        <w:rPr>
          <w:rFonts w:hint="eastAsia" w:ascii="宋体" w:hAnsi="宋体" w:eastAsia="宋体" w:cs="宋体"/>
          <w:lang w:val="en-US" w:eastAsia="zh-CN"/>
        </w:rPr>
        <w:t>单元</w:t>
      </w:r>
      <w:r>
        <w:rPr>
          <w:rFonts w:hint="eastAsia" w:ascii="宋体" w:hAnsi="宋体" w:eastAsia="宋体" w:cs="宋体"/>
        </w:rPr>
        <w:t>中存在的危险因素进行分析评价并预测事故后果严重等级，见表</w:t>
      </w:r>
      <w:r>
        <w:rPr>
          <w:rFonts w:hint="eastAsia" w:ascii="宋体" w:hAnsi="宋体" w:cs="宋体"/>
          <w:lang w:val="en-US" w:eastAsia="zh-CN"/>
        </w:rPr>
        <w:t>3-17</w:t>
      </w:r>
      <w:r>
        <w:rPr>
          <w:rFonts w:hint="eastAsia" w:ascii="宋体" w:hAnsi="宋体" w:eastAsia="宋体" w:cs="宋体"/>
          <w:lang w:val="en-US" w:eastAsia="zh-CN"/>
        </w:rPr>
        <w:t>。</w:t>
      </w:r>
    </w:p>
    <w:p w14:paraId="0596ACD0">
      <w:pPr>
        <w:pStyle w:val="11"/>
        <w:ind w:left="0" w:leftChars="0" w:firstLine="0" w:firstLineChars="0"/>
        <w:jc w:val="center"/>
        <w:rPr>
          <w:rFonts w:hint="eastAsia" w:eastAsia="宋体"/>
          <w:lang w:eastAsia="zh-CN"/>
        </w:rPr>
      </w:pPr>
      <w:r>
        <w:t xml:space="preserve">表 </w:t>
      </w:r>
      <w:r>
        <w:fldChar w:fldCharType="begin"/>
      </w:r>
      <w:r>
        <w:instrText xml:space="preserve"> STYLEREF 1 \s </w:instrText>
      </w:r>
      <w:r>
        <w:fldChar w:fldCharType="separate"/>
      </w:r>
      <w:r>
        <w:t>3</w:t>
      </w:r>
      <w:r>
        <w:fldChar w:fldCharType="end"/>
      </w:r>
      <w:r>
        <w:rPr>
          <w:rFonts w:hint="eastAsia"/>
          <w:lang w:eastAsia="zh-CN"/>
        </w:rPr>
        <w:t>-</w:t>
      </w:r>
      <w:r>
        <w:fldChar w:fldCharType="begin"/>
      </w:r>
      <w:r>
        <w:instrText xml:space="preserve"> SEQ 表 \* ARABIC \s 1 </w:instrText>
      </w:r>
      <w:r>
        <w:fldChar w:fldCharType="separate"/>
      </w:r>
      <w:r>
        <w:t>17</w:t>
      </w:r>
      <w:r>
        <w:fldChar w:fldCharType="end"/>
      </w:r>
      <w:r>
        <w:rPr>
          <w:rFonts w:hint="eastAsia"/>
          <w:lang w:eastAsia="zh-CN"/>
        </w:rPr>
        <w:t xml:space="preserve"> 矿山供配电设施预先危险性分析表</w:t>
      </w:r>
    </w:p>
    <w:tbl>
      <w:tblPr>
        <w:tblStyle w:val="29"/>
        <w:tblW w:w="4934"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94"/>
        <w:gridCol w:w="825"/>
        <w:gridCol w:w="2790"/>
        <w:gridCol w:w="715"/>
        <w:gridCol w:w="728"/>
        <w:gridCol w:w="3146"/>
      </w:tblGrid>
      <w:tr w14:paraId="42A6AC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tcBorders>
              <w:tl2br w:val="nil"/>
              <w:tr2bl w:val="nil"/>
            </w:tcBorders>
            <w:noWrap w:val="0"/>
            <w:vAlign w:val="center"/>
          </w:tcPr>
          <w:p w14:paraId="453A2A38">
            <w:pPr>
              <w:keepNext w:val="0"/>
              <w:keepLines w:val="0"/>
              <w:pageBreakBefore w:val="0"/>
              <w:widowControl w:val="0"/>
              <w:kinsoku/>
              <w:wordWrap/>
              <w:overflowPunct/>
              <w:topLinePunct w:val="0"/>
              <w:autoSpaceDE/>
              <w:autoSpaceDN/>
              <w:bidi w:val="0"/>
              <w:spacing w:line="240" w:lineRule="auto"/>
              <w:ind w:leftChars="-1" w:hanging="2" w:hangingChars="1"/>
              <w:jc w:val="center"/>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lang w:val="en-US" w:eastAsia="zh-CN"/>
              </w:rPr>
              <w:t>场所</w:t>
            </w:r>
          </w:p>
        </w:tc>
        <w:tc>
          <w:tcPr>
            <w:tcW w:w="458" w:type="pct"/>
            <w:tcBorders>
              <w:tl2br w:val="nil"/>
              <w:tr2bl w:val="nil"/>
            </w:tcBorders>
            <w:noWrap w:val="0"/>
            <w:vAlign w:val="center"/>
          </w:tcPr>
          <w:p w14:paraId="3175A882">
            <w:pPr>
              <w:keepNext w:val="0"/>
              <w:keepLines w:val="0"/>
              <w:pageBreakBefore w:val="0"/>
              <w:widowControl w:val="0"/>
              <w:kinsoku/>
              <w:wordWrap/>
              <w:overflowPunct/>
              <w:topLinePunct w:val="0"/>
              <w:autoSpaceDE/>
              <w:autoSpaceDN/>
              <w:bidi w:val="0"/>
              <w:spacing w:line="240" w:lineRule="auto"/>
              <w:ind w:leftChars="-1" w:hanging="2" w:hangingChars="1"/>
              <w:jc w:val="center"/>
              <w:textAlignment w:val="auto"/>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rPr>
              <w:t>潜在</w:t>
            </w:r>
            <w:r>
              <w:rPr>
                <w:rFonts w:hint="eastAsia" w:ascii="宋体" w:hAnsi="宋体" w:eastAsia="宋体" w:cs="宋体"/>
                <w:b/>
                <w:bCs/>
                <w:color w:val="auto"/>
                <w:sz w:val="21"/>
                <w:szCs w:val="21"/>
                <w:lang w:val="en-US" w:eastAsia="zh-CN"/>
              </w:rPr>
              <w:t>事故</w:t>
            </w:r>
          </w:p>
        </w:tc>
        <w:tc>
          <w:tcPr>
            <w:tcW w:w="1549" w:type="pct"/>
            <w:tcBorders>
              <w:tl2br w:val="nil"/>
              <w:tr2bl w:val="nil"/>
            </w:tcBorders>
            <w:noWrap w:val="0"/>
            <w:vAlign w:val="center"/>
          </w:tcPr>
          <w:p w14:paraId="030A7D7A">
            <w:pPr>
              <w:keepNext w:val="0"/>
              <w:keepLines w:val="0"/>
              <w:pageBreakBefore w:val="0"/>
              <w:widowControl w:val="0"/>
              <w:kinsoku/>
              <w:wordWrap/>
              <w:overflowPunct/>
              <w:topLinePunct w:val="0"/>
              <w:autoSpaceDE/>
              <w:autoSpaceDN/>
              <w:bidi w:val="0"/>
              <w:spacing w:line="240" w:lineRule="auto"/>
              <w:ind w:leftChars="-1" w:hanging="2" w:hangingChars="1"/>
              <w:jc w:val="center"/>
              <w:textAlignment w:val="auto"/>
              <w:rPr>
                <w:rFonts w:hint="eastAsia" w:ascii="宋体" w:hAnsi="宋体" w:eastAsia="宋体" w:cs="宋体"/>
                <w:b/>
                <w:bCs/>
                <w:color w:val="auto"/>
                <w:sz w:val="21"/>
                <w:szCs w:val="21"/>
                <w:lang w:eastAsia="zh-CN"/>
              </w:rPr>
            </w:pPr>
            <w:r>
              <w:rPr>
                <w:rFonts w:hint="eastAsia" w:ascii="宋体" w:hAnsi="宋体" w:eastAsia="宋体" w:cs="宋体"/>
                <w:b/>
                <w:color w:val="auto"/>
                <w:sz w:val="21"/>
                <w:szCs w:val="21"/>
              </w:rPr>
              <w:t>诱发事故原因</w:t>
            </w:r>
          </w:p>
        </w:tc>
        <w:tc>
          <w:tcPr>
            <w:tcW w:w="397" w:type="pct"/>
            <w:tcBorders>
              <w:tl2br w:val="nil"/>
              <w:tr2bl w:val="nil"/>
            </w:tcBorders>
            <w:noWrap w:val="0"/>
            <w:vAlign w:val="center"/>
          </w:tcPr>
          <w:p w14:paraId="2665E78B">
            <w:pPr>
              <w:keepNext w:val="0"/>
              <w:keepLines w:val="0"/>
              <w:pageBreakBefore w:val="0"/>
              <w:widowControl w:val="0"/>
              <w:kinsoku/>
              <w:wordWrap/>
              <w:overflowPunct/>
              <w:topLinePunct w:val="0"/>
              <w:autoSpaceDE/>
              <w:autoSpaceDN/>
              <w:bidi w:val="0"/>
              <w:spacing w:line="240" w:lineRule="auto"/>
              <w:ind w:leftChars="-1" w:hanging="2" w:hangingChars="1"/>
              <w:jc w:val="center"/>
              <w:textAlignment w:val="auto"/>
              <w:rPr>
                <w:rFonts w:hint="eastAsia"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事故后果</w:t>
            </w:r>
          </w:p>
        </w:tc>
        <w:tc>
          <w:tcPr>
            <w:tcW w:w="404" w:type="pct"/>
            <w:tcBorders>
              <w:tl2br w:val="nil"/>
              <w:tr2bl w:val="nil"/>
            </w:tcBorders>
            <w:noWrap w:val="0"/>
            <w:vAlign w:val="center"/>
          </w:tcPr>
          <w:p w14:paraId="119F68DA">
            <w:pPr>
              <w:keepNext w:val="0"/>
              <w:keepLines w:val="0"/>
              <w:pageBreakBefore w:val="0"/>
              <w:widowControl w:val="0"/>
              <w:kinsoku/>
              <w:wordWrap/>
              <w:overflowPunct/>
              <w:topLinePunct w:val="0"/>
              <w:autoSpaceDE/>
              <w:autoSpaceDN/>
              <w:bidi w:val="0"/>
              <w:spacing w:line="240" w:lineRule="auto"/>
              <w:ind w:leftChars="-1" w:hanging="2" w:hangingChars="1"/>
              <w:jc w:val="center"/>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危险</w:t>
            </w:r>
          </w:p>
          <w:p w14:paraId="300377A1">
            <w:pPr>
              <w:keepNext w:val="0"/>
              <w:keepLines w:val="0"/>
              <w:pageBreakBefore w:val="0"/>
              <w:widowControl w:val="0"/>
              <w:kinsoku/>
              <w:wordWrap/>
              <w:overflowPunct/>
              <w:topLinePunct w:val="0"/>
              <w:autoSpaceDE/>
              <w:autoSpaceDN/>
              <w:bidi w:val="0"/>
              <w:spacing w:line="240" w:lineRule="auto"/>
              <w:ind w:leftChars="-1" w:hanging="2" w:hangingChars="1"/>
              <w:jc w:val="center"/>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等级</w:t>
            </w:r>
          </w:p>
        </w:tc>
        <w:tc>
          <w:tcPr>
            <w:tcW w:w="1747" w:type="pct"/>
            <w:tcBorders>
              <w:tl2br w:val="nil"/>
              <w:tr2bl w:val="nil"/>
            </w:tcBorders>
            <w:noWrap w:val="0"/>
            <w:vAlign w:val="center"/>
          </w:tcPr>
          <w:p w14:paraId="2DFEC214">
            <w:pPr>
              <w:keepNext w:val="0"/>
              <w:keepLines w:val="0"/>
              <w:pageBreakBefore w:val="0"/>
              <w:widowControl w:val="0"/>
              <w:kinsoku/>
              <w:wordWrap/>
              <w:overflowPunct/>
              <w:topLinePunct w:val="0"/>
              <w:autoSpaceDE/>
              <w:autoSpaceDN/>
              <w:bidi w:val="0"/>
              <w:spacing w:line="240" w:lineRule="auto"/>
              <w:ind w:leftChars="-1" w:hanging="2" w:hangingChars="1"/>
              <w:jc w:val="center"/>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对 策 措 施</w:t>
            </w:r>
          </w:p>
        </w:tc>
      </w:tr>
      <w:tr w14:paraId="0DB61D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restart"/>
            <w:tcBorders>
              <w:tl2br w:val="nil"/>
              <w:tr2bl w:val="nil"/>
            </w:tcBorders>
            <w:noWrap w:val="0"/>
            <w:vAlign w:val="center"/>
          </w:tcPr>
          <w:p w14:paraId="001980DF">
            <w:pPr>
              <w:keepNext w:val="0"/>
              <w:keepLines w:val="0"/>
              <w:pageBreakBefore w:val="0"/>
              <w:widowControl w:val="0"/>
              <w:kinsoku/>
              <w:wordWrap/>
              <w:overflowPunct/>
              <w:topLinePunct w:val="0"/>
              <w:autoSpaceDE/>
              <w:autoSpaceDN/>
              <w:bidi w:val="0"/>
              <w:spacing w:line="240" w:lineRule="auto"/>
              <w:ind w:leftChars="-1" w:hanging="2" w:hangingChars="1"/>
              <w:jc w:val="center"/>
              <w:textAlignment w:val="auto"/>
              <w:rPr>
                <w:rFonts w:hint="eastAsia" w:ascii="宋体" w:hAnsi="宋体" w:eastAsia="宋体" w:cs="宋体"/>
                <w:color w:val="auto"/>
                <w:sz w:val="21"/>
                <w:szCs w:val="21"/>
              </w:rPr>
            </w:pPr>
          </w:p>
          <w:p w14:paraId="38AC3473">
            <w:pPr>
              <w:keepNext w:val="0"/>
              <w:keepLines w:val="0"/>
              <w:pageBreakBefore w:val="0"/>
              <w:widowControl w:val="0"/>
              <w:kinsoku/>
              <w:wordWrap/>
              <w:overflowPunct/>
              <w:topLinePunct w:val="0"/>
              <w:autoSpaceDE/>
              <w:autoSpaceDN/>
              <w:bidi w:val="0"/>
              <w:spacing w:line="240" w:lineRule="auto"/>
              <w:ind w:leftChars="-1" w:hanging="2" w:hangingChars="1"/>
              <w:jc w:val="center"/>
              <w:textAlignment w:val="auto"/>
              <w:rPr>
                <w:rFonts w:hint="eastAsia" w:ascii="宋体" w:hAnsi="宋体" w:eastAsia="宋体" w:cs="宋体"/>
                <w:color w:val="auto"/>
                <w:sz w:val="21"/>
                <w:szCs w:val="21"/>
              </w:rPr>
            </w:pPr>
          </w:p>
          <w:p w14:paraId="0FA714F9">
            <w:pPr>
              <w:keepNext w:val="0"/>
              <w:keepLines w:val="0"/>
              <w:pageBreakBefore w:val="0"/>
              <w:widowControl w:val="0"/>
              <w:kinsoku/>
              <w:wordWrap/>
              <w:overflowPunct/>
              <w:topLinePunct w:val="0"/>
              <w:autoSpaceDE/>
              <w:autoSpaceDN/>
              <w:bidi w:val="0"/>
              <w:spacing w:line="240" w:lineRule="auto"/>
              <w:ind w:leftChars="-1" w:hanging="2" w:hangingChars="1"/>
              <w:jc w:val="center"/>
              <w:textAlignment w:val="auto"/>
              <w:rPr>
                <w:rFonts w:hint="eastAsia" w:ascii="宋体" w:hAnsi="宋体" w:eastAsia="宋体" w:cs="宋体"/>
                <w:color w:val="auto"/>
                <w:sz w:val="21"/>
                <w:szCs w:val="21"/>
              </w:rPr>
            </w:pPr>
          </w:p>
          <w:p w14:paraId="2E66F023">
            <w:pPr>
              <w:keepNext w:val="0"/>
              <w:keepLines w:val="0"/>
              <w:pageBreakBefore w:val="0"/>
              <w:widowControl w:val="0"/>
              <w:kinsoku/>
              <w:wordWrap/>
              <w:overflowPunct/>
              <w:topLinePunct w:val="0"/>
              <w:autoSpaceDE/>
              <w:autoSpaceDN/>
              <w:bidi w:val="0"/>
              <w:spacing w:line="240" w:lineRule="auto"/>
              <w:ind w:leftChars="-1" w:hanging="2" w:hangingChars="1"/>
              <w:jc w:val="center"/>
              <w:textAlignment w:val="auto"/>
              <w:rPr>
                <w:rFonts w:hint="eastAsia" w:ascii="宋体" w:hAnsi="宋体" w:eastAsia="宋体" w:cs="宋体"/>
                <w:color w:val="auto"/>
                <w:sz w:val="21"/>
                <w:szCs w:val="21"/>
              </w:rPr>
            </w:pPr>
          </w:p>
          <w:p w14:paraId="32040C6E">
            <w:pPr>
              <w:keepNext w:val="0"/>
              <w:keepLines w:val="0"/>
              <w:pageBreakBefore w:val="0"/>
              <w:widowControl w:val="0"/>
              <w:kinsoku/>
              <w:wordWrap/>
              <w:overflowPunct/>
              <w:topLinePunct w:val="0"/>
              <w:autoSpaceDE/>
              <w:autoSpaceDN/>
              <w:bidi w:val="0"/>
              <w:spacing w:line="240" w:lineRule="auto"/>
              <w:ind w:leftChars="-1" w:hanging="2" w:hangingChars="1"/>
              <w:jc w:val="center"/>
              <w:textAlignment w:val="auto"/>
              <w:rPr>
                <w:rFonts w:hint="eastAsia" w:ascii="宋体" w:hAnsi="宋体" w:eastAsia="宋体" w:cs="宋体"/>
                <w:color w:val="auto"/>
                <w:sz w:val="21"/>
                <w:szCs w:val="21"/>
              </w:rPr>
            </w:pPr>
          </w:p>
          <w:p w14:paraId="7F93A049">
            <w:pPr>
              <w:keepNext w:val="0"/>
              <w:keepLines w:val="0"/>
              <w:pageBreakBefore w:val="0"/>
              <w:widowControl w:val="0"/>
              <w:kinsoku/>
              <w:wordWrap/>
              <w:overflowPunct/>
              <w:topLinePunct w:val="0"/>
              <w:autoSpaceDE/>
              <w:autoSpaceDN/>
              <w:bidi w:val="0"/>
              <w:spacing w:line="240" w:lineRule="auto"/>
              <w:ind w:leftChars="-1" w:hanging="2" w:hangingChars="1"/>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电气</w:t>
            </w:r>
          </w:p>
          <w:p w14:paraId="4CA24EEA">
            <w:pPr>
              <w:keepNext w:val="0"/>
              <w:keepLines w:val="0"/>
              <w:pageBreakBefore w:val="0"/>
              <w:widowControl w:val="0"/>
              <w:kinsoku/>
              <w:wordWrap/>
              <w:overflowPunct/>
              <w:topLinePunct w:val="0"/>
              <w:autoSpaceDE/>
              <w:autoSpaceDN/>
              <w:bidi w:val="0"/>
              <w:spacing w:line="240" w:lineRule="auto"/>
              <w:ind w:leftChars="-1" w:hanging="2" w:hangingChars="1"/>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设备</w:t>
            </w:r>
          </w:p>
        </w:tc>
        <w:tc>
          <w:tcPr>
            <w:tcW w:w="458" w:type="pct"/>
            <w:tcBorders>
              <w:tl2br w:val="nil"/>
              <w:tr2bl w:val="nil"/>
            </w:tcBorders>
            <w:noWrap w:val="0"/>
            <w:vAlign w:val="center"/>
          </w:tcPr>
          <w:p w14:paraId="51BA177F">
            <w:pPr>
              <w:keepNext w:val="0"/>
              <w:keepLines w:val="0"/>
              <w:pageBreakBefore w:val="0"/>
              <w:widowControl w:val="0"/>
              <w:kinsoku/>
              <w:wordWrap/>
              <w:overflowPunct/>
              <w:topLinePunct w:val="0"/>
              <w:autoSpaceDE/>
              <w:autoSpaceDN/>
              <w:bidi w:val="0"/>
              <w:spacing w:line="240" w:lineRule="auto"/>
              <w:ind w:leftChars="-1" w:hanging="2" w:hangingChars="1"/>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火灾</w:t>
            </w:r>
          </w:p>
        </w:tc>
        <w:tc>
          <w:tcPr>
            <w:tcW w:w="1549" w:type="pct"/>
            <w:tcBorders>
              <w:tl2br w:val="nil"/>
              <w:tr2bl w:val="nil"/>
            </w:tcBorders>
            <w:noWrap w:val="0"/>
            <w:vAlign w:val="center"/>
          </w:tcPr>
          <w:p w14:paraId="11B6D28C">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线路短路。</w:t>
            </w:r>
          </w:p>
          <w:p w14:paraId="70A2C99E">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过载引起火灾。</w:t>
            </w:r>
          </w:p>
          <w:p w14:paraId="6B7671C4">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设备自身故障导致过热而引起火灾。</w:t>
            </w:r>
          </w:p>
          <w:p w14:paraId="66AC4096">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4</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接地系统不良引起雷电火灾。</w:t>
            </w:r>
          </w:p>
        </w:tc>
        <w:tc>
          <w:tcPr>
            <w:tcW w:w="397" w:type="pct"/>
            <w:tcBorders>
              <w:tl2br w:val="nil"/>
              <w:tr2bl w:val="nil"/>
            </w:tcBorders>
            <w:noWrap w:val="0"/>
            <w:vAlign w:val="center"/>
          </w:tcPr>
          <w:p w14:paraId="0EE62362">
            <w:pPr>
              <w:keepNext w:val="0"/>
              <w:keepLines w:val="0"/>
              <w:pageBreakBefore w:val="0"/>
              <w:widowControl w:val="0"/>
              <w:kinsoku/>
              <w:wordWrap/>
              <w:overflowPunct/>
              <w:topLinePunct w:val="0"/>
              <w:autoSpaceDE/>
              <w:autoSpaceDN/>
              <w:bidi w:val="0"/>
              <w:spacing w:line="240" w:lineRule="auto"/>
              <w:ind w:leftChars="-1" w:hanging="2" w:hangingChars="1"/>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人员伤亡</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设备损失</w:t>
            </w:r>
          </w:p>
        </w:tc>
        <w:tc>
          <w:tcPr>
            <w:tcW w:w="404" w:type="pct"/>
            <w:tcBorders>
              <w:tl2br w:val="nil"/>
              <w:tr2bl w:val="nil"/>
            </w:tcBorders>
            <w:noWrap w:val="0"/>
            <w:vAlign w:val="center"/>
          </w:tcPr>
          <w:p w14:paraId="7D268F70">
            <w:pPr>
              <w:keepNext w:val="0"/>
              <w:keepLines w:val="0"/>
              <w:pageBreakBefore w:val="0"/>
              <w:widowControl w:val="0"/>
              <w:kinsoku/>
              <w:wordWrap/>
              <w:overflowPunct/>
              <w:topLinePunct w:val="0"/>
              <w:autoSpaceDE/>
              <w:autoSpaceDN/>
              <w:bidi w:val="0"/>
              <w:spacing w:line="240" w:lineRule="auto"/>
              <w:ind w:leftChars="-1" w:hanging="2" w:hangingChars="1"/>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Ⅱ</w:t>
            </w:r>
          </w:p>
        </w:tc>
        <w:tc>
          <w:tcPr>
            <w:tcW w:w="1747" w:type="pct"/>
            <w:tcBorders>
              <w:tl2br w:val="nil"/>
              <w:tr2bl w:val="nil"/>
            </w:tcBorders>
            <w:noWrap w:val="0"/>
            <w:vAlign w:val="center"/>
          </w:tcPr>
          <w:p w14:paraId="49107081">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检查并维修短路故障。</w:t>
            </w:r>
          </w:p>
          <w:p w14:paraId="299B90E0">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门、窗、电缆沟、穿墙洞等处应有防小动物措施。</w:t>
            </w:r>
          </w:p>
          <w:p w14:paraId="53A8E368">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严防过载、过热、接触不良、电缆老化。</w:t>
            </w:r>
          </w:p>
          <w:p w14:paraId="197478E0">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4</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对电气设备进行经常性检查。</w:t>
            </w:r>
          </w:p>
          <w:p w14:paraId="06C8525B">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5</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定期检查电气接地设施，消防器材完备、好用。</w:t>
            </w:r>
          </w:p>
        </w:tc>
      </w:tr>
      <w:tr w14:paraId="6FD640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vMerge w:val="continue"/>
            <w:tcBorders>
              <w:tl2br w:val="nil"/>
              <w:tr2bl w:val="nil"/>
            </w:tcBorders>
            <w:noWrap w:val="0"/>
            <w:vAlign w:val="center"/>
          </w:tcPr>
          <w:p w14:paraId="62E579BF">
            <w:pPr>
              <w:keepNext w:val="0"/>
              <w:keepLines w:val="0"/>
              <w:pageBreakBefore w:val="0"/>
              <w:widowControl w:val="0"/>
              <w:kinsoku/>
              <w:wordWrap/>
              <w:overflowPunct/>
              <w:topLinePunct w:val="0"/>
              <w:autoSpaceDE/>
              <w:autoSpaceDN/>
              <w:bidi w:val="0"/>
              <w:spacing w:line="240" w:lineRule="auto"/>
              <w:ind w:leftChars="-1" w:hanging="2" w:hangingChars="1"/>
              <w:jc w:val="center"/>
              <w:textAlignment w:val="auto"/>
              <w:rPr>
                <w:rFonts w:hint="eastAsia" w:ascii="宋体" w:hAnsi="宋体" w:eastAsia="宋体" w:cs="宋体"/>
                <w:color w:val="auto"/>
                <w:sz w:val="21"/>
                <w:szCs w:val="21"/>
              </w:rPr>
            </w:pPr>
          </w:p>
        </w:tc>
        <w:tc>
          <w:tcPr>
            <w:tcW w:w="458" w:type="pct"/>
            <w:tcBorders>
              <w:tl2br w:val="nil"/>
              <w:tr2bl w:val="nil"/>
            </w:tcBorders>
            <w:noWrap w:val="0"/>
            <w:vAlign w:val="center"/>
          </w:tcPr>
          <w:p w14:paraId="586EBFC9">
            <w:pPr>
              <w:keepNext w:val="0"/>
              <w:keepLines w:val="0"/>
              <w:pageBreakBefore w:val="0"/>
              <w:widowControl w:val="0"/>
              <w:kinsoku/>
              <w:wordWrap/>
              <w:overflowPunct/>
              <w:topLinePunct w:val="0"/>
              <w:autoSpaceDE/>
              <w:autoSpaceDN/>
              <w:bidi w:val="0"/>
              <w:spacing w:line="240" w:lineRule="auto"/>
              <w:ind w:leftChars="-1" w:hanging="2" w:hangingChars="1"/>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触电</w:t>
            </w:r>
          </w:p>
        </w:tc>
        <w:tc>
          <w:tcPr>
            <w:tcW w:w="1549" w:type="pct"/>
            <w:tcBorders>
              <w:tl2br w:val="nil"/>
              <w:tr2bl w:val="nil"/>
            </w:tcBorders>
            <w:noWrap w:val="0"/>
            <w:vAlign w:val="center"/>
          </w:tcPr>
          <w:p w14:paraId="6A3F8E32">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1</w:t>
            </w:r>
            <w:r>
              <w:rPr>
                <w:rFonts w:hint="eastAsia" w:ascii="宋体" w:hAnsi="宋体" w:eastAsia="宋体" w:cs="宋体"/>
                <w:color w:val="auto"/>
                <w:sz w:val="21"/>
                <w:szCs w:val="21"/>
                <w:lang w:val="en-US" w:eastAsia="zh-CN"/>
              </w:rPr>
              <w:t>.非持证人员进行操作；</w:t>
            </w:r>
          </w:p>
          <w:p w14:paraId="0DD3AFF8">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接地系统不良</w:t>
            </w:r>
            <w:r>
              <w:rPr>
                <w:rFonts w:hint="eastAsia" w:ascii="宋体" w:hAnsi="宋体" w:eastAsia="宋体" w:cs="宋体"/>
                <w:color w:val="auto"/>
                <w:sz w:val="21"/>
                <w:szCs w:val="21"/>
                <w:lang w:eastAsia="zh-CN"/>
              </w:rPr>
              <w:t>；</w:t>
            </w:r>
          </w:p>
          <w:p w14:paraId="765E6A8B">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电气设备绝缘损坏</w:t>
            </w:r>
            <w:r>
              <w:rPr>
                <w:rFonts w:hint="eastAsia" w:ascii="宋体" w:hAnsi="宋体" w:eastAsia="宋体" w:cs="宋体"/>
                <w:color w:val="auto"/>
                <w:sz w:val="21"/>
                <w:szCs w:val="21"/>
                <w:lang w:eastAsia="zh-CN"/>
              </w:rPr>
              <w:t>；</w:t>
            </w:r>
          </w:p>
          <w:p w14:paraId="63D0C940">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安全防护距离不够</w:t>
            </w:r>
            <w:r>
              <w:rPr>
                <w:rFonts w:hint="eastAsia" w:ascii="宋体" w:hAnsi="宋体" w:eastAsia="宋体" w:cs="宋体"/>
                <w:color w:val="auto"/>
                <w:sz w:val="21"/>
                <w:szCs w:val="21"/>
                <w:lang w:eastAsia="zh-CN"/>
              </w:rPr>
              <w:t>；</w:t>
            </w:r>
          </w:p>
          <w:p w14:paraId="70431B2C">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rPr>
              <w:t>操作人员违章作业，带电工作</w:t>
            </w:r>
            <w:r>
              <w:rPr>
                <w:rFonts w:hint="eastAsia" w:ascii="宋体" w:hAnsi="宋体" w:eastAsia="宋体" w:cs="宋体"/>
                <w:color w:val="auto"/>
                <w:sz w:val="21"/>
                <w:szCs w:val="21"/>
                <w:lang w:eastAsia="zh-CN"/>
              </w:rPr>
              <w:t>；</w:t>
            </w:r>
          </w:p>
          <w:p w14:paraId="620C25A7">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6</w:t>
            </w:r>
            <w:r>
              <w:rPr>
                <w:rFonts w:hint="eastAsia" w:ascii="宋体" w:hAnsi="宋体" w:eastAsia="宋体" w:cs="宋体"/>
                <w:color w:val="auto"/>
                <w:sz w:val="21"/>
                <w:szCs w:val="21"/>
              </w:rPr>
              <w:t>.检修时未按规程作业。</w:t>
            </w:r>
          </w:p>
        </w:tc>
        <w:tc>
          <w:tcPr>
            <w:tcW w:w="397" w:type="pct"/>
            <w:tcBorders>
              <w:tl2br w:val="nil"/>
              <w:tr2bl w:val="nil"/>
            </w:tcBorders>
            <w:noWrap w:val="0"/>
            <w:vAlign w:val="center"/>
          </w:tcPr>
          <w:p w14:paraId="5F29C5E2">
            <w:pPr>
              <w:keepNext w:val="0"/>
              <w:keepLines w:val="0"/>
              <w:pageBreakBefore w:val="0"/>
              <w:widowControl w:val="0"/>
              <w:kinsoku/>
              <w:wordWrap/>
              <w:overflowPunct/>
              <w:topLinePunct w:val="0"/>
              <w:autoSpaceDE/>
              <w:autoSpaceDN/>
              <w:bidi w:val="0"/>
              <w:spacing w:line="240" w:lineRule="auto"/>
              <w:ind w:leftChars="-1" w:hanging="2" w:hangingChars="1"/>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人员伤亡</w:t>
            </w:r>
          </w:p>
        </w:tc>
        <w:tc>
          <w:tcPr>
            <w:tcW w:w="404" w:type="pct"/>
            <w:tcBorders>
              <w:tl2br w:val="nil"/>
              <w:tr2bl w:val="nil"/>
            </w:tcBorders>
            <w:noWrap w:val="0"/>
            <w:vAlign w:val="center"/>
          </w:tcPr>
          <w:p w14:paraId="149EE773">
            <w:pPr>
              <w:keepNext w:val="0"/>
              <w:keepLines w:val="0"/>
              <w:pageBreakBefore w:val="0"/>
              <w:widowControl w:val="0"/>
              <w:kinsoku/>
              <w:wordWrap/>
              <w:overflowPunct/>
              <w:topLinePunct w:val="0"/>
              <w:autoSpaceDE/>
              <w:autoSpaceDN/>
              <w:bidi w:val="0"/>
              <w:spacing w:line="240" w:lineRule="auto"/>
              <w:ind w:leftChars="-1" w:hanging="2" w:hangingChars="1"/>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Ⅲ</w:t>
            </w:r>
          </w:p>
        </w:tc>
        <w:tc>
          <w:tcPr>
            <w:tcW w:w="1747" w:type="pct"/>
            <w:tcBorders>
              <w:tl2br w:val="nil"/>
              <w:tr2bl w:val="nil"/>
            </w:tcBorders>
            <w:noWrap w:val="0"/>
            <w:vAlign w:val="center"/>
          </w:tcPr>
          <w:p w14:paraId="42BDF13D">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1</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电工必须持证上岗</w:t>
            </w:r>
            <w:r>
              <w:rPr>
                <w:rFonts w:hint="eastAsia" w:ascii="宋体" w:hAnsi="宋体" w:eastAsia="宋体" w:cs="宋体"/>
                <w:color w:val="auto"/>
                <w:sz w:val="21"/>
                <w:szCs w:val="21"/>
                <w:lang w:val="en-US" w:eastAsia="zh-CN"/>
              </w:rPr>
              <w:t>。</w:t>
            </w:r>
          </w:p>
          <w:p w14:paraId="73471F12">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定期检查电气设备的接地设施。</w:t>
            </w:r>
          </w:p>
          <w:p w14:paraId="370554D0">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电气设备、电缆应保证绝缘。</w:t>
            </w:r>
          </w:p>
          <w:p w14:paraId="3AC490B7">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电气设备应留有足够的安全防护距离，如防护距离达不到要求，应加装隔离罩或外罩。</w:t>
            </w:r>
          </w:p>
          <w:p w14:paraId="6D0A77CD">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rPr>
              <w:t>常用电气设备应采用</w:t>
            </w:r>
            <w:r>
              <w:rPr>
                <w:rFonts w:hint="eastAsia" w:ascii="宋体" w:hAnsi="宋体" w:cs="宋体"/>
                <w:color w:val="auto"/>
                <w:sz w:val="21"/>
                <w:szCs w:val="21"/>
                <w:lang w:eastAsia="zh-CN"/>
              </w:rPr>
              <w:t>漏电保护装置</w:t>
            </w:r>
            <w:r>
              <w:rPr>
                <w:rFonts w:hint="eastAsia" w:ascii="宋体" w:hAnsi="宋体" w:eastAsia="宋体" w:cs="宋体"/>
                <w:color w:val="auto"/>
                <w:sz w:val="21"/>
                <w:szCs w:val="21"/>
              </w:rPr>
              <w:t>。</w:t>
            </w:r>
          </w:p>
          <w:p w14:paraId="628CF21C">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6.</w:t>
            </w:r>
            <w:r>
              <w:rPr>
                <w:rFonts w:hint="eastAsia" w:ascii="宋体" w:hAnsi="宋体" w:eastAsia="宋体" w:cs="宋体"/>
                <w:color w:val="auto"/>
                <w:sz w:val="21"/>
                <w:szCs w:val="21"/>
              </w:rPr>
              <w:t>检修时应配备防触电工具，采取相应防触电措施并按检修操作规程进行。</w:t>
            </w:r>
          </w:p>
        </w:tc>
      </w:tr>
      <w:tr w14:paraId="240C06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tcBorders>
              <w:tl2br w:val="nil"/>
              <w:tr2bl w:val="nil"/>
            </w:tcBorders>
            <w:noWrap w:val="0"/>
            <w:vAlign w:val="center"/>
          </w:tcPr>
          <w:p w14:paraId="2973024A">
            <w:pPr>
              <w:keepNext w:val="0"/>
              <w:keepLines w:val="0"/>
              <w:pageBreakBefore w:val="0"/>
              <w:widowControl w:val="0"/>
              <w:kinsoku/>
              <w:wordWrap/>
              <w:overflowPunct/>
              <w:topLinePunct w:val="0"/>
              <w:autoSpaceDE/>
              <w:autoSpaceDN/>
              <w:bidi w:val="0"/>
              <w:spacing w:line="240" w:lineRule="auto"/>
              <w:ind w:leftChars="-1" w:hanging="2" w:hangingChars="1"/>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配电房</w:t>
            </w:r>
          </w:p>
        </w:tc>
        <w:tc>
          <w:tcPr>
            <w:tcW w:w="458" w:type="pct"/>
            <w:tcBorders>
              <w:tl2br w:val="nil"/>
              <w:tr2bl w:val="nil"/>
            </w:tcBorders>
            <w:noWrap w:val="0"/>
            <w:vAlign w:val="center"/>
          </w:tcPr>
          <w:p w14:paraId="75E7DB4A">
            <w:pPr>
              <w:keepNext w:val="0"/>
              <w:keepLines w:val="0"/>
              <w:pageBreakBefore w:val="0"/>
              <w:widowControl w:val="0"/>
              <w:kinsoku/>
              <w:wordWrap/>
              <w:overflowPunct/>
              <w:topLinePunct w:val="0"/>
              <w:autoSpaceDE/>
              <w:autoSpaceDN/>
              <w:bidi w:val="0"/>
              <w:spacing w:line="240" w:lineRule="auto"/>
              <w:ind w:leftChars="-1" w:hanging="2" w:hangingChars="1"/>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触电</w:t>
            </w:r>
          </w:p>
        </w:tc>
        <w:tc>
          <w:tcPr>
            <w:tcW w:w="1549" w:type="pct"/>
            <w:tcBorders>
              <w:tl2br w:val="nil"/>
              <w:tr2bl w:val="nil"/>
            </w:tcBorders>
            <w:noWrap w:val="0"/>
            <w:vAlign w:val="center"/>
          </w:tcPr>
          <w:p w14:paraId="7254CB34">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用电供电线缆的铺设不符合安全规程，供电的线缆采用明接头、照明线未架线、开关刀闸裸露摆放等极易引发触电伤害事故。</w:t>
            </w:r>
          </w:p>
          <w:p w14:paraId="53C21931">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电气设备和用电场所未采取有效的避雷及接地装置，各种安全保护装置安装不到位。</w:t>
            </w:r>
          </w:p>
          <w:p w14:paraId="275C57F9">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电气设备可能被人触及的裸露带电部分，未设置保护罩</w:t>
            </w:r>
            <w:r>
              <w:rPr>
                <w:rFonts w:hint="eastAsia" w:ascii="宋体" w:hAnsi="宋体" w:eastAsia="宋体" w:cs="宋体"/>
                <w:color w:val="auto"/>
                <w:sz w:val="21"/>
                <w:szCs w:val="21"/>
                <w:lang w:eastAsia="zh-CN"/>
              </w:rPr>
              <w:t>或遮拦</w:t>
            </w:r>
            <w:r>
              <w:rPr>
                <w:rFonts w:hint="eastAsia" w:ascii="宋体" w:hAnsi="宋体" w:eastAsia="宋体" w:cs="宋体"/>
                <w:color w:val="auto"/>
                <w:sz w:val="21"/>
                <w:szCs w:val="21"/>
              </w:rPr>
              <w:t>及警示标志。</w:t>
            </w:r>
          </w:p>
          <w:p w14:paraId="2044D66E">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4</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未按要求定期检修、更换老化和失效的线缆和电气设备。</w:t>
            </w:r>
          </w:p>
          <w:p w14:paraId="16EBF044">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5</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断电维修作业时，开关未加锁，未设专人看管，未悬挂“有人作业，严禁送电”警示牌。</w:t>
            </w:r>
          </w:p>
        </w:tc>
        <w:tc>
          <w:tcPr>
            <w:tcW w:w="397" w:type="pct"/>
            <w:tcBorders>
              <w:tl2br w:val="nil"/>
              <w:tr2bl w:val="nil"/>
            </w:tcBorders>
            <w:noWrap w:val="0"/>
            <w:vAlign w:val="center"/>
          </w:tcPr>
          <w:p w14:paraId="7B757621">
            <w:pPr>
              <w:keepNext w:val="0"/>
              <w:keepLines w:val="0"/>
              <w:pageBreakBefore w:val="0"/>
              <w:widowControl w:val="0"/>
              <w:kinsoku/>
              <w:wordWrap/>
              <w:overflowPunct/>
              <w:topLinePunct w:val="0"/>
              <w:autoSpaceDE/>
              <w:autoSpaceDN/>
              <w:bidi w:val="0"/>
              <w:spacing w:line="240" w:lineRule="auto"/>
              <w:ind w:leftChars="-1" w:hanging="2" w:hangingChars="1"/>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人员伤亡</w:t>
            </w:r>
          </w:p>
        </w:tc>
        <w:tc>
          <w:tcPr>
            <w:tcW w:w="404" w:type="pct"/>
            <w:tcBorders>
              <w:tl2br w:val="nil"/>
              <w:tr2bl w:val="nil"/>
            </w:tcBorders>
            <w:noWrap w:val="0"/>
            <w:vAlign w:val="center"/>
          </w:tcPr>
          <w:p w14:paraId="05C4327A">
            <w:pPr>
              <w:keepNext w:val="0"/>
              <w:keepLines w:val="0"/>
              <w:pageBreakBefore w:val="0"/>
              <w:widowControl w:val="0"/>
              <w:kinsoku/>
              <w:wordWrap/>
              <w:overflowPunct/>
              <w:topLinePunct w:val="0"/>
              <w:autoSpaceDE/>
              <w:autoSpaceDN/>
              <w:bidi w:val="0"/>
              <w:spacing w:line="240" w:lineRule="auto"/>
              <w:ind w:leftChars="-1" w:hanging="2" w:hangingChars="1"/>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Ⅲ</w:t>
            </w:r>
          </w:p>
        </w:tc>
        <w:tc>
          <w:tcPr>
            <w:tcW w:w="1747" w:type="pct"/>
            <w:tcBorders>
              <w:tl2br w:val="nil"/>
              <w:tr2bl w:val="nil"/>
            </w:tcBorders>
            <w:noWrap w:val="0"/>
            <w:vAlign w:val="center"/>
          </w:tcPr>
          <w:p w14:paraId="24CEE5AD">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电工必须持证上岗。</w:t>
            </w:r>
          </w:p>
          <w:p w14:paraId="20D17D2D">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电气作业人员必须按操作规程作业。</w:t>
            </w:r>
          </w:p>
          <w:p w14:paraId="0E7FB444">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3</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电气设备必须按要求设置避雷设施及其他安全防护设施（漏电保护、过流保护、过载保护、接地保护等）。</w:t>
            </w:r>
          </w:p>
          <w:p w14:paraId="157879E7">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4</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电气设备必须定期维护保养，及时更换老化、失效线路及器件。</w:t>
            </w:r>
          </w:p>
          <w:p w14:paraId="3E8371AA">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5</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所有开关、闸刀不得裸露设置，并在开关盒上加锁。</w:t>
            </w:r>
          </w:p>
        </w:tc>
      </w:tr>
      <w:tr w14:paraId="5F762F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41" w:type="pct"/>
            <w:tcBorders>
              <w:tl2br w:val="nil"/>
              <w:tr2bl w:val="nil"/>
            </w:tcBorders>
            <w:noWrap w:val="0"/>
            <w:vAlign w:val="center"/>
          </w:tcPr>
          <w:p w14:paraId="6FC9F5DC">
            <w:pPr>
              <w:keepNext w:val="0"/>
              <w:keepLines w:val="0"/>
              <w:pageBreakBefore w:val="0"/>
              <w:widowControl w:val="0"/>
              <w:kinsoku/>
              <w:wordWrap/>
              <w:overflowPunct/>
              <w:topLinePunct w:val="0"/>
              <w:autoSpaceDE/>
              <w:autoSpaceDN/>
              <w:bidi w:val="0"/>
              <w:spacing w:line="240" w:lineRule="auto"/>
              <w:ind w:leftChars="-1" w:hanging="2" w:hangingChars="1"/>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变压器</w:t>
            </w:r>
          </w:p>
        </w:tc>
        <w:tc>
          <w:tcPr>
            <w:tcW w:w="458" w:type="pct"/>
            <w:tcBorders>
              <w:tl2br w:val="nil"/>
              <w:tr2bl w:val="nil"/>
            </w:tcBorders>
            <w:noWrap w:val="0"/>
            <w:vAlign w:val="center"/>
          </w:tcPr>
          <w:p w14:paraId="7FE4012A">
            <w:pPr>
              <w:keepNext w:val="0"/>
              <w:keepLines w:val="0"/>
              <w:pageBreakBefore w:val="0"/>
              <w:widowControl w:val="0"/>
              <w:kinsoku/>
              <w:wordWrap/>
              <w:overflowPunct/>
              <w:topLinePunct w:val="0"/>
              <w:autoSpaceDE/>
              <w:autoSpaceDN/>
              <w:bidi w:val="0"/>
              <w:spacing w:line="240" w:lineRule="auto"/>
              <w:ind w:leftChars="-1" w:hanging="2" w:hangingChars="1"/>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雷击</w:t>
            </w:r>
          </w:p>
        </w:tc>
        <w:tc>
          <w:tcPr>
            <w:tcW w:w="1549" w:type="pct"/>
            <w:tcBorders>
              <w:tl2br w:val="nil"/>
              <w:tr2bl w:val="nil"/>
            </w:tcBorders>
            <w:noWrap w:val="0"/>
            <w:vAlign w:val="center"/>
          </w:tcPr>
          <w:p w14:paraId="0149B2E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未设置防雷接地装置；</w:t>
            </w:r>
          </w:p>
          <w:p w14:paraId="5B72514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防雷接地装置不合理；</w:t>
            </w:r>
          </w:p>
          <w:p w14:paraId="5A6C3B0B">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防雷接地装置失效。</w:t>
            </w:r>
          </w:p>
        </w:tc>
        <w:tc>
          <w:tcPr>
            <w:tcW w:w="397" w:type="pct"/>
            <w:tcBorders>
              <w:tl2br w:val="nil"/>
              <w:tr2bl w:val="nil"/>
            </w:tcBorders>
            <w:noWrap w:val="0"/>
            <w:vAlign w:val="center"/>
          </w:tcPr>
          <w:p w14:paraId="4A17B758">
            <w:pPr>
              <w:keepNext w:val="0"/>
              <w:keepLines w:val="0"/>
              <w:pageBreakBefore w:val="0"/>
              <w:widowControl w:val="0"/>
              <w:kinsoku/>
              <w:wordWrap/>
              <w:overflowPunct/>
              <w:topLinePunct w:val="0"/>
              <w:autoSpaceDE/>
              <w:autoSpaceDN/>
              <w:bidi w:val="0"/>
              <w:spacing w:line="240" w:lineRule="auto"/>
              <w:ind w:leftChars="-1" w:hanging="2" w:hangingChars="1"/>
              <w:jc w:val="center"/>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设备损失</w:t>
            </w:r>
          </w:p>
        </w:tc>
        <w:tc>
          <w:tcPr>
            <w:tcW w:w="404" w:type="pct"/>
            <w:tcBorders>
              <w:tl2br w:val="nil"/>
              <w:tr2bl w:val="nil"/>
            </w:tcBorders>
            <w:noWrap w:val="0"/>
            <w:vAlign w:val="center"/>
          </w:tcPr>
          <w:p w14:paraId="1E6EC5AE">
            <w:pPr>
              <w:keepNext w:val="0"/>
              <w:keepLines w:val="0"/>
              <w:pageBreakBefore w:val="0"/>
              <w:widowControl w:val="0"/>
              <w:kinsoku/>
              <w:wordWrap/>
              <w:overflowPunct/>
              <w:topLinePunct w:val="0"/>
              <w:autoSpaceDE/>
              <w:autoSpaceDN/>
              <w:bidi w:val="0"/>
              <w:spacing w:line="240" w:lineRule="auto"/>
              <w:ind w:leftChars="-1" w:hanging="2" w:hangingChars="1"/>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Ⅲ</w:t>
            </w:r>
          </w:p>
        </w:tc>
        <w:tc>
          <w:tcPr>
            <w:tcW w:w="1747" w:type="pct"/>
            <w:tcBorders>
              <w:tl2br w:val="nil"/>
              <w:tr2bl w:val="nil"/>
            </w:tcBorders>
            <w:noWrap w:val="0"/>
            <w:vAlign w:val="center"/>
          </w:tcPr>
          <w:p w14:paraId="0A11B51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1．各类建构筑物、变压器配电系统按其防护等级严格按规范设置防雷接地装置；</w:t>
            </w:r>
          </w:p>
          <w:p w14:paraId="0C686E4A">
            <w:pPr>
              <w:keepNext w:val="0"/>
              <w:keepLines w:val="0"/>
              <w:pageBreakBefore w:val="0"/>
              <w:widowControl w:val="0"/>
              <w:kinsoku/>
              <w:wordWrap/>
              <w:overflowPunct/>
              <w:topLinePunct w:val="0"/>
              <w:autoSpaceDE/>
              <w:autoSpaceDN/>
              <w:bidi w:val="0"/>
              <w:spacing w:line="240" w:lineRule="auto"/>
              <w:ind w:leftChars="-1" w:hanging="2" w:hangingChars="1"/>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2.定期对防雷接地装置进行检测，确保装置符合规范要求。</w:t>
            </w:r>
          </w:p>
        </w:tc>
      </w:tr>
    </w:tbl>
    <w:p w14:paraId="15357A35">
      <w:pPr>
        <w:spacing w:line="500" w:lineRule="exact"/>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通过</w:t>
      </w:r>
      <w:r>
        <w:rPr>
          <w:rFonts w:hint="eastAsia" w:ascii="宋体" w:hAnsi="宋体" w:eastAsia="宋体" w:cs="宋体"/>
          <w:color w:val="000000"/>
          <w:sz w:val="28"/>
          <w:szCs w:val="28"/>
        </w:rPr>
        <w:t>预先危险性分析表可知：触电</w:t>
      </w:r>
      <w:r>
        <w:rPr>
          <w:rFonts w:hint="eastAsia" w:ascii="宋体" w:hAnsi="宋体" w:eastAsia="宋体" w:cs="宋体"/>
          <w:color w:val="000000"/>
          <w:sz w:val="28"/>
          <w:szCs w:val="28"/>
          <w:lang w:val="en-US" w:eastAsia="zh-CN"/>
        </w:rPr>
        <w:t>事故</w:t>
      </w:r>
      <w:r>
        <w:rPr>
          <w:rFonts w:hint="eastAsia" w:ascii="宋体" w:hAnsi="宋体" w:eastAsia="宋体" w:cs="宋体"/>
          <w:color w:val="000000"/>
          <w:sz w:val="28"/>
          <w:szCs w:val="28"/>
        </w:rPr>
        <w:t>的危险等级为Ⅲ级，需要加强电气设备和用电的管理才能确保安全。</w:t>
      </w:r>
      <w:r>
        <w:rPr>
          <w:rFonts w:hint="eastAsia" w:ascii="宋体" w:hAnsi="宋体" w:eastAsia="宋体" w:cs="宋体"/>
          <w:color w:val="000000"/>
          <w:sz w:val="28"/>
          <w:szCs w:val="28"/>
          <w:lang w:val="en-US" w:eastAsia="zh-CN"/>
        </w:rPr>
        <w:t>雷击事故</w:t>
      </w:r>
      <w:r>
        <w:rPr>
          <w:rFonts w:hint="eastAsia" w:ascii="宋体" w:hAnsi="宋体" w:eastAsia="宋体" w:cs="宋体"/>
          <w:color w:val="000000"/>
          <w:sz w:val="28"/>
          <w:szCs w:val="28"/>
        </w:rPr>
        <w:t>的危险等级为Ⅲ级</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lang w:val="en-US" w:eastAsia="zh-CN"/>
        </w:rPr>
        <w:t>需要保证防雷接地装置的完好、有效。</w:t>
      </w:r>
      <w:r>
        <w:rPr>
          <w:rFonts w:hint="eastAsia" w:ascii="宋体" w:hAnsi="宋体" w:eastAsia="宋体" w:cs="宋体"/>
          <w:color w:val="000000"/>
          <w:sz w:val="28"/>
          <w:szCs w:val="28"/>
        </w:rPr>
        <w:t>电气设备火灾的危险等级为Ⅱ级，处于事故的边缘状态，暂时还不至于造成人员伤亡、系统损坏或降低系统性能，应予以排除或采取控制措施。</w:t>
      </w:r>
    </w:p>
    <w:p w14:paraId="582A94D4">
      <w:pPr>
        <w:pStyle w:val="4"/>
        <w:bidi w:val="0"/>
      </w:pPr>
      <w:bookmarkStart w:id="196" w:name="_Toc4654"/>
      <w:r>
        <w:rPr>
          <w:rFonts w:hint="eastAsia"/>
        </w:rPr>
        <w:t>安全检查表分析评价</w:t>
      </w:r>
      <w:bookmarkEnd w:id="196"/>
    </w:p>
    <w:p w14:paraId="2C94DD0B">
      <w:pPr>
        <w:bidi w:val="0"/>
        <w:rPr>
          <w:rFonts w:hint="eastAsia" w:ascii="宋体" w:hAnsi="宋体" w:eastAsia="宋体" w:cs="宋体"/>
          <w:lang w:val="en-US" w:eastAsia="zh-CN"/>
        </w:rPr>
      </w:pPr>
      <w:r>
        <w:rPr>
          <w:rFonts w:hint="eastAsia"/>
        </w:rPr>
        <w:t>根据</w:t>
      </w:r>
      <w:r>
        <w:rPr>
          <w:rFonts w:hint="eastAsia"/>
          <w:lang w:val="en-US" w:eastAsia="zh-CN"/>
        </w:rPr>
        <w:t>《金属非金属矿山安全规程》(GB16423-2020)、</w:t>
      </w:r>
      <w:r>
        <w:rPr>
          <w:rFonts w:hint="eastAsia" w:ascii="宋体" w:hAnsi="宋体" w:eastAsia="宋体" w:cs="宋体"/>
          <w:color w:val="000000"/>
          <w:sz w:val="28"/>
          <w:szCs w:val="28"/>
        </w:rPr>
        <w:t>《用电安全导则》（GB/T13869-2017）</w:t>
      </w:r>
      <w:r>
        <w:rPr>
          <w:rFonts w:hint="eastAsia" w:ascii="宋体" w:hAnsi="宋体" w:eastAsia="宋体" w:cs="宋体"/>
          <w:color w:val="000000"/>
          <w:sz w:val="28"/>
          <w:szCs w:val="28"/>
          <w:lang w:eastAsia="zh-CN"/>
        </w:rPr>
        <w:t>、</w:t>
      </w:r>
      <w:r>
        <w:rPr>
          <w:rFonts w:ascii="宋体" w:hAnsi="宋体"/>
          <w:szCs w:val="21"/>
          <w:shd w:val="clear" w:color="auto" w:fill="FFFFFF"/>
        </w:rPr>
        <w:t>《矿山电力设计标准》（GB50070-2020）</w:t>
      </w:r>
      <w:r>
        <w:rPr>
          <w:rFonts w:hint="eastAsia"/>
        </w:rPr>
        <w:t>中的相关内容对</w:t>
      </w:r>
      <w:r>
        <w:rPr>
          <w:rFonts w:hint="eastAsia"/>
          <w:lang w:eastAsia="zh-CN"/>
        </w:rPr>
        <w:t>矿山供配电设施</w:t>
      </w:r>
      <w:r>
        <w:rPr>
          <w:rFonts w:hint="eastAsia" w:ascii="宋体" w:hAnsi="宋体" w:eastAsia="宋体" w:cs="宋体"/>
        </w:rPr>
        <w:t>单元进行</w:t>
      </w:r>
      <w:r>
        <w:rPr>
          <w:rFonts w:hint="eastAsia" w:ascii="宋体" w:hAnsi="宋体" w:eastAsia="宋体" w:cs="宋体"/>
          <w:lang w:val="en-US" w:eastAsia="zh-CN"/>
        </w:rPr>
        <w:t>符合性检查</w:t>
      </w:r>
      <w:r>
        <w:rPr>
          <w:rFonts w:hint="eastAsia" w:ascii="宋体" w:hAnsi="宋体" w:eastAsia="宋体" w:cs="宋体"/>
        </w:rPr>
        <w:t>。</w:t>
      </w:r>
    </w:p>
    <w:p w14:paraId="2B22A2D1">
      <w:pPr>
        <w:pStyle w:val="11"/>
        <w:ind w:left="0" w:leftChars="0" w:firstLine="0" w:firstLineChars="0"/>
        <w:jc w:val="center"/>
        <w:rPr>
          <w:rFonts w:hint="eastAsia" w:eastAsia="宋体"/>
          <w:lang w:eastAsia="zh-CN"/>
        </w:rPr>
      </w:pPr>
      <w:r>
        <w:t xml:space="preserve">表 </w:t>
      </w:r>
      <w:r>
        <w:fldChar w:fldCharType="begin"/>
      </w:r>
      <w:r>
        <w:instrText xml:space="preserve"> STYLEREF 1 \s </w:instrText>
      </w:r>
      <w:r>
        <w:fldChar w:fldCharType="separate"/>
      </w:r>
      <w:r>
        <w:t>3</w:t>
      </w:r>
      <w:r>
        <w:fldChar w:fldCharType="end"/>
      </w:r>
      <w:r>
        <w:rPr>
          <w:rFonts w:hint="eastAsia"/>
          <w:lang w:eastAsia="zh-CN"/>
        </w:rPr>
        <w:t>-</w:t>
      </w:r>
      <w:r>
        <w:fldChar w:fldCharType="begin"/>
      </w:r>
      <w:r>
        <w:instrText xml:space="preserve"> SEQ 表 \* ARABIC \s 1 </w:instrText>
      </w:r>
      <w:r>
        <w:fldChar w:fldCharType="separate"/>
      </w:r>
      <w:r>
        <w:t>18</w:t>
      </w:r>
      <w:r>
        <w:fldChar w:fldCharType="end"/>
      </w:r>
      <w:r>
        <w:rPr>
          <w:rFonts w:hint="eastAsia"/>
          <w:lang w:eastAsia="zh-CN"/>
        </w:rPr>
        <w:t xml:space="preserve"> 矿山供配电设施单元安全检查表</w:t>
      </w:r>
    </w:p>
    <w:tbl>
      <w:tblPr>
        <w:tblStyle w:val="29"/>
        <w:tblW w:w="501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46"/>
        <w:gridCol w:w="3965"/>
        <w:gridCol w:w="2032"/>
        <w:gridCol w:w="1550"/>
        <w:gridCol w:w="1144"/>
      </w:tblGrid>
      <w:tr w14:paraId="170E66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44" w:type="pct"/>
            <w:tcBorders>
              <w:tl2br w:val="nil"/>
              <w:tr2bl w:val="nil"/>
            </w:tcBorders>
            <w:noWrap w:val="0"/>
            <w:vAlign w:val="center"/>
          </w:tcPr>
          <w:p w14:paraId="65E30CB0">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序号</w:t>
            </w:r>
          </w:p>
        </w:tc>
        <w:tc>
          <w:tcPr>
            <w:tcW w:w="2169" w:type="pct"/>
            <w:tcBorders>
              <w:tl2br w:val="nil"/>
              <w:tr2bl w:val="nil"/>
            </w:tcBorders>
            <w:noWrap w:val="0"/>
            <w:vAlign w:val="center"/>
          </w:tcPr>
          <w:p w14:paraId="13881AAF">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检查项目</w:t>
            </w:r>
          </w:p>
        </w:tc>
        <w:tc>
          <w:tcPr>
            <w:tcW w:w="1111" w:type="pct"/>
            <w:tcBorders>
              <w:tl2br w:val="nil"/>
              <w:tr2bl w:val="nil"/>
            </w:tcBorders>
            <w:noWrap w:val="0"/>
            <w:vAlign w:val="center"/>
          </w:tcPr>
          <w:p w14:paraId="067C5698">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检查依据</w:t>
            </w:r>
          </w:p>
        </w:tc>
        <w:tc>
          <w:tcPr>
            <w:tcW w:w="848" w:type="pct"/>
            <w:tcBorders>
              <w:tl2br w:val="nil"/>
              <w:tr2bl w:val="nil"/>
            </w:tcBorders>
            <w:noWrap w:val="0"/>
            <w:vAlign w:val="center"/>
          </w:tcPr>
          <w:p w14:paraId="6688DED0">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spacing w:val="4"/>
                <w:kern w:val="10"/>
                <w:position w:val="2"/>
                <w:sz w:val="21"/>
                <w:szCs w:val="21"/>
              </w:rPr>
            </w:pPr>
            <w:r>
              <w:rPr>
                <w:rFonts w:hint="eastAsia" w:ascii="宋体" w:hAnsi="宋体" w:eastAsia="宋体" w:cs="宋体"/>
                <w:b/>
                <w:spacing w:val="4"/>
                <w:kern w:val="10"/>
                <w:position w:val="2"/>
                <w:sz w:val="21"/>
                <w:szCs w:val="21"/>
              </w:rPr>
              <w:t>设计检查情况</w:t>
            </w:r>
          </w:p>
        </w:tc>
        <w:tc>
          <w:tcPr>
            <w:tcW w:w="626" w:type="pct"/>
            <w:tcBorders>
              <w:tl2br w:val="nil"/>
              <w:tr2bl w:val="nil"/>
            </w:tcBorders>
            <w:noWrap w:val="0"/>
            <w:vAlign w:val="center"/>
          </w:tcPr>
          <w:p w14:paraId="3129CB44">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检查结果</w:t>
            </w:r>
          </w:p>
        </w:tc>
      </w:tr>
      <w:tr w14:paraId="048730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244" w:type="pct"/>
            <w:tcBorders>
              <w:tl2br w:val="nil"/>
              <w:tr2bl w:val="nil"/>
            </w:tcBorders>
            <w:noWrap w:val="0"/>
            <w:vAlign w:val="center"/>
          </w:tcPr>
          <w:p w14:paraId="79D48DBD">
            <w:pPr>
              <w:keepNext w:val="0"/>
              <w:keepLines w:val="0"/>
              <w:pageBreakBefore w:val="0"/>
              <w:widowControl w:val="0"/>
              <w:numPr>
                <w:ilvl w:val="0"/>
                <w:numId w:val="56"/>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2169" w:type="pct"/>
            <w:tcBorders>
              <w:tl2br w:val="nil"/>
              <w:tr2bl w:val="nil"/>
            </w:tcBorders>
            <w:noWrap w:val="0"/>
            <w:vAlign w:val="center"/>
          </w:tcPr>
          <w:p w14:paraId="394E2394">
            <w:pPr>
              <w:spacing w:line="240" w:lineRule="auto"/>
              <w:ind w:left="0" w:leftChars="0" w:firstLine="0" w:firstLineChars="0"/>
              <w:jc w:val="both"/>
              <w:rPr>
                <w:rFonts w:hint="eastAsia" w:ascii="宋体" w:hAnsi="宋体" w:eastAsia="宋体" w:cs="宋体"/>
                <w:color w:val="000000"/>
                <w:sz w:val="21"/>
                <w:szCs w:val="21"/>
              </w:rPr>
            </w:pPr>
            <w:r>
              <w:rPr>
                <w:rFonts w:hint="eastAsia" w:ascii="宋体" w:hAnsi="宋体" w:eastAsia="宋体" w:cs="宋体"/>
                <w:color w:val="000000"/>
                <w:sz w:val="21"/>
                <w:szCs w:val="21"/>
              </w:rPr>
              <w:t>从事电气作业中的特种作业人员应经专门的安全作业培训，在取得相应特种作业操作资格证书后，方可上岗。</w:t>
            </w:r>
          </w:p>
        </w:tc>
        <w:tc>
          <w:tcPr>
            <w:tcW w:w="1111" w:type="pct"/>
            <w:tcBorders>
              <w:tl2br w:val="nil"/>
              <w:tr2bl w:val="nil"/>
            </w:tcBorders>
            <w:noWrap w:val="0"/>
            <w:vAlign w:val="center"/>
          </w:tcPr>
          <w:p w14:paraId="174AA72A">
            <w:pPr>
              <w:spacing w:line="240" w:lineRule="auto"/>
              <w:ind w:left="0" w:leftChars="0" w:right="0" w:rightChars="0"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《用电安全导则》（GB/T13869-2017）</w:t>
            </w:r>
          </w:p>
          <w:p w14:paraId="0C55A408">
            <w:pPr>
              <w:spacing w:line="240" w:lineRule="auto"/>
              <w:ind w:left="0" w:leftChars="0" w:right="0" w:rightChars="0"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第</w:t>
            </w:r>
            <w:r>
              <w:rPr>
                <w:rFonts w:hint="eastAsia" w:ascii="宋体" w:hAnsi="宋体" w:eastAsia="宋体" w:cs="宋体"/>
                <w:color w:val="000000"/>
                <w:sz w:val="21"/>
                <w:szCs w:val="21"/>
                <w:lang w:val="en-US" w:eastAsia="zh-CN"/>
              </w:rPr>
              <w:t>9</w:t>
            </w:r>
            <w:r>
              <w:rPr>
                <w:rFonts w:hint="eastAsia" w:ascii="宋体" w:hAnsi="宋体" w:eastAsia="宋体" w:cs="宋体"/>
                <w:color w:val="000000"/>
                <w:sz w:val="21"/>
                <w:szCs w:val="21"/>
              </w:rPr>
              <w:t>条</w:t>
            </w:r>
          </w:p>
        </w:tc>
        <w:tc>
          <w:tcPr>
            <w:tcW w:w="848" w:type="pct"/>
            <w:tcBorders>
              <w:tl2br w:val="nil"/>
              <w:tr2bl w:val="nil"/>
            </w:tcBorders>
            <w:noWrap w:val="0"/>
            <w:vAlign w:val="center"/>
          </w:tcPr>
          <w:p w14:paraId="729FA05C">
            <w:pPr>
              <w:spacing w:line="240" w:lineRule="auto"/>
              <w:ind w:left="0" w:leftChars="0" w:firstLine="0" w:firstLineChars="0"/>
              <w:jc w:val="both"/>
              <w:rPr>
                <w:rFonts w:hint="default" w:ascii="宋体" w:hAnsi="宋体" w:eastAsia="宋体" w:cs="宋体"/>
                <w:color w:val="FF0000"/>
                <w:kern w:val="2"/>
                <w:sz w:val="21"/>
                <w:szCs w:val="21"/>
                <w:lang w:val="en-US" w:eastAsia="zh-CN" w:bidi="ar-SA"/>
              </w:rPr>
            </w:pPr>
            <w:r>
              <w:rPr>
                <w:rFonts w:hint="eastAsia" w:ascii="宋体" w:hAnsi="宋体" w:eastAsia="宋体" w:cs="宋体"/>
                <w:color w:val="auto"/>
                <w:sz w:val="21"/>
                <w:szCs w:val="21"/>
                <w:lang w:val="en-US" w:eastAsia="zh-CN"/>
              </w:rPr>
              <w:t>初步设计</w:t>
            </w:r>
            <w:r>
              <w:rPr>
                <w:rFonts w:hint="eastAsia" w:ascii="宋体" w:hAnsi="宋体" w:eastAsia="宋体" w:cs="宋体"/>
                <w:color w:val="auto"/>
                <w:sz w:val="21"/>
                <w:szCs w:val="21"/>
              </w:rPr>
              <w:t>中未明确。</w:t>
            </w:r>
          </w:p>
        </w:tc>
        <w:tc>
          <w:tcPr>
            <w:tcW w:w="626" w:type="pct"/>
            <w:tcBorders>
              <w:tl2br w:val="nil"/>
              <w:tr2bl w:val="nil"/>
            </w:tcBorders>
            <w:noWrap w:val="0"/>
            <w:vAlign w:val="center"/>
          </w:tcPr>
          <w:p w14:paraId="22EB6EBF">
            <w:pPr>
              <w:spacing w:line="240" w:lineRule="auto"/>
              <w:ind w:left="0" w:leftChars="0" w:right="0" w:rightChars="0" w:firstLine="0" w:firstLineChars="0"/>
              <w:jc w:val="center"/>
              <w:rPr>
                <w:rFonts w:hint="default" w:ascii="宋体" w:hAnsi="宋体" w:eastAsia="宋体" w:cs="宋体"/>
                <w:color w:val="FF0000"/>
                <w:kern w:val="2"/>
                <w:sz w:val="21"/>
                <w:szCs w:val="21"/>
                <w:lang w:val="en-US" w:eastAsia="zh-CN" w:bidi="ar-SA"/>
              </w:rPr>
            </w:pPr>
            <w:r>
              <w:rPr>
                <w:rFonts w:hint="eastAsia" w:eastAsia="宋体" w:cs="宋体"/>
                <w:caps w:val="0"/>
                <w:color w:val="auto"/>
                <w:sz w:val="21"/>
                <w:szCs w:val="21"/>
                <w:shd w:val="clear" w:color="auto" w:fill="auto"/>
                <w:lang w:val="en-US" w:eastAsia="zh-CN"/>
              </w:rPr>
              <w:t>不符合</w:t>
            </w:r>
          </w:p>
        </w:tc>
      </w:tr>
      <w:tr w14:paraId="6C1264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244" w:type="pct"/>
            <w:tcBorders>
              <w:tl2br w:val="nil"/>
              <w:tr2bl w:val="nil"/>
            </w:tcBorders>
            <w:noWrap w:val="0"/>
            <w:vAlign w:val="center"/>
          </w:tcPr>
          <w:p w14:paraId="12C485DE">
            <w:pPr>
              <w:keepNext w:val="0"/>
              <w:keepLines w:val="0"/>
              <w:pageBreakBefore w:val="0"/>
              <w:widowControl w:val="0"/>
              <w:numPr>
                <w:ilvl w:val="0"/>
                <w:numId w:val="56"/>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2169" w:type="pct"/>
            <w:tcBorders>
              <w:tl2br w:val="nil"/>
              <w:tr2bl w:val="nil"/>
            </w:tcBorders>
            <w:noWrap w:val="0"/>
            <w:vAlign w:val="center"/>
          </w:tcPr>
          <w:p w14:paraId="4871A6BA">
            <w:pPr>
              <w:spacing w:line="240" w:lineRule="auto"/>
              <w:ind w:left="0" w:leftChars="0" w:firstLine="0" w:firstLineChars="0"/>
              <w:jc w:val="both"/>
              <w:rPr>
                <w:rFonts w:hint="eastAsia" w:ascii="宋体" w:hAnsi="宋体" w:eastAsia="宋体" w:cs="宋体"/>
                <w:color w:val="000000"/>
                <w:sz w:val="21"/>
                <w:szCs w:val="21"/>
              </w:rPr>
            </w:pPr>
            <w:r>
              <w:rPr>
                <w:rFonts w:hint="eastAsia" w:ascii="宋体" w:hAnsi="宋体" w:eastAsia="宋体" w:cs="宋体"/>
                <w:color w:val="000000"/>
                <w:sz w:val="21"/>
                <w:szCs w:val="21"/>
              </w:rPr>
              <w:t>矿山供电电源宜取自地区电力系统的变电所、矿区变电所、煤电联营的发电厂或矿区（矿山）自备电厂。当难以从上述变电所或电厂取得时，亦可从邻近企业变电所取得。</w:t>
            </w:r>
          </w:p>
        </w:tc>
        <w:tc>
          <w:tcPr>
            <w:tcW w:w="1111" w:type="pct"/>
            <w:tcBorders>
              <w:tl2br w:val="nil"/>
              <w:tr2bl w:val="nil"/>
            </w:tcBorders>
            <w:noWrap w:val="0"/>
            <w:vAlign w:val="center"/>
          </w:tcPr>
          <w:p w14:paraId="218B5D43">
            <w:pPr>
              <w:spacing w:line="240" w:lineRule="auto"/>
              <w:ind w:left="0" w:leftChars="0" w:right="0" w:rightChars="0"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《矿山电力设计标准》（GB50070-2020）第3.0.2条</w:t>
            </w:r>
          </w:p>
        </w:tc>
        <w:tc>
          <w:tcPr>
            <w:tcW w:w="848" w:type="pct"/>
            <w:tcBorders>
              <w:tl2br w:val="nil"/>
              <w:tr2bl w:val="nil"/>
            </w:tcBorders>
            <w:noWrap w:val="0"/>
            <w:vAlign w:val="center"/>
          </w:tcPr>
          <w:p w14:paraId="0D5D23C2">
            <w:pPr>
              <w:spacing w:line="240" w:lineRule="auto"/>
              <w:ind w:left="0" w:leftChars="0" w:firstLine="0" w:firstLineChars="0"/>
              <w:jc w:val="both"/>
              <w:rPr>
                <w:rFonts w:hint="eastAsia" w:ascii="宋体" w:hAnsi="宋体" w:eastAsia="宋体" w:cs="宋体"/>
                <w:color w:val="000000"/>
                <w:sz w:val="21"/>
                <w:szCs w:val="21"/>
              </w:rPr>
            </w:pPr>
            <w:r>
              <w:rPr>
                <w:rFonts w:hint="eastAsia" w:ascii="宋体" w:hAnsi="宋体" w:eastAsia="宋体" w:cs="宋体"/>
                <w:color w:val="000000"/>
                <w:sz w:val="21"/>
                <w:szCs w:val="21"/>
              </w:rPr>
              <w:t>矿山供电电源</w:t>
            </w:r>
            <w:r>
              <w:rPr>
                <w:rFonts w:hint="eastAsia" w:ascii="宋体" w:hAnsi="宋体" w:eastAsia="宋体" w:cs="宋体"/>
                <w:color w:val="000000"/>
                <w:sz w:val="21"/>
                <w:szCs w:val="21"/>
                <w:lang w:val="en-US" w:eastAsia="zh-CN"/>
              </w:rPr>
              <w:t>由</w:t>
            </w:r>
            <w:r>
              <w:rPr>
                <w:rFonts w:hint="eastAsia" w:ascii="宋体" w:hAnsi="宋体" w:eastAsia="宋体" w:cs="宋体"/>
                <w:color w:val="000000"/>
                <w:sz w:val="21"/>
                <w:szCs w:val="21"/>
              </w:rPr>
              <w:t>35</w:t>
            </w:r>
            <w:r>
              <w:rPr>
                <w:rFonts w:hint="eastAsia" w:ascii="宋体" w:hAnsi="宋体" w:cs="宋体"/>
                <w:color w:val="000000"/>
                <w:sz w:val="21"/>
                <w:szCs w:val="21"/>
                <w:lang w:eastAsia="zh-CN"/>
              </w:rPr>
              <w:t>kV</w:t>
            </w:r>
            <w:r>
              <w:rPr>
                <w:rFonts w:hint="eastAsia" w:ascii="宋体" w:hAnsi="宋体" w:eastAsia="宋体" w:cs="宋体"/>
                <w:color w:val="000000"/>
                <w:sz w:val="21"/>
                <w:szCs w:val="21"/>
              </w:rPr>
              <w:t>物茂变电站10</w:t>
            </w:r>
            <w:r>
              <w:rPr>
                <w:rFonts w:hint="eastAsia" w:ascii="宋体" w:hAnsi="宋体" w:cs="宋体"/>
                <w:color w:val="000000"/>
                <w:sz w:val="21"/>
                <w:szCs w:val="21"/>
                <w:lang w:val="en-US" w:eastAsia="zh-CN"/>
              </w:rPr>
              <w:t>kV</w:t>
            </w:r>
            <w:r>
              <w:rPr>
                <w:rFonts w:hint="eastAsia" w:ascii="宋体" w:hAnsi="宋体" w:eastAsia="宋体" w:cs="宋体"/>
                <w:color w:val="000000"/>
                <w:sz w:val="21"/>
                <w:szCs w:val="21"/>
                <w:lang w:val="en-US" w:eastAsia="zh-CN"/>
              </w:rPr>
              <w:t>芝麻线</w:t>
            </w:r>
            <w:r>
              <w:rPr>
                <w:rFonts w:hint="eastAsia" w:ascii="宋体" w:hAnsi="宋体" w:eastAsia="宋体" w:cs="宋体"/>
                <w:color w:val="000000"/>
                <w:sz w:val="21"/>
                <w:szCs w:val="21"/>
              </w:rPr>
              <w:t>引入矿山工业场地配电室</w:t>
            </w:r>
            <w:r>
              <w:rPr>
                <w:rFonts w:hint="eastAsia" w:ascii="宋体" w:hAnsi="宋体" w:eastAsia="宋体" w:cs="宋体"/>
                <w:color w:val="000000"/>
                <w:sz w:val="21"/>
                <w:szCs w:val="21"/>
                <w:lang w:eastAsia="zh-CN"/>
              </w:rPr>
              <w:t>。</w:t>
            </w:r>
          </w:p>
        </w:tc>
        <w:tc>
          <w:tcPr>
            <w:tcW w:w="626" w:type="pct"/>
            <w:tcBorders>
              <w:tl2br w:val="nil"/>
              <w:tr2bl w:val="nil"/>
            </w:tcBorders>
            <w:noWrap w:val="0"/>
            <w:vAlign w:val="center"/>
          </w:tcPr>
          <w:p w14:paraId="49DAF2DF">
            <w:pPr>
              <w:spacing w:line="240" w:lineRule="auto"/>
              <w:ind w:left="0" w:leftChars="0" w:right="0" w:rightChars="0" w:firstLine="0" w:firstLineChars="0"/>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符合</w:t>
            </w:r>
          </w:p>
        </w:tc>
      </w:tr>
      <w:tr w14:paraId="0E31CB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244" w:type="pct"/>
            <w:tcBorders>
              <w:tl2br w:val="nil"/>
              <w:tr2bl w:val="nil"/>
            </w:tcBorders>
            <w:noWrap w:val="0"/>
            <w:vAlign w:val="center"/>
          </w:tcPr>
          <w:p w14:paraId="05CF6917">
            <w:pPr>
              <w:keepNext w:val="0"/>
              <w:keepLines w:val="0"/>
              <w:pageBreakBefore w:val="0"/>
              <w:widowControl w:val="0"/>
              <w:numPr>
                <w:ilvl w:val="0"/>
                <w:numId w:val="56"/>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2169" w:type="pct"/>
            <w:tcBorders>
              <w:tl2br w:val="nil"/>
              <w:tr2bl w:val="nil"/>
            </w:tcBorders>
            <w:noWrap w:val="0"/>
            <w:vAlign w:val="center"/>
          </w:tcPr>
          <w:p w14:paraId="604B2213">
            <w:pPr>
              <w:spacing w:line="240" w:lineRule="auto"/>
              <w:ind w:left="0" w:leftChars="0" w:firstLine="0" w:firstLineChars="0"/>
              <w:jc w:val="both"/>
              <w:rPr>
                <w:rFonts w:hint="eastAsia" w:ascii="宋体" w:hAnsi="宋体" w:eastAsia="宋体" w:cs="宋体"/>
                <w:color w:val="000000"/>
                <w:sz w:val="21"/>
                <w:szCs w:val="21"/>
              </w:rPr>
            </w:pPr>
            <w:r>
              <w:rPr>
                <w:rFonts w:hint="eastAsia" w:ascii="宋体" w:hAnsi="宋体" w:eastAsia="宋体" w:cs="宋体"/>
                <w:color w:val="000000"/>
                <w:sz w:val="21"/>
                <w:szCs w:val="21"/>
              </w:rPr>
              <w:t>主变电所设置应符合下列规定：</w:t>
            </w:r>
          </w:p>
          <w:p w14:paraId="72CCC59E">
            <w:pPr>
              <w:spacing w:line="240" w:lineRule="auto"/>
              <w:ind w:left="0" w:leftChars="0" w:firstLine="0" w:firstLineChars="0"/>
              <w:jc w:val="both"/>
              <w:rPr>
                <w:rFonts w:hint="eastAsia" w:ascii="宋体" w:hAnsi="宋体" w:eastAsia="宋体" w:cs="宋体"/>
                <w:color w:val="000000"/>
                <w:sz w:val="21"/>
                <w:szCs w:val="21"/>
              </w:rPr>
            </w:pPr>
            <w:r>
              <w:rPr>
                <w:rFonts w:hint="eastAsia" w:ascii="宋体" w:hAnsi="宋体" w:cs="宋体"/>
                <w:color w:val="000000"/>
                <w:sz w:val="21"/>
                <w:szCs w:val="21"/>
                <w:lang w:val="en-US" w:eastAsia="zh-CN"/>
              </w:rPr>
              <w:t>1)</w:t>
            </w:r>
            <w:r>
              <w:rPr>
                <w:rFonts w:hint="eastAsia" w:ascii="宋体" w:hAnsi="宋体" w:eastAsia="宋体" w:cs="宋体"/>
                <w:color w:val="000000"/>
                <w:sz w:val="21"/>
                <w:szCs w:val="21"/>
              </w:rPr>
              <w:t>远离污秽及火灾、爆炸危险环境和噪声、震动环境；</w:t>
            </w:r>
          </w:p>
          <w:p w14:paraId="00CE0C05">
            <w:pPr>
              <w:spacing w:line="240" w:lineRule="auto"/>
              <w:ind w:left="0" w:leftChars="0" w:firstLine="0" w:firstLineChars="0"/>
              <w:jc w:val="both"/>
              <w:rPr>
                <w:rFonts w:hint="eastAsia" w:ascii="宋体" w:hAnsi="宋体" w:cs="宋体"/>
                <w:color w:val="000000"/>
                <w:sz w:val="21"/>
                <w:szCs w:val="21"/>
                <w:lang w:val="en-US" w:eastAsia="zh-CN"/>
              </w:rPr>
            </w:pPr>
            <w:r>
              <w:rPr>
                <w:rFonts w:hint="eastAsia" w:ascii="宋体" w:hAnsi="宋体" w:cs="宋体"/>
                <w:color w:val="000000"/>
                <w:sz w:val="21"/>
                <w:szCs w:val="21"/>
                <w:lang w:val="en-US" w:eastAsia="zh-CN"/>
              </w:rPr>
              <w:t>2)避开断层、滑坡、沉陷区等不良地质地带以及受雪崩影响地带；</w:t>
            </w:r>
          </w:p>
          <w:p w14:paraId="49F8A183">
            <w:pPr>
              <w:spacing w:line="240" w:lineRule="auto"/>
              <w:ind w:left="0" w:leftChars="0" w:firstLine="0" w:firstLineChars="0"/>
              <w:jc w:val="both"/>
              <w:rPr>
                <w:rFonts w:hint="default" w:ascii="宋体" w:hAnsi="宋体" w:cs="宋体"/>
                <w:color w:val="000000"/>
                <w:sz w:val="21"/>
                <w:szCs w:val="21"/>
                <w:lang w:val="en-US" w:eastAsia="zh-CN"/>
              </w:rPr>
            </w:pPr>
            <w:r>
              <w:rPr>
                <w:rFonts w:hint="eastAsia" w:ascii="宋体" w:hAnsi="宋体" w:cs="宋体"/>
                <w:color w:val="000000"/>
                <w:sz w:val="21"/>
                <w:szCs w:val="21"/>
                <w:lang w:val="en-US" w:eastAsia="zh-CN"/>
              </w:rPr>
              <w:t>3)地面标高应高于当地最高洪水位0.5m以上。</w:t>
            </w:r>
          </w:p>
        </w:tc>
        <w:tc>
          <w:tcPr>
            <w:tcW w:w="1111" w:type="pct"/>
            <w:tcBorders>
              <w:tl2br w:val="nil"/>
              <w:tr2bl w:val="nil"/>
            </w:tcBorders>
            <w:noWrap w:val="0"/>
            <w:vAlign w:val="center"/>
          </w:tcPr>
          <w:p w14:paraId="156BCB19">
            <w:pPr>
              <w:keepNext/>
              <w:spacing w:line="240" w:lineRule="auto"/>
              <w:ind w:firstLine="0" w:firstLineChars="0"/>
              <w:jc w:val="center"/>
              <w:rPr>
                <w:rFonts w:ascii="宋体" w:hAnsi="宋体" w:cs="宋体"/>
                <w:color w:val="000000"/>
                <w:sz w:val="21"/>
                <w:szCs w:val="21"/>
              </w:rPr>
            </w:pPr>
            <w:r>
              <w:rPr>
                <w:rFonts w:hint="eastAsia" w:ascii="宋体" w:hAnsi="宋体" w:cs="宋体"/>
                <w:color w:val="000000"/>
                <w:sz w:val="21"/>
                <w:szCs w:val="21"/>
              </w:rPr>
              <w:t>《金属非金属矿山安全规程》（GB16423-2020）</w:t>
            </w:r>
          </w:p>
          <w:p w14:paraId="5CDDF7DC">
            <w:pPr>
              <w:spacing w:line="240" w:lineRule="auto"/>
              <w:ind w:left="0" w:leftChars="0" w:right="0" w:rightChars="0" w:firstLine="0" w:firstLineChars="0"/>
              <w:jc w:val="center"/>
              <w:rPr>
                <w:rFonts w:hint="eastAsia" w:ascii="宋体" w:hAnsi="宋体" w:eastAsia="宋体" w:cs="宋体"/>
                <w:color w:val="000000"/>
                <w:sz w:val="21"/>
                <w:szCs w:val="21"/>
              </w:rPr>
            </w:pPr>
            <w:r>
              <w:rPr>
                <w:rFonts w:hint="eastAsia" w:ascii="宋体" w:hAnsi="宋体" w:cs="宋体"/>
                <w:color w:val="000000"/>
                <w:sz w:val="21"/>
                <w:szCs w:val="21"/>
              </w:rPr>
              <w:t>第</w:t>
            </w:r>
            <w:r>
              <w:rPr>
                <w:rFonts w:hint="eastAsia" w:ascii="宋体" w:hAnsi="宋体" w:cs="宋体"/>
                <w:color w:val="000000"/>
                <w:sz w:val="21"/>
                <w:szCs w:val="21"/>
                <w:lang w:val="en-US" w:eastAsia="zh-CN"/>
              </w:rPr>
              <w:t>5.</w:t>
            </w:r>
            <w:r>
              <w:rPr>
                <w:rFonts w:hint="eastAsia" w:ascii="宋体" w:hAnsi="宋体" w:cs="宋体"/>
                <w:color w:val="000000"/>
                <w:sz w:val="21"/>
                <w:szCs w:val="21"/>
              </w:rPr>
              <w:t>6.1.</w:t>
            </w:r>
            <w:r>
              <w:rPr>
                <w:rFonts w:hint="eastAsia" w:ascii="宋体" w:hAnsi="宋体" w:cs="宋体"/>
                <w:color w:val="000000"/>
                <w:sz w:val="21"/>
                <w:szCs w:val="21"/>
                <w:lang w:val="en-US" w:eastAsia="zh-CN"/>
              </w:rPr>
              <w:t>1</w:t>
            </w:r>
            <w:r>
              <w:rPr>
                <w:rFonts w:hint="eastAsia" w:ascii="宋体" w:hAnsi="宋体" w:cs="宋体"/>
                <w:color w:val="000000"/>
                <w:sz w:val="21"/>
                <w:szCs w:val="21"/>
              </w:rPr>
              <w:t>条</w:t>
            </w:r>
          </w:p>
        </w:tc>
        <w:tc>
          <w:tcPr>
            <w:tcW w:w="848" w:type="pct"/>
            <w:tcBorders>
              <w:tl2br w:val="nil"/>
              <w:tr2bl w:val="nil"/>
            </w:tcBorders>
            <w:noWrap w:val="0"/>
            <w:vAlign w:val="center"/>
          </w:tcPr>
          <w:p w14:paraId="24ACFE20">
            <w:pPr>
              <w:spacing w:line="240" w:lineRule="auto"/>
              <w:ind w:left="0" w:leftChars="0" w:firstLine="0" w:firstLineChars="0"/>
              <w:jc w:val="both"/>
              <w:rPr>
                <w:rFonts w:hint="default" w:ascii="宋体" w:hAnsi="宋体" w:eastAsia="宋体" w:cs="宋体"/>
                <w:color w:val="000000"/>
                <w:sz w:val="21"/>
                <w:szCs w:val="21"/>
                <w:lang w:val="en-US" w:eastAsia="zh-CN"/>
              </w:rPr>
            </w:pPr>
            <w:r>
              <w:rPr>
                <w:rFonts w:hint="eastAsia" w:ascii="宋体" w:hAnsi="宋体" w:cs="宋体"/>
                <w:color w:val="000000"/>
                <w:sz w:val="21"/>
                <w:szCs w:val="21"/>
                <w:lang w:val="en-US" w:eastAsia="zh-CN"/>
              </w:rPr>
              <w:t>矿山配电室布设位置满足上述要求。</w:t>
            </w:r>
          </w:p>
        </w:tc>
        <w:tc>
          <w:tcPr>
            <w:tcW w:w="626" w:type="pct"/>
            <w:tcBorders>
              <w:tl2br w:val="nil"/>
              <w:tr2bl w:val="nil"/>
            </w:tcBorders>
            <w:noWrap w:val="0"/>
            <w:vAlign w:val="center"/>
          </w:tcPr>
          <w:p w14:paraId="46D0162C">
            <w:pPr>
              <w:spacing w:line="240" w:lineRule="auto"/>
              <w:ind w:left="0" w:leftChars="0" w:right="0" w:rightChars="0" w:firstLine="0" w:firstLineChars="0"/>
              <w:jc w:val="center"/>
              <w:rPr>
                <w:rFonts w:hint="default" w:ascii="宋体" w:hAnsi="宋体" w:eastAsia="宋体" w:cs="宋体"/>
                <w:color w:val="000000"/>
                <w:sz w:val="21"/>
                <w:szCs w:val="21"/>
                <w:lang w:val="en-US" w:eastAsia="zh-CN"/>
              </w:rPr>
            </w:pPr>
            <w:r>
              <w:rPr>
                <w:rFonts w:hint="eastAsia" w:ascii="宋体" w:hAnsi="宋体" w:cs="宋体"/>
                <w:color w:val="000000"/>
                <w:sz w:val="21"/>
                <w:szCs w:val="21"/>
                <w:lang w:val="en-US" w:eastAsia="zh-CN"/>
              </w:rPr>
              <w:t>符合</w:t>
            </w:r>
          </w:p>
        </w:tc>
      </w:tr>
      <w:tr w14:paraId="45CE12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23" w:hRule="atLeast"/>
          <w:jc w:val="center"/>
        </w:trPr>
        <w:tc>
          <w:tcPr>
            <w:tcW w:w="244" w:type="pct"/>
            <w:tcBorders>
              <w:tl2br w:val="nil"/>
              <w:tr2bl w:val="nil"/>
            </w:tcBorders>
            <w:noWrap w:val="0"/>
            <w:vAlign w:val="center"/>
          </w:tcPr>
          <w:p w14:paraId="06A8D4A8">
            <w:pPr>
              <w:keepNext w:val="0"/>
              <w:keepLines w:val="0"/>
              <w:pageBreakBefore w:val="0"/>
              <w:widowControl w:val="0"/>
              <w:numPr>
                <w:ilvl w:val="0"/>
                <w:numId w:val="56"/>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2169" w:type="pct"/>
            <w:tcBorders>
              <w:tl2br w:val="nil"/>
              <w:tr2bl w:val="nil"/>
            </w:tcBorders>
            <w:noWrap w:val="0"/>
            <w:vAlign w:val="center"/>
          </w:tcPr>
          <w:p w14:paraId="71AF40F1">
            <w:pPr>
              <w:keepNext/>
              <w:spacing w:line="240" w:lineRule="auto"/>
              <w:ind w:firstLine="0" w:firstLineChars="0"/>
              <w:rPr>
                <w:rFonts w:hint="eastAsia" w:ascii="宋体" w:hAnsi="宋体" w:eastAsia="宋体" w:cs="宋体"/>
                <w:kern w:val="2"/>
                <w:sz w:val="21"/>
                <w:szCs w:val="21"/>
                <w:lang w:val="en-US" w:eastAsia="zh-CN" w:bidi="ar-SA"/>
              </w:rPr>
            </w:pPr>
            <w:r>
              <w:rPr>
                <w:rFonts w:hint="eastAsia" w:ascii="宋体" w:hAnsi="宋体" w:cs="宋体"/>
                <w:sz w:val="21"/>
                <w:szCs w:val="21"/>
              </w:rPr>
              <w:t>露天矿户外安装的电气设备应采用户外型电气设备；室外配电装置的裸露导体应有安全防护，当电气设备外绝缘体最低部位距地小于2500 mm时，应装设固定遮栏；高压设备周围应设置围栏；露天或半露天变电所的变压器四周应设高度不低于1.8 m的固定围栏或围墙。</w:t>
            </w:r>
          </w:p>
        </w:tc>
        <w:tc>
          <w:tcPr>
            <w:tcW w:w="1111" w:type="pct"/>
            <w:tcBorders>
              <w:tl2br w:val="nil"/>
              <w:tr2bl w:val="nil"/>
            </w:tcBorders>
            <w:noWrap w:val="0"/>
            <w:vAlign w:val="center"/>
          </w:tcPr>
          <w:p w14:paraId="07128D98">
            <w:pPr>
              <w:keepNext/>
              <w:spacing w:line="240" w:lineRule="auto"/>
              <w:ind w:firstLine="0" w:firstLineChars="0"/>
              <w:jc w:val="center"/>
              <w:rPr>
                <w:rFonts w:ascii="宋体" w:hAnsi="宋体" w:cs="宋体"/>
                <w:color w:val="000000"/>
                <w:sz w:val="21"/>
                <w:szCs w:val="21"/>
              </w:rPr>
            </w:pPr>
            <w:r>
              <w:rPr>
                <w:rFonts w:hint="eastAsia" w:ascii="宋体" w:hAnsi="宋体" w:cs="宋体"/>
                <w:color w:val="000000"/>
                <w:sz w:val="21"/>
                <w:szCs w:val="21"/>
              </w:rPr>
              <w:t>《金属非金属矿山安全规程》（GB16423-2020）</w:t>
            </w:r>
          </w:p>
          <w:p w14:paraId="1DDF9C36">
            <w:pPr>
              <w:keepNext/>
              <w:spacing w:line="240" w:lineRule="auto"/>
              <w:ind w:firstLine="0" w:firstLineChars="0"/>
              <w:jc w:val="center"/>
              <w:rPr>
                <w:rFonts w:hint="eastAsia" w:ascii="宋体" w:hAnsi="宋体" w:eastAsia="宋体" w:cs="宋体"/>
                <w:color w:val="000000"/>
                <w:kern w:val="2"/>
                <w:sz w:val="21"/>
                <w:szCs w:val="21"/>
                <w:lang w:val="en-US" w:eastAsia="zh-CN" w:bidi="ar-SA"/>
              </w:rPr>
            </w:pPr>
            <w:r>
              <w:rPr>
                <w:rFonts w:hint="eastAsia" w:ascii="宋体" w:hAnsi="宋体" w:cs="宋体"/>
                <w:color w:val="000000"/>
                <w:sz w:val="21"/>
                <w:szCs w:val="21"/>
              </w:rPr>
              <w:t>第</w:t>
            </w:r>
            <w:r>
              <w:rPr>
                <w:rFonts w:hint="eastAsia" w:ascii="宋体" w:hAnsi="宋体" w:cs="宋体"/>
                <w:color w:val="000000"/>
                <w:sz w:val="21"/>
                <w:szCs w:val="21"/>
                <w:lang w:val="en-US" w:eastAsia="zh-CN"/>
              </w:rPr>
              <w:t>5.</w:t>
            </w:r>
            <w:r>
              <w:rPr>
                <w:rFonts w:hint="eastAsia" w:ascii="宋体" w:hAnsi="宋体" w:cs="宋体"/>
                <w:color w:val="000000"/>
                <w:sz w:val="21"/>
                <w:szCs w:val="21"/>
              </w:rPr>
              <w:t>6.1.7条</w:t>
            </w:r>
          </w:p>
        </w:tc>
        <w:tc>
          <w:tcPr>
            <w:tcW w:w="848" w:type="pct"/>
            <w:tcBorders>
              <w:tl2br w:val="nil"/>
              <w:tr2bl w:val="nil"/>
            </w:tcBorders>
            <w:noWrap w:val="0"/>
            <w:vAlign w:val="center"/>
          </w:tcPr>
          <w:p w14:paraId="0E1C9EF6">
            <w:pPr>
              <w:spacing w:line="240" w:lineRule="auto"/>
              <w:ind w:left="0" w:leftChars="0" w:firstLine="0" w:firstLineChars="0"/>
              <w:jc w:val="both"/>
              <w:rPr>
                <w:rFonts w:hint="default" w:ascii="宋体" w:hAnsi="宋体" w:eastAsia="宋体" w:cs="宋体"/>
                <w:color w:val="FF0000"/>
                <w:kern w:val="2"/>
                <w:sz w:val="21"/>
                <w:szCs w:val="21"/>
                <w:lang w:val="en-US" w:eastAsia="zh-CN" w:bidi="ar-SA"/>
              </w:rPr>
            </w:pPr>
            <w:r>
              <w:rPr>
                <w:rFonts w:hint="eastAsia" w:ascii="宋体" w:hAnsi="宋体" w:eastAsia="宋体" w:cs="宋体"/>
                <w:color w:val="auto"/>
                <w:sz w:val="21"/>
                <w:szCs w:val="21"/>
                <w:lang w:val="en-US" w:eastAsia="zh-CN"/>
              </w:rPr>
              <w:t>初步设计</w:t>
            </w:r>
            <w:r>
              <w:rPr>
                <w:rFonts w:hint="eastAsia" w:ascii="宋体" w:hAnsi="宋体" w:eastAsia="宋体" w:cs="宋体"/>
                <w:color w:val="auto"/>
                <w:sz w:val="21"/>
                <w:szCs w:val="21"/>
              </w:rPr>
              <w:t>中未明确。</w:t>
            </w:r>
          </w:p>
        </w:tc>
        <w:tc>
          <w:tcPr>
            <w:tcW w:w="626" w:type="pct"/>
            <w:tcBorders>
              <w:tl2br w:val="nil"/>
              <w:tr2bl w:val="nil"/>
            </w:tcBorders>
            <w:noWrap w:val="0"/>
            <w:vAlign w:val="center"/>
          </w:tcPr>
          <w:p w14:paraId="0CAD716D">
            <w:pPr>
              <w:spacing w:line="240" w:lineRule="auto"/>
              <w:ind w:left="0" w:leftChars="0" w:right="0" w:rightChars="0" w:firstLine="0" w:firstLineChars="0"/>
              <w:jc w:val="center"/>
              <w:rPr>
                <w:rFonts w:hint="eastAsia" w:ascii="宋体" w:hAnsi="宋体" w:eastAsia="宋体" w:cs="宋体"/>
                <w:color w:val="FF0000"/>
                <w:kern w:val="2"/>
                <w:sz w:val="21"/>
                <w:szCs w:val="21"/>
                <w:lang w:val="en-US" w:eastAsia="zh-CN" w:bidi="ar-SA"/>
              </w:rPr>
            </w:pPr>
            <w:r>
              <w:rPr>
                <w:rFonts w:hint="eastAsia" w:eastAsia="宋体" w:cs="宋体"/>
                <w:caps w:val="0"/>
                <w:color w:val="auto"/>
                <w:sz w:val="21"/>
                <w:szCs w:val="21"/>
                <w:shd w:val="clear" w:color="auto" w:fill="auto"/>
                <w:lang w:val="en-US" w:eastAsia="zh-CN"/>
              </w:rPr>
              <w:t>不符合</w:t>
            </w:r>
          </w:p>
        </w:tc>
      </w:tr>
      <w:tr w14:paraId="5910B0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23" w:hRule="atLeast"/>
          <w:jc w:val="center"/>
        </w:trPr>
        <w:tc>
          <w:tcPr>
            <w:tcW w:w="244" w:type="pct"/>
            <w:tcBorders>
              <w:tl2br w:val="nil"/>
              <w:tr2bl w:val="nil"/>
            </w:tcBorders>
            <w:noWrap w:val="0"/>
            <w:vAlign w:val="center"/>
          </w:tcPr>
          <w:p w14:paraId="3876D0CB">
            <w:pPr>
              <w:keepNext w:val="0"/>
              <w:keepLines w:val="0"/>
              <w:pageBreakBefore w:val="0"/>
              <w:widowControl w:val="0"/>
              <w:numPr>
                <w:ilvl w:val="0"/>
                <w:numId w:val="56"/>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2169" w:type="pct"/>
            <w:tcBorders>
              <w:tl2br w:val="nil"/>
              <w:tr2bl w:val="nil"/>
            </w:tcBorders>
            <w:noWrap w:val="0"/>
            <w:vAlign w:val="center"/>
          </w:tcPr>
          <w:p w14:paraId="13EA45E2">
            <w:pPr>
              <w:keepNext/>
              <w:spacing w:line="240" w:lineRule="auto"/>
              <w:ind w:firstLine="0" w:firstLineChars="0"/>
              <w:rPr>
                <w:rFonts w:hint="eastAsia" w:ascii="宋体" w:hAnsi="宋体" w:cs="宋体"/>
                <w:sz w:val="21"/>
                <w:szCs w:val="21"/>
              </w:rPr>
            </w:pPr>
            <w:r>
              <w:rPr>
                <w:rFonts w:hint="eastAsia" w:ascii="宋体" w:hAnsi="宋体" w:cs="宋体"/>
                <w:sz w:val="21"/>
                <w:szCs w:val="21"/>
              </w:rPr>
              <w:t>夜间工作时，下列地点应设照明装置：</w:t>
            </w:r>
          </w:p>
          <w:p w14:paraId="098905E5">
            <w:pPr>
              <w:keepNext/>
              <w:spacing w:line="240" w:lineRule="auto"/>
              <w:ind w:firstLine="0" w:firstLineChars="0"/>
              <w:rPr>
                <w:rFonts w:hint="eastAsia" w:ascii="宋体" w:hAnsi="宋体" w:eastAsia="宋体" w:cs="宋体"/>
                <w:sz w:val="21"/>
                <w:szCs w:val="21"/>
                <w:lang w:val="en-US" w:eastAsia="zh-CN"/>
              </w:rPr>
            </w:pPr>
            <w:r>
              <w:rPr>
                <w:rFonts w:hint="eastAsia" w:ascii="宋体" w:hAnsi="宋体" w:cs="宋体"/>
                <w:sz w:val="21"/>
                <w:szCs w:val="21"/>
                <w:lang w:val="en-US" w:eastAsia="zh-CN"/>
              </w:rPr>
              <w:t>1)</w:t>
            </w:r>
            <w:r>
              <w:rPr>
                <w:rFonts w:hint="eastAsia" w:ascii="宋体" w:hAnsi="宋体" w:cs="宋体"/>
                <w:sz w:val="21"/>
                <w:szCs w:val="21"/>
              </w:rPr>
              <w:t>空气压缩机和水泵的工作</w:t>
            </w:r>
            <w:r>
              <w:rPr>
                <w:rFonts w:hint="eastAsia" w:ascii="宋体" w:hAnsi="宋体" w:cs="宋体"/>
                <w:sz w:val="21"/>
                <w:szCs w:val="21"/>
                <w:lang w:val="en-US" w:eastAsia="zh-CN"/>
              </w:rPr>
              <w:t>地点；</w:t>
            </w:r>
          </w:p>
          <w:p w14:paraId="4DC831EF">
            <w:pPr>
              <w:keepNext/>
              <w:spacing w:line="240" w:lineRule="auto"/>
              <w:ind w:firstLine="0" w:firstLineChars="0"/>
              <w:rPr>
                <w:rFonts w:hint="eastAsia" w:ascii="宋体" w:hAnsi="宋体" w:cs="宋体"/>
                <w:sz w:val="21"/>
                <w:szCs w:val="21"/>
              </w:rPr>
            </w:pPr>
            <w:r>
              <w:rPr>
                <w:rFonts w:hint="eastAsia" w:ascii="宋体" w:hAnsi="宋体" w:cs="宋体"/>
                <w:sz w:val="21"/>
                <w:szCs w:val="21"/>
                <w:lang w:val="en-US" w:eastAsia="zh-CN"/>
              </w:rPr>
              <w:t>2)</w:t>
            </w:r>
            <w:r>
              <w:rPr>
                <w:rFonts w:hint="eastAsia" w:ascii="宋体" w:hAnsi="宋体" w:cs="宋体"/>
                <w:sz w:val="21"/>
                <w:szCs w:val="21"/>
              </w:rPr>
              <w:t>带式输送机、斜坡提升线路以及相应的人行梯或人行道；</w:t>
            </w:r>
          </w:p>
          <w:p w14:paraId="6B8C5C77">
            <w:pPr>
              <w:keepNext/>
              <w:spacing w:line="240" w:lineRule="auto"/>
              <w:ind w:firstLine="0" w:firstLineChars="0"/>
              <w:rPr>
                <w:rFonts w:hint="eastAsia" w:ascii="宋体" w:hAnsi="宋体" w:eastAsia="宋体" w:cs="宋体"/>
                <w:sz w:val="21"/>
                <w:szCs w:val="21"/>
                <w:lang w:val="en-US" w:eastAsia="zh-CN"/>
              </w:rPr>
            </w:pPr>
            <w:r>
              <w:rPr>
                <w:rFonts w:hint="eastAsia" w:ascii="宋体" w:hAnsi="宋体" w:cs="宋体"/>
                <w:sz w:val="21"/>
                <w:szCs w:val="21"/>
                <w:lang w:val="en-US" w:eastAsia="zh-CN"/>
              </w:rPr>
              <w:t>3)</w:t>
            </w:r>
            <w:r>
              <w:rPr>
                <w:rFonts w:hint="eastAsia" w:ascii="宋体" w:hAnsi="宋体" w:cs="宋体"/>
                <w:sz w:val="21"/>
                <w:szCs w:val="21"/>
              </w:rPr>
              <w:t>汽车装载处、排土场、卸车线</w:t>
            </w:r>
            <w:r>
              <w:rPr>
                <w:rFonts w:hint="eastAsia" w:ascii="宋体" w:hAnsi="宋体" w:cs="宋体"/>
                <w:sz w:val="21"/>
                <w:szCs w:val="21"/>
                <w:lang w:val="en-US" w:eastAsia="zh-CN"/>
              </w:rPr>
              <w:t>。</w:t>
            </w:r>
          </w:p>
        </w:tc>
        <w:tc>
          <w:tcPr>
            <w:tcW w:w="1111" w:type="pct"/>
            <w:tcBorders>
              <w:tl2br w:val="nil"/>
              <w:tr2bl w:val="nil"/>
            </w:tcBorders>
            <w:noWrap w:val="0"/>
            <w:vAlign w:val="center"/>
          </w:tcPr>
          <w:p w14:paraId="3C72603C">
            <w:pPr>
              <w:keepNext/>
              <w:spacing w:line="240" w:lineRule="auto"/>
              <w:ind w:firstLine="0" w:firstLineChars="0"/>
              <w:jc w:val="center"/>
              <w:rPr>
                <w:rFonts w:ascii="宋体" w:hAnsi="宋体" w:cs="宋体"/>
                <w:color w:val="000000"/>
                <w:sz w:val="21"/>
                <w:szCs w:val="21"/>
              </w:rPr>
            </w:pPr>
            <w:r>
              <w:rPr>
                <w:rFonts w:hint="eastAsia" w:ascii="宋体" w:hAnsi="宋体" w:cs="宋体"/>
                <w:color w:val="000000"/>
                <w:sz w:val="21"/>
                <w:szCs w:val="21"/>
              </w:rPr>
              <w:t>《金属非金属矿山安全规程》（GB16423-2020）</w:t>
            </w:r>
          </w:p>
          <w:p w14:paraId="353AE3EB">
            <w:pPr>
              <w:keepNext/>
              <w:spacing w:line="240" w:lineRule="auto"/>
              <w:ind w:firstLine="0" w:firstLineChars="0"/>
              <w:jc w:val="center"/>
              <w:rPr>
                <w:rFonts w:hint="eastAsia" w:ascii="宋体" w:hAnsi="宋体" w:cs="宋体"/>
                <w:color w:val="000000"/>
                <w:sz w:val="21"/>
                <w:szCs w:val="21"/>
              </w:rPr>
            </w:pPr>
            <w:r>
              <w:rPr>
                <w:rFonts w:hint="eastAsia" w:ascii="宋体" w:hAnsi="宋体" w:cs="宋体"/>
                <w:color w:val="000000"/>
                <w:sz w:val="21"/>
                <w:szCs w:val="21"/>
              </w:rPr>
              <w:t>第</w:t>
            </w:r>
            <w:r>
              <w:rPr>
                <w:rFonts w:hint="eastAsia" w:ascii="宋体" w:hAnsi="宋体" w:cs="宋体"/>
                <w:color w:val="000000"/>
                <w:sz w:val="21"/>
                <w:szCs w:val="21"/>
                <w:lang w:val="en-US" w:eastAsia="zh-CN"/>
              </w:rPr>
              <w:t>5.</w:t>
            </w:r>
            <w:r>
              <w:rPr>
                <w:rFonts w:hint="eastAsia" w:ascii="宋体" w:hAnsi="宋体" w:cs="宋体"/>
                <w:color w:val="000000"/>
                <w:sz w:val="21"/>
                <w:szCs w:val="21"/>
              </w:rPr>
              <w:t>6.</w:t>
            </w:r>
            <w:r>
              <w:rPr>
                <w:rFonts w:hint="eastAsia" w:ascii="宋体" w:hAnsi="宋体" w:cs="宋体"/>
                <w:color w:val="000000"/>
                <w:sz w:val="21"/>
                <w:szCs w:val="21"/>
                <w:lang w:val="en-US" w:eastAsia="zh-CN"/>
              </w:rPr>
              <w:t>3.1</w:t>
            </w:r>
            <w:r>
              <w:rPr>
                <w:rFonts w:hint="eastAsia" w:ascii="宋体" w:hAnsi="宋体" w:cs="宋体"/>
                <w:color w:val="000000"/>
                <w:sz w:val="21"/>
                <w:szCs w:val="21"/>
              </w:rPr>
              <w:t>条</w:t>
            </w:r>
          </w:p>
        </w:tc>
        <w:tc>
          <w:tcPr>
            <w:tcW w:w="848" w:type="pct"/>
            <w:tcBorders>
              <w:tl2br w:val="nil"/>
              <w:tr2bl w:val="nil"/>
            </w:tcBorders>
            <w:shd w:val="clear" w:color="auto" w:fill="auto"/>
            <w:noWrap w:val="0"/>
            <w:vAlign w:val="center"/>
          </w:tcPr>
          <w:p w14:paraId="280952E7">
            <w:pPr>
              <w:spacing w:line="240" w:lineRule="auto"/>
              <w:ind w:left="0" w:leftChars="0" w:firstLine="0" w:firstLineChars="0"/>
              <w:jc w:val="both"/>
              <w:rPr>
                <w:rFonts w:hint="eastAsia" w:ascii="宋体" w:hAnsi="宋体" w:eastAsia="宋体" w:cs="宋体"/>
                <w:color w:val="FF0000"/>
                <w:kern w:val="2"/>
                <w:sz w:val="21"/>
                <w:szCs w:val="21"/>
                <w:lang w:val="en-US" w:eastAsia="zh-CN" w:bidi="ar-SA"/>
              </w:rPr>
            </w:pPr>
            <w:r>
              <w:rPr>
                <w:rFonts w:hint="eastAsia" w:ascii="宋体" w:hAnsi="宋体" w:eastAsia="宋体" w:cs="宋体"/>
                <w:color w:val="auto"/>
                <w:sz w:val="21"/>
                <w:szCs w:val="21"/>
                <w:lang w:val="en-US" w:eastAsia="zh-CN"/>
              </w:rPr>
              <w:t>初步设计</w:t>
            </w:r>
            <w:r>
              <w:rPr>
                <w:rFonts w:hint="eastAsia" w:ascii="宋体" w:hAnsi="宋体" w:eastAsia="宋体" w:cs="宋体"/>
                <w:color w:val="auto"/>
                <w:sz w:val="21"/>
                <w:szCs w:val="21"/>
              </w:rPr>
              <w:t>中未明确。</w:t>
            </w:r>
          </w:p>
        </w:tc>
        <w:tc>
          <w:tcPr>
            <w:tcW w:w="626" w:type="pct"/>
            <w:tcBorders>
              <w:tl2br w:val="nil"/>
              <w:tr2bl w:val="nil"/>
            </w:tcBorders>
            <w:shd w:val="clear" w:color="auto" w:fill="auto"/>
            <w:noWrap w:val="0"/>
            <w:vAlign w:val="center"/>
          </w:tcPr>
          <w:p w14:paraId="2E6FADB5">
            <w:pPr>
              <w:spacing w:line="240" w:lineRule="auto"/>
              <w:ind w:left="0" w:leftChars="0" w:right="0" w:rightChars="0" w:firstLine="0" w:firstLineChars="0"/>
              <w:jc w:val="center"/>
              <w:rPr>
                <w:rFonts w:hint="eastAsia" w:ascii="宋体" w:hAnsi="宋体" w:eastAsia="宋体" w:cs="宋体"/>
                <w:color w:val="FF0000"/>
                <w:kern w:val="2"/>
                <w:sz w:val="21"/>
                <w:szCs w:val="21"/>
                <w:lang w:val="en-US" w:eastAsia="zh-CN" w:bidi="ar-SA"/>
              </w:rPr>
            </w:pPr>
            <w:r>
              <w:rPr>
                <w:rFonts w:hint="eastAsia" w:eastAsia="宋体" w:cs="宋体"/>
                <w:caps w:val="0"/>
                <w:color w:val="auto"/>
                <w:sz w:val="21"/>
                <w:szCs w:val="21"/>
                <w:shd w:val="clear" w:color="auto" w:fill="auto"/>
                <w:lang w:val="en-US" w:eastAsia="zh-CN"/>
              </w:rPr>
              <w:t>不符合</w:t>
            </w:r>
          </w:p>
        </w:tc>
      </w:tr>
      <w:tr w14:paraId="5DDC91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23" w:hRule="atLeast"/>
          <w:jc w:val="center"/>
        </w:trPr>
        <w:tc>
          <w:tcPr>
            <w:tcW w:w="244" w:type="pct"/>
            <w:tcBorders>
              <w:tl2br w:val="nil"/>
              <w:tr2bl w:val="nil"/>
            </w:tcBorders>
            <w:noWrap w:val="0"/>
            <w:vAlign w:val="center"/>
          </w:tcPr>
          <w:p w14:paraId="2686A34E">
            <w:pPr>
              <w:keepNext w:val="0"/>
              <w:keepLines w:val="0"/>
              <w:pageBreakBefore w:val="0"/>
              <w:widowControl w:val="0"/>
              <w:numPr>
                <w:ilvl w:val="0"/>
                <w:numId w:val="56"/>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2169" w:type="pct"/>
            <w:tcBorders>
              <w:tl2br w:val="nil"/>
              <w:tr2bl w:val="nil"/>
            </w:tcBorders>
            <w:noWrap w:val="0"/>
            <w:vAlign w:val="center"/>
          </w:tcPr>
          <w:p w14:paraId="787A7D7C">
            <w:pPr>
              <w:keepNext/>
              <w:spacing w:line="240" w:lineRule="auto"/>
              <w:ind w:firstLine="0" w:firstLineChars="0"/>
              <w:rPr>
                <w:rFonts w:hint="eastAsia" w:ascii="宋体" w:hAnsi="宋体" w:cs="宋体"/>
                <w:sz w:val="21"/>
                <w:szCs w:val="21"/>
              </w:rPr>
            </w:pPr>
            <w:r>
              <w:rPr>
                <w:rFonts w:hint="eastAsia" w:ascii="宋体" w:hAnsi="宋体" w:cs="宋体"/>
                <w:sz w:val="21"/>
                <w:szCs w:val="21"/>
              </w:rPr>
              <w:t>照明电压应符合下列规定：</w:t>
            </w:r>
          </w:p>
          <w:p w14:paraId="1B94AF87">
            <w:pPr>
              <w:keepNext/>
              <w:spacing w:line="240" w:lineRule="auto"/>
              <w:ind w:firstLine="0" w:firstLineChars="0"/>
              <w:rPr>
                <w:rFonts w:hint="eastAsia" w:ascii="宋体" w:hAnsi="宋体" w:cs="宋体"/>
                <w:sz w:val="21"/>
                <w:szCs w:val="21"/>
              </w:rPr>
            </w:pPr>
            <w:r>
              <w:rPr>
                <w:rFonts w:hint="eastAsia" w:ascii="宋体" w:hAnsi="宋体" w:cs="宋体"/>
                <w:sz w:val="21"/>
                <w:szCs w:val="21"/>
                <w:lang w:val="en-US" w:eastAsia="zh-CN"/>
              </w:rPr>
              <w:t>1）</w:t>
            </w:r>
            <w:r>
              <w:rPr>
                <w:rFonts w:hint="eastAsia" w:ascii="宋体" w:hAnsi="宋体" w:cs="宋体"/>
                <w:sz w:val="21"/>
                <w:szCs w:val="21"/>
              </w:rPr>
              <w:t>固定式照明灯具：不高于220V；</w:t>
            </w:r>
          </w:p>
          <w:p w14:paraId="138DE179">
            <w:pPr>
              <w:keepNext/>
              <w:spacing w:line="240" w:lineRule="auto"/>
              <w:ind w:firstLine="0" w:firstLineChars="0"/>
              <w:rPr>
                <w:rFonts w:hint="eastAsia" w:ascii="宋体" w:hAnsi="宋体" w:cs="宋体"/>
                <w:sz w:val="21"/>
                <w:szCs w:val="21"/>
              </w:rPr>
            </w:pPr>
            <w:r>
              <w:rPr>
                <w:rFonts w:hint="eastAsia" w:ascii="宋体" w:hAnsi="宋体" w:cs="宋体"/>
                <w:sz w:val="21"/>
                <w:szCs w:val="21"/>
                <w:lang w:val="en-US" w:eastAsia="zh-CN"/>
              </w:rPr>
              <w:t>2）</w:t>
            </w:r>
            <w:r>
              <w:rPr>
                <w:rFonts w:hint="eastAsia" w:ascii="宋体" w:hAnsi="宋体" w:cs="宋体"/>
                <w:sz w:val="21"/>
                <w:szCs w:val="21"/>
              </w:rPr>
              <w:t>行灯或移动式灯具：不高于36v，并经安全隔离变压器供电；</w:t>
            </w:r>
          </w:p>
          <w:p w14:paraId="0E5D1548">
            <w:pPr>
              <w:keepNext/>
              <w:spacing w:line="240" w:lineRule="auto"/>
              <w:ind w:firstLine="0" w:firstLineChars="0"/>
              <w:rPr>
                <w:rFonts w:hint="eastAsia" w:ascii="宋体" w:hAnsi="宋体" w:cs="宋体"/>
                <w:sz w:val="21"/>
                <w:szCs w:val="21"/>
              </w:rPr>
            </w:pPr>
            <w:r>
              <w:rPr>
                <w:rFonts w:hint="eastAsia" w:ascii="宋体" w:hAnsi="宋体" w:cs="宋体"/>
                <w:sz w:val="21"/>
                <w:szCs w:val="21"/>
                <w:lang w:val="en-US" w:eastAsia="zh-CN"/>
              </w:rPr>
              <w:t>3）</w:t>
            </w:r>
            <w:r>
              <w:rPr>
                <w:rFonts w:hint="eastAsia" w:ascii="宋体" w:hAnsi="宋体" w:cs="宋体"/>
                <w:sz w:val="21"/>
                <w:szCs w:val="21"/>
              </w:rPr>
              <w:t>在金属容器内或者潮湿地点作业时，不高于12v。</w:t>
            </w:r>
          </w:p>
        </w:tc>
        <w:tc>
          <w:tcPr>
            <w:tcW w:w="1111" w:type="pct"/>
            <w:tcBorders>
              <w:tl2br w:val="nil"/>
              <w:tr2bl w:val="nil"/>
            </w:tcBorders>
            <w:noWrap w:val="0"/>
            <w:vAlign w:val="center"/>
          </w:tcPr>
          <w:p w14:paraId="36432A46">
            <w:pPr>
              <w:keepNext/>
              <w:spacing w:line="240" w:lineRule="auto"/>
              <w:ind w:firstLine="0" w:firstLineChars="0"/>
              <w:jc w:val="center"/>
              <w:rPr>
                <w:rFonts w:ascii="宋体" w:hAnsi="宋体" w:cs="宋体"/>
                <w:color w:val="000000"/>
                <w:sz w:val="21"/>
                <w:szCs w:val="21"/>
              </w:rPr>
            </w:pPr>
            <w:r>
              <w:rPr>
                <w:rFonts w:hint="eastAsia" w:ascii="宋体" w:hAnsi="宋体" w:cs="宋体"/>
                <w:color w:val="000000"/>
                <w:sz w:val="21"/>
                <w:szCs w:val="21"/>
              </w:rPr>
              <w:t>《金属非金属矿山安全规程》（GB16423-2020）</w:t>
            </w:r>
          </w:p>
          <w:p w14:paraId="7CAD78C2">
            <w:pPr>
              <w:keepNext/>
              <w:spacing w:line="240" w:lineRule="auto"/>
              <w:ind w:firstLine="0" w:firstLineChars="0"/>
              <w:jc w:val="center"/>
              <w:rPr>
                <w:rFonts w:hint="eastAsia" w:ascii="宋体" w:hAnsi="宋体" w:cs="宋体"/>
                <w:color w:val="000000"/>
                <w:sz w:val="21"/>
                <w:szCs w:val="21"/>
              </w:rPr>
            </w:pPr>
            <w:r>
              <w:rPr>
                <w:rFonts w:hint="eastAsia" w:ascii="宋体" w:hAnsi="宋体" w:cs="宋体"/>
                <w:color w:val="000000"/>
                <w:sz w:val="21"/>
                <w:szCs w:val="21"/>
              </w:rPr>
              <w:t>第</w:t>
            </w:r>
            <w:r>
              <w:rPr>
                <w:rFonts w:hint="eastAsia" w:ascii="宋体" w:hAnsi="宋体" w:cs="宋体"/>
                <w:color w:val="000000"/>
                <w:sz w:val="21"/>
                <w:szCs w:val="21"/>
                <w:lang w:val="en-US" w:eastAsia="zh-CN"/>
              </w:rPr>
              <w:t>5.</w:t>
            </w:r>
            <w:r>
              <w:rPr>
                <w:rFonts w:hint="eastAsia" w:ascii="宋体" w:hAnsi="宋体" w:cs="宋体"/>
                <w:color w:val="000000"/>
                <w:sz w:val="21"/>
                <w:szCs w:val="21"/>
              </w:rPr>
              <w:t>6.</w:t>
            </w:r>
            <w:r>
              <w:rPr>
                <w:rFonts w:hint="eastAsia" w:ascii="宋体" w:hAnsi="宋体" w:cs="宋体"/>
                <w:color w:val="000000"/>
                <w:sz w:val="21"/>
                <w:szCs w:val="21"/>
                <w:lang w:val="en-US" w:eastAsia="zh-CN"/>
              </w:rPr>
              <w:t>3.2</w:t>
            </w:r>
            <w:r>
              <w:rPr>
                <w:rFonts w:hint="eastAsia" w:ascii="宋体" w:hAnsi="宋体" w:cs="宋体"/>
                <w:color w:val="000000"/>
                <w:sz w:val="21"/>
                <w:szCs w:val="21"/>
              </w:rPr>
              <w:t>条</w:t>
            </w:r>
          </w:p>
        </w:tc>
        <w:tc>
          <w:tcPr>
            <w:tcW w:w="848" w:type="pct"/>
            <w:tcBorders>
              <w:tl2br w:val="nil"/>
              <w:tr2bl w:val="nil"/>
            </w:tcBorders>
            <w:noWrap w:val="0"/>
            <w:vAlign w:val="center"/>
          </w:tcPr>
          <w:p w14:paraId="71CFC2B9">
            <w:pPr>
              <w:spacing w:line="240" w:lineRule="auto"/>
              <w:ind w:left="0" w:leftChars="0" w:firstLine="0" w:firstLineChars="0"/>
              <w:jc w:val="both"/>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初步设计</w:t>
            </w:r>
            <w:r>
              <w:rPr>
                <w:rFonts w:hint="eastAsia" w:ascii="宋体" w:hAnsi="宋体" w:eastAsia="宋体" w:cs="宋体"/>
                <w:color w:val="auto"/>
                <w:sz w:val="21"/>
                <w:szCs w:val="21"/>
              </w:rPr>
              <w:t>中未明确。</w:t>
            </w:r>
          </w:p>
        </w:tc>
        <w:tc>
          <w:tcPr>
            <w:tcW w:w="626" w:type="pct"/>
            <w:tcBorders>
              <w:tl2br w:val="nil"/>
              <w:tr2bl w:val="nil"/>
            </w:tcBorders>
            <w:noWrap w:val="0"/>
            <w:vAlign w:val="center"/>
          </w:tcPr>
          <w:p w14:paraId="7DCE4B89">
            <w:pPr>
              <w:spacing w:line="240" w:lineRule="auto"/>
              <w:ind w:left="0" w:leftChars="0" w:right="0" w:rightChars="0" w:firstLine="0" w:firstLineChars="0"/>
              <w:jc w:val="center"/>
              <w:rPr>
                <w:rFonts w:hint="eastAsia" w:eastAsia="宋体" w:cs="宋体"/>
                <w:caps w:val="0"/>
                <w:color w:val="auto"/>
                <w:sz w:val="21"/>
                <w:szCs w:val="21"/>
                <w:shd w:val="clear" w:color="auto" w:fill="auto"/>
                <w:lang w:val="en-US" w:eastAsia="zh-CN"/>
              </w:rPr>
            </w:pPr>
            <w:r>
              <w:rPr>
                <w:rFonts w:hint="eastAsia" w:eastAsia="宋体" w:cs="宋体"/>
                <w:caps w:val="0"/>
                <w:color w:val="auto"/>
                <w:sz w:val="21"/>
                <w:szCs w:val="21"/>
                <w:shd w:val="clear" w:color="auto" w:fill="auto"/>
                <w:lang w:val="en-US" w:eastAsia="zh-CN"/>
              </w:rPr>
              <w:t>不符合</w:t>
            </w:r>
          </w:p>
        </w:tc>
      </w:tr>
      <w:tr w14:paraId="561C35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23" w:hRule="atLeast"/>
          <w:jc w:val="center"/>
        </w:trPr>
        <w:tc>
          <w:tcPr>
            <w:tcW w:w="244" w:type="pct"/>
            <w:tcBorders>
              <w:tl2br w:val="nil"/>
              <w:tr2bl w:val="nil"/>
            </w:tcBorders>
            <w:noWrap w:val="0"/>
            <w:vAlign w:val="center"/>
          </w:tcPr>
          <w:p w14:paraId="7B8DAE6C">
            <w:pPr>
              <w:keepNext w:val="0"/>
              <w:keepLines w:val="0"/>
              <w:pageBreakBefore w:val="0"/>
              <w:widowControl w:val="0"/>
              <w:numPr>
                <w:ilvl w:val="0"/>
                <w:numId w:val="56"/>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2169" w:type="pct"/>
            <w:tcBorders>
              <w:tl2br w:val="nil"/>
              <w:tr2bl w:val="nil"/>
            </w:tcBorders>
            <w:noWrap w:val="0"/>
            <w:vAlign w:val="center"/>
          </w:tcPr>
          <w:p w14:paraId="785135C7">
            <w:pPr>
              <w:keepNext/>
              <w:spacing w:line="240" w:lineRule="auto"/>
              <w:ind w:firstLine="0" w:firstLineChars="0"/>
              <w:rPr>
                <w:rFonts w:hint="eastAsia" w:ascii="宋体" w:hAnsi="宋体" w:cs="宋体"/>
                <w:sz w:val="21"/>
                <w:szCs w:val="21"/>
              </w:rPr>
            </w:pPr>
            <w:r>
              <w:rPr>
                <w:rFonts w:hint="eastAsia" w:ascii="宋体" w:hAnsi="宋体" w:cs="宋体"/>
                <w:sz w:val="21"/>
                <w:szCs w:val="21"/>
              </w:rPr>
              <w:t>下列场所应设置应急照明：</w:t>
            </w:r>
          </w:p>
          <w:p w14:paraId="210D5C53">
            <w:pPr>
              <w:keepNext/>
              <w:spacing w:line="240" w:lineRule="auto"/>
              <w:ind w:firstLine="0" w:firstLineChars="0"/>
              <w:rPr>
                <w:rFonts w:hint="eastAsia" w:ascii="宋体" w:hAnsi="宋体" w:cs="宋体"/>
                <w:sz w:val="21"/>
                <w:szCs w:val="21"/>
              </w:rPr>
            </w:pPr>
            <w:r>
              <w:rPr>
                <w:rFonts w:hint="eastAsia" w:ascii="宋体" w:hAnsi="宋体" w:cs="宋体"/>
                <w:sz w:val="21"/>
                <w:szCs w:val="21"/>
                <w:lang w:val="en-US" w:eastAsia="zh-CN"/>
              </w:rPr>
              <w:t>1）</w:t>
            </w:r>
            <w:r>
              <w:rPr>
                <w:rFonts w:hint="eastAsia" w:ascii="宋体" w:hAnsi="宋体" w:cs="宋体"/>
                <w:sz w:val="21"/>
                <w:szCs w:val="21"/>
              </w:rPr>
              <w:t>变配电所；</w:t>
            </w:r>
          </w:p>
          <w:p w14:paraId="2A5B9218">
            <w:pPr>
              <w:keepNext/>
              <w:spacing w:line="240" w:lineRule="auto"/>
              <w:ind w:firstLine="0" w:firstLineChars="0"/>
              <w:rPr>
                <w:rFonts w:hint="eastAsia" w:ascii="宋体" w:hAnsi="宋体" w:cs="宋体"/>
                <w:sz w:val="21"/>
                <w:szCs w:val="21"/>
              </w:rPr>
            </w:pPr>
            <w:r>
              <w:rPr>
                <w:rFonts w:hint="eastAsia" w:ascii="宋体" w:hAnsi="宋体" w:cs="宋体"/>
                <w:sz w:val="21"/>
                <w:szCs w:val="21"/>
                <w:lang w:val="en-US" w:eastAsia="zh-CN"/>
              </w:rPr>
              <w:t>2）</w:t>
            </w:r>
            <w:r>
              <w:rPr>
                <w:rFonts w:hint="eastAsia" w:ascii="宋体" w:hAnsi="宋体" w:cs="宋体"/>
                <w:sz w:val="21"/>
                <w:szCs w:val="21"/>
              </w:rPr>
              <w:t>监控室、生产调度室、通信站和网络中心；</w:t>
            </w:r>
          </w:p>
          <w:p w14:paraId="26DED6D7">
            <w:pPr>
              <w:keepNext/>
              <w:spacing w:line="240" w:lineRule="auto"/>
              <w:ind w:firstLine="0" w:firstLineChars="0"/>
              <w:rPr>
                <w:rFonts w:hint="eastAsia" w:ascii="宋体" w:hAnsi="宋体" w:cs="宋体"/>
                <w:sz w:val="21"/>
                <w:szCs w:val="21"/>
              </w:rPr>
            </w:pPr>
            <w:r>
              <w:rPr>
                <w:rFonts w:hint="eastAsia" w:ascii="宋体" w:hAnsi="宋体" w:cs="宋体"/>
                <w:sz w:val="21"/>
                <w:szCs w:val="21"/>
                <w:lang w:val="en-US" w:eastAsia="zh-CN"/>
              </w:rPr>
              <w:t>3）</w:t>
            </w:r>
            <w:r>
              <w:rPr>
                <w:rFonts w:hint="eastAsia" w:ascii="宋体" w:hAnsi="宋体" w:cs="宋体"/>
                <w:sz w:val="21"/>
                <w:szCs w:val="21"/>
              </w:rPr>
              <w:t>矿山救护值班室。</w:t>
            </w:r>
          </w:p>
          <w:p w14:paraId="2BB48356">
            <w:pPr>
              <w:keepNext/>
              <w:spacing w:line="240" w:lineRule="auto"/>
              <w:ind w:firstLine="0" w:firstLineChars="0"/>
              <w:rPr>
                <w:rFonts w:hint="eastAsia" w:ascii="宋体" w:hAnsi="宋体" w:cs="宋体"/>
                <w:sz w:val="21"/>
                <w:szCs w:val="21"/>
              </w:rPr>
            </w:pPr>
            <w:r>
              <w:rPr>
                <w:rFonts w:hint="eastAsia" w:ascii="宋体" w:hAnsi="宋体" w:cs="宋体"/>
                <w:sz w:val="21"/>
                <w:szCs w:val="21"/>
                <w:lang w:val="en-US" w:eastAsia="zh-CN"/>
              </w:rPr>
              <w:t>4）</w:t>
            </w:r>
            <w:r>
              <w:rPr>
                <w:rFonts w:hint="eastAsia" w:ascii="宋体" w:hAnsi="宋体" w:cs="宋体"/>
                <w:sz w:val="21"/>
                <w:szCs w:val="21"/>
              </w:rPr>
              <w:t>移动式非架空照明线路应采用橡套软电缆。</w:t>
            </w:r>
          </w:p>
        </w:tc>
        <w:tc>
          <w:tcPr>
            <w:tcW w:w="1111" w:type="pct"/>
            <w:tcBorders>
              <w:tl2br w:val="nil"/>
              <w:tr2bl w:val="nil"/>
            </w:tcBorders>
            <w:noWrap w:val="0"/>
            <w:vAlign w:val="center"/>
          </w:tcPr>
          <w:p w14:paraId="2683CB9F">
            <w:pPr>
              <w:keepNext/>
              <w:spacing w:line="240" w:lineRule="auto"/>
              <w:ind w:firstLine="0" w:firstLineChars="0"/>
              <w:jc w:val="center"/>
              <w:rPr>
                <w:rFonts w:ascii="宋体" w:hAnsi="宋体" w:cs="宋体"/>
                <w:color w:val="000000"/>
                <w:sz w:val="21"/>
                <w:szCs w:val="21"/>
              </w:rPr>
            </w:pPr>
            <w:r>
              <w:rPr>
                <w:rFonts w:hint="eastAsia" w:ascii="宋体" w:hAnsi="宋体" w:cs="宋体"/>
                <w:color w:val="000000"/>
                <w:sz w:val="21"/>
                <w:szCs w:val="21"/>
              </w:rPr>
              <w:t>《金属非金属矿山安全规程》（GB16423-2020）</w:t>
            </w:r>
          </w:p>
          <w:p w14:paraId="7EB27ED1">
            <w:pPr>
              <w:keepNext/>
              <w:spacing w:line="240" w:lineRule="auto"/>
              <w:ind w:firstLine="0" w:firstLineChars="0"/>
              <w:jc w:val="center"/>
              <w:rPr>
                <w:rFonts w:hint="eastAsia" w:ascii="宋体" w:hAnsi="宋体" w:cs="宋体"/>
                <w:color w:val="000000"/>
                <w:sz w:val="21"/>
                <w:szCs w:val="21"/>
              </w:rPr>
            </w:pPr>
            <w:r>
              <w:rPr>
                <w:rFonts w:hint="eastAsia" w:ascii="宋体" w:hAnsi="宋体" w:cs="宋体"/>
                <w:color w:val="000000"/>
                <w:sz w:val="21"/>
                <w:szCs w:val="21"/>
              </w:rPr>
              <w:t>第</w:t>
            </w:r>
            <w:r>
              <w:rPr>
                <w:rFonts w:hint="eastAsia" w:ascii="宋体" w:hAnsi="宋体" w:cs="宋体"/>
                <w:color w:val="000000"/>
                <w:sz w:val="21"/>
                <w:szCs w:val="21"/>
                <w:lang w:val="en-US" w:eastAsia="zh-CN"/>
              </w:rPr>
              <w:t>5.</w:t>
            </w:r>
            <w:r>
              <w:rPr>
                <w:rFonts w:hint="eastAsia" w:ascii="宋体" w:hAnsi="宋体" w:cs="宋体"/>
                <w:color w:val="000000"/>
                <w:sz w:val="21"/>
                <w:szCs w:val="21"/>
              </w:rPr>
              <w:t>6.</w:t>
            </w:r>
            <w:r>
              <w:rPr>
                <w:rFonts w:hint="eastAsia" w:ascii="宋体" w:hAnsi="宋体" w:cs="宋体"/>
                <w:color w:val="000000"/>
                <w:sz w:val="21"/>
                <w:szCs w:val="21"/>
                <w:lang w:val="en-US" w:eastAsia="zh-CN"/>
              </w:rPr>
              <w:t>3.3</w:t>
            </w:r>
            <w:r>
              <w:rPr>
                <w:rFonts w:hint="eastAsia" w:ascii="宋体" w:hAnsi="宋体" w:cs="宋体"/>
                <w:color w:val="000000"/>
                <w:sz w:val="21"/>
                <w:szCs w:val="21"/>
              </w:rPr>
              <w:t>条</w:t>
            </w:r>
          </w:p>
        </w:tc>
        <w:tc>
          <w:tcPr>
            <w:tcW w:w="848" w:type="pct"/>
            <w:tcBorders>
              <w:tl2br w:val="nil"/>
              <w:tr2bl w:val="nil"/>
            </w:tcBorders>
            <w:noWrap w:val="0"/>
            <w:vAlign w:val="center"/>
          </w:tcPr>
          <w:p w14:paraId="6E4D9374">
            <w:pPr>
              <w:spacing w:line="240" w:lineRule="auto"/>
              <w:ind w:left="0" w:leftChars="0" w:firstLine="0" w:firstLineChars="0"/>
              <w:jc w:val="both"/>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初步设计</w:t>
            </w:r>
            <w:r>
              <w:rPr>
                <w:rFonts w:hint="eastAsia" w:ascii="宋体" w:hAnsi="宋体" w:eastAsia="宋体" w:cs="宋体"/>
                <w:color w:val="auto"/>
                <w:sz w:val="21"/>
                <w:szCs w:val="21"/>
              </w:rPr>
              <w:t>中未明确。</w:t>
            </w:r>
          </w:p>
        </w:tc>
        <w:tc>
          <w:tcPr>
            <w:tcW w:w="626" w:type="pct"/>
            <w:tcBorders>
              <w:tl2br w:val="nil"/>
              <w:tr2bl w:val="nil"/>
            </w:tcBorders>
            <w:noWrap w:val="0"/>
            <w:vAlign w:val="center"/>
          </w:tcPr>
          <w:p w14:paraId="55A3837C">
            <w:pPr>
              <w:spacing w:line="240" w:lineRule="auto"/>
              <w:ind w:left="0" w:leftChars="0" w:right="0" w:rightChars="0" w:firstLine="0" w:firstLineChars="0"/>
              <w:jc w:val="center"/>
              <w:rPr>
                <w:rFonts w:hint="eastAsia" w:eastAsia="宋体" w:cs="宋体"/>
                <w:caps w:val="0"/>
                <w:color w:val="auto"/>
                <w:sz w:val="21"/>
                <w:szCs w:val="21"/>
                <w:shd w:val="clear" w:color="auto" w:fill="auto"/>
                <w:lang w:val="en-US" w:eastAsia="zh-CN"/>
              </w:rPr>
            </w:pPr>
            <w:r>
              <w:rPr>
                <w:rFonts w:hint="eastAsia" w:eastAsia="宋体" w:cs="宋体"/>
                <w:caps w:val="0"/>
                <w:color w:val="auto"/>
                <w:sz w:val="21"/>
                <w:szCs w:val="21"/>
                <w:shd w:val="clear" w:color="auto" w:fill="auto"/>
                <w:lang w:val="en-US" w:eastAsia="zh-CN"/>
              </w:rPr>
              <w:t>不符合</w:t>
            </w:r>
          </w:p>
        </w:tc>
      </w:tr>
      <w:tr w14:paraId="305BB6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23" w:hRule="atLeast"/>
          <w:jc w:val="center"/>
        </w:trPr>
        <w:tc>
          <w:tcPr>
            <w:tcW w:w="244" w:type="pct"/>
            <w:tcBorders>
              <w:tl2br w:val="nil"/>
              <w:tr2bl w:val="nil"/>
            </w:tcBorders>
            <w:noWrap w:val="0"/>
            <w:vAlign w:val="center"/>
          </w:tcPr>
          <w:p w14:paraId="5F12A0D7">
            <w:pPr>
              <w:keepNext w:val="0"/>
              <w:keepLines w:val="0"/>
              <w:pageBreakBefore w:val="0"/>
              <w:widowControl w:val="0"/>
              <w:numPr>
                <w:ilvl w:val="0"/>
                <w:numId w:val="56"/>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2169" w:type="pct"/>
            <w:tcBorders>
              <w:tl2br w:val="nil"/>
              <w:tr2bl w:val="nil"/>
            </w:tcBorders>
            <w:noWrap w:val="0"/>
            <w:vAlign w:val="center"/>
          </w:tcPr>
          <w:p w14:paraId="1BDA73C6">
            <w:pPr>
              <w:keepNext/>
              <w:spacing w:line="240" w:lineRule="auto"/>
              <w:ind w:firstLine="0" w:firstLineChars="0"/>
              <w:rPr>
                <w:rFonts w:hint="eastAsia" w:ascii="宋体" w:hAnsi="宋体" w:cs="宋体"/>
                <w:sz w:val="21"/>
                <w:szCs w:val="21"/>
                <w:lang w:val="en-US" w:eastAsia="zh-CN"/>
              </w:rPr>
            </w:pPr>
            <w:r>
              <w:rPr>
                <w:rFonts w:hint="eastAsia" w:ascii="宋体" w:hAnsi="宋体" w:cs="宋体"/>
                <w:sz w:val="21"/>
                <w:szCs w:val="21"/>
                <w:lang w:val="en-US" w:eastAsia="zh-CN"/>
              </w:rPr>
              <w:t>移动式非架空照明线路应采用橡套软电缆。</w:t>
            </w:r>
          </w:p>
        </w:tc>
        <w:tc>
          <w:tcPr>
            <w:tcW w:w="1111" w:type="pct"/>
            <w:tcBorders>
              <w:tl2br w:val="nil"/>
              <w:tr2bl w:val="nil"/>
            </w:tcBorders>
            <w:noWrap w:val="0"/>
            <w:vAlign w:val="center"/>
          </w:tcPr>
          <w:p w14:paraId="5C4B3515">
            <w:pPr>
              <w:keepNext/>
              <w:spacing w:line="240" w:lineRule="auto"/>
              <w:ind w:firstLine="0" w:firstLineChars="0"/>
              <w:jc w:val="center"/>
              <w:rPr>
                <w:rFonts w:ascii="宋体" w:hAnsi="宋体" w:cs="宋体"/>
                <w:color w:val="000000"/>
                <w:sz w:val="21"/>
                <w:szCs w:val="21"/>
              </w:rPr>
            </w:pPr>
            <w:r>
              <w:rPr>
                <w:rFonts w:hint="eastAsia" w:ascii="宋体" w:hAnsi="宋体" w:cs="宋体"/>
                <w:color w:val="000000"/>
                <w:sz w:val="21"/>
                <w:szCs w:val="21"/>
              </w:rPr>
              <w:t>《金属非金属矿山安全规程》（GB16423-2020）</w:t>
            </w:r>
          </w:p>
          <w:p w14:paraId="6722CF2B">
            <w:pPr>
              <w:keepNext/>
              <w:spacing w:line="240" w:lineRule="auto"/>
              <w:ind w:firstLine="0" w:firstLineChars="0"/>
              <w:jc w:val="center"/>
              <w:rPr>
                <w:rFonts w:hint="eastAsia" w:ascii="宋体" w:hAnsi="宋体" w:cs="宋体"/>
                <w:color w:val="000000"/>
                <w:sz w:val="21"/>
                <w:szCs w:val="21"/>
              </w:rPr>
            </w:pPr>
            <w:r>
              <w:rPr>
                <w:rFonts w:hint="eastAsia" w:ascii="宋体" w:hAnsi="宋体" w:cs="宋体"/>
                <w:color w:val="000000"/>
                <w:sz w:val="21"/>
                <w:szCs w:val="21"/>
              </w:rPr>
              <w:t>第</w:t>
            </w:r>
            <w:r>
              <w:rPr>
                <w:rFonts w:hint="eastAsia" w:ascii="宋体" w:hAnsi="宋体" w:cs="宋体"/>
                <w:color w:val="000000"/>
                <w:sz w:val="21"/>
                <w:szCs w:val="21"/>
                <w:lang w:val="en-US" w:eastAsia="zh-CN"/>
              </w:rPr>
              <w:t>5.</w:t>
            </w:r>
            <w:r>
              <w:rPr>
                <w:rFonts w:hint="eastAsia" w:ascii="宋体" w:hAnsi="宋体" w:cs="宋体"/>
                <w:color w:val="000000"/>
                <w:sz w:val="21"/>
                <w:szCs w:val="21"/>
              </w:rPr>
              <w:t>6.</w:t>
            </w:r>
            <w:r>
              <w:rPr>
                <w:rFonts w:hint="eastAsia" w:ascii="宋体" w:hAnsi="宋体" w:cs="宋体"/>
                <w:color w:val="000000"/>
                <w:sz w:val="21"/>
                <w:szCs w:val="21"/>
                <w:lang w:val="en-US" w:eastAsia="zh-CN"/>
              </w:rPr>
              <w:t>3.4</w:t>
            </w:r>
            <w:r>
              <w:rPr>
                <w:rFonts w:hint="eastAsia" w:ascii="宋体" w:hAnsi="宋体" w:cs="宋体"/>
                <w:color w:val="000000"/>
                <w:sz w:val="21"/>
                <w:szCs w:val="21"/>
              </w:rPr>
              <w:t>条</w:t>
            </w:r>
          </w:p>
        </w:tc>
        <w:tc>
          <w:tcPr>
            <w:tcW w:w="848" w:type="pct"/>
            <w:tcBorders>
              <w:tl2br w:val="nil"/>
              <w:tr2bl w:val="nil"/>
            </w:tcBorders>
            <w:shd w:val="clear" w:color="auto" w:fill="auto"/>
            <w:noWrap w:val="0"/>
            <w:vAlign w:val="center"/>
          </w:tcPr>
          <w:p w14:paraId="08FC6C1A">
            <w:pPr>
              <w:spacing w:line="240" w:lineRule="auto"/>
              <w:ind w:left="0" w:leftChars="0" w:firstLine="0" w:firstLineChars="0"/>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初步设计</w:t>
            </w:r>
            <w:r>
              <w:rPr>
                <w:rFonts w:hint="eastAsia" w:ascii="宋体" w:hAnsi="宋体" w:eastAsia="宋体" w:cs="宋体"/>
                <w:color w:val="auto"/>
                <w:sz w:val="21"/>
                <w:szCs w:val="21"/>
              </w:rPr>
              <w:t>中未明确。</w:t>
            </w:r>
          </w:p>
        </w:tc>
        <w:tc>
          <w:tcPr>
            <w:tcW w:w="626" w:type="pct"/>
            <w:tcBorders>
              <w:tl2br w:val="nil"/>
              <w:tr2bl w:val="nil"/>
            </w:tcBorders>
            <w:shd w:val="clear" w:color="auto" w:fill="auto"/>
            <w:noWrap w:val="0"/>
            <w:vAlign w:val="center"/>
          </w:tcPr>
          <w:p w14:paraId="21278B67">
            <w:pPr>
              <w:spacing w:line="240" w:lineRule="auto"/>
              <w:ind w:left="0" w:leftChars="0" w:right="0" w:rightChars="0" w:firstLine="0" w:firstLineChars="0"/>
              <w:jc w:val="center"/>
              <w:rPr>
                <w:rFonts w:hint="eastAsia" w:ascii="Times New Roman" w:hAnsi="Times New Roman" w:eastAsia="宋体" w:cs="宋体"/>
                <w:caps w:val="0"/>
                <w:color w:val="auto"/>
                <w:kern w:val="2"/>
                <w:sz w:val="21"/>
                <w:szCs w:val="21"/>
                <w:shd w:val="clear" w:color="auto" w:fill="auto"/>
                <w:lang w:val="en-US" w:eastAsia="zh-CN" w:bidi="ar-SA"/>
              </w:rPr>
            </w:pPr>
            <w:r>
              <w:rPr>
                <w:rFonts w:hint="eastAsia" w:eastAsia="宋体" w:cs="宋体"/>
                <w:caps w:val="0"/>
                <w:color w:val="auto"/>
                <w:sz w:val="21"/>
                <w:szCs w:val="21"/>
                <w:shd w:val="clear" w:color="auto" w:fill="auto"/>
                <w:lang w:val="en-US" w:eastAsia="zh-CN"/>
              </w:rPr>
              <w:t>不符合</w:t>
            </w:r>
          </w:p>
        </w:tc>
      </w:tr>
      <w:tr w14:paraId="277492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44" w:type="pct"/>
            <w:tcBorders>
              <w:tl2br w:val="nil"/>
              <w:tr2bl w:val="nil"/>
            </w:tcBorders>
            <w:noWrap w:val="0"/>
            <w:vAlign w:val="center"/>
          </w:tcPr>
          <w:p w14:paraId="59D098F7">
            <w:pPr>
              <w:keepNext w:val="0"/>
              <w:keepLines w:val="0"/>
              <w:pageBreakBefore w:val="0"/>
              <w:widowControl w:val="0"/>
              <w:numPr>
                <w:ilvl w:val="0"/>
                <w:numId w:val="56"/>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2169" w:type="pct"/>
            <w:tcBorders>
              <w:tl2br w:val="nil"/>
              <w:tr2bl w:val="nil"/>
            </w:tcBorders>
            <w:noWrap w:val="0"/>
            <w:vAlign w:val="center"/>
          </w:tcPr>
          <w:p w14:paraId="7769988E">
            <w:pPr>
              <w:keepNext/>
              <w:spacing w:line="240" w:lineRule="auto"/>
              <w:ind w:firstLine="0" w:firstLineChars="0"/>
              <w:rPr>
                <w:rFonts w:ascii="宋体" w:hAnsi="宋体" w:cs="宋体"/>
                <w:color w:val="000000"/>
                <w:sz w:val="21"/>
                <w:szCs w:val="21"/>
              </w:rPr>
            </w:pPr>
            <w:r>
              <w:rPr>
                <w:rFonts w:hint="eastAsia" w:ascii="宋体" w:hAnsi="宋体" w:cs="宋体"/>
                <w:color w:val="000000"/>
                <w:sz w:val="21"/>
                <w:szCs w:val="21"/>
              </w:rPr>
              <w:t xml:space="preserve">矿山应建立电气作业安全制度，规定工作票、工作许可、监护、间断、转移和终结等工作程序。电气作业应遵守下列规定： </w:t>
            </w:r>
          </w:p>
          <w:p w14:paraId="5BAAF3C9">
            <w:pPr>
              <w:keepNext/>
              <w:spacing w:line="240" w:lineRule="auto"/>
              <w:ind w:firstLine="0" w:firstLineChars="0"/>
              <w:rPr>
                <w:rFonts w:ascii="宋体" w:hAnsi="宋体" w:cs="宋体"/>
                <w:color w:val="000000"/>
                <w:sz w:val="21"/>
                <w:szCs w:val="21"/>
              </w:rPr>
            </w:pPr>
            <w:r>
              <w:rPr>
                <w:rFonts w:hint="eastAsia" w:ascii="宋体" w:hAnsi="宋体" w:cs="宋体"/>
                <w:color w:val="000000"/>
                <w:sz w:val="21"/>
                <w:szCs w:val="21"/>
                <w:lang w:val="en-US" w:eastAsia="zh-CN"/>
              </w:rPr>
              <w:t>1）</w:t>
            </w:r>
            <w:r>
              <w:rPr>
                <w:rFonts w:hint="eastAsia" w:ascii="宋体" w:hAnsi="宋体" w:cs="宋体"/>
                <w:color w:val="000000"/>
                <w:sz w:val="21"/>
                <w:szCs w:val="21"/>
              </w:rPr>
              <w:t>电气设备和线路的操作维修应由专职电气工作人员进行，严禁非电气专业人员从事电气作业；</w:t>
            </w:r>
          </w:p>
          <w:p w14:paraId="6145FEE0">
            <w:pPr>
              <w:keepNext/>
              <w:spacing w:line="240" w:lineRule="auto"/>
              <w:ind w:firstLine="0" w:firstLineChars="0"/>
              <w:rPr>
                <w:rFonts w:ascii="宋体" w:hAnsi="宋体" w:cs="宋体"/>
                <w:color w:val="000000"/>
                <w:sz w:val="21"/>
                <w:szCs w:val="21"/>
              </w:rPr>
            </w:pPr>
            <w:r>
              <w:rPr>
                <w:rFonts w:hint="eastAsia" w:ascii="宋体" w:hAnsi="宋体" w:cs="宋体"/>
                <w:color w:val="000000"/>
                <w:sz w:val="21"/>
                <w:szCs w:val="21"/>
                <w:lang w:val="en-US" w:eastAsia="zh-CN"/>
              </w:rPr>
              <w:t>2）</w:t>
            </w:r>
            <w:r>
              <w:rPr>
                <w:rFonts w:hint="eastAsia" w:ascii="宋体" w:hAnsi="宋体" w:cs="宋体"/>
                <w:color w:val="000000"/>
                <w:sz w:val="21"/>
                <w:szCs w:val="21"/>
              </w:rPr>
              <w:t>不应单人作业；</w:t>
            </w:r>
          </w:p>
          <w:p w14:paraId="667402FD">
            <w:pPr>
              <w:keepNext/>
              <w:spacing w:line="240" w:lineRule="auto"/>
              <w:ind w:firstLine="0" w:firstLineChars="0"/>
              <w:rPr>
                <w:rFonts w:ascii="宋体" w:hAnsi="宋体" w:cs="宋体"/>
                <w:color w:val="000000"/>
                <w:sz w:val="21"/>
                <w:szCs w:val="21"/>
              </w:rPr>
            </w:pPr>
            <w:r>
              <w:rPr>
                <w:rFonts w:hint="eastAsia" w:ascii="宋体" w:hAnsi="宋体" w:cs="宋体"/>
                <w:color w:val="000000"/>
                <w:sz w:val="21"/>
                <w:szCs w:val="21"/>
                <w:lang w:val="en-US" w:eastAsia="zh-CN"/>
              </w:rPr>
              <w:t>3）</w:t>
            </w:r>
            <w:r>
              <w:rPr>
                <w:rFonts w:hint="eastAsia" w:ascii="宋体" w:hAnsi="宋体" w:cs="宋体"/>
                <w:color w:val="000000"/>
                <w:sz w:val="21"/>
                <w:szCs w:val="21"/>
              </w:rPr>
              <w:t>未经许可不得操作、移动和恢复电气设备；</w:t>
            </w:r>
          </w:p>
          <w:p w14:paraId="40F031A0">
            <w:pPr>
              <w:keepNext/>
              <w:spacing w:line="240" w:lineRule="auto"/>
              <w:ind w:firstLine="0" w:firstLineChars="0"/>
              <w:rPr>
                <w:rFonts w:ascii="宋体" w:hAnsi="宋体" w:cs="宋体"/>
                <w:color w:val="000000"/>
                <w:sz w:val="21"/>
                <w:szCs w:val="21"/>
              </w:rPr>
            </w:pPr>
            <w:r>
              <w:rPr>
                <w:rFonts w:hint="eastAsia" w:ascii="宋体" w:hAnsi="宋体" w:cs="宋体"/>
                <w:color w:val="000000"/>
                <w:sz w:val="21"/>
                <w:szCs w:val="21"/>
                <w:lang w:val="en-US" w:eastAsia="zh-CN"/>
              </w:rPr>
              <w:t>4）</w:t>
            </w:r>
            <w:r>
              <w:rPr>
                <w:rFonts w:hint="eastAsia" w:ascii="宋体" w:hAnsi="宋体" w:cs="宋体"/>
                <w:color w:val="000000"/>
                <w:sz w:val="21"/>
                <w:szCs w:val="21"/>
              </w:rPr>
              <w:t>紧急情况下可以为切断电源而操作电气设备；</w:t>
            </w:r>
          </w:p>
          <w:p w14:paraId="624774AE">
            <w:pPr>
              <w:keepNext/>
              <w:spacing w:line="240" w:lineRule="auto"/>
              <w:ind w:firstLine="0" w:firstLineChars="0"/>
              <w:rPr>
                <w:rFonts w:ascii="宋体" w:hAnsi="宋体" w:cs="宋体"/>
                <w:color w:val="000000"/>
                <w:sz w:val="21"/>
                <w:szCs w:val="21"/>
              </w:rPr>
            </w:pPr>
            <w:r>
              <w:rPr>
                <w:rFonts w:hint="eastAsia" w:ascii="宋体" w:hAnsi="宋体" w:cs="宋体"/>
                <w:color w:val="000000"/>
                <w:sz w:val="21"/>
                <w:szCs w:val="21"/>
                <w:lang w:val="en-US" w:eastAsia="zh-CN"/>
              </w:rPr>
              <w:t>5）</w:t>
            </w:r>
            <w:r>
              <w:rPr>
                <w:rFonts w:hint="eastAsia" w:ascii="宋体" w:hAnsi="宋体" w:cs="宋体"/>
                <w:color w:val="000000"/>
                <w:sz w:val="21"/>
                <w:szCs w:val="21"/>
              </w:rPr>
              <w:t>停电检修时，所有已切断的电源的开关把手均应加锁，并验电、放电、将线路接地，悬挂“有人作业，禁止送电”的警示牌。只有执行这项工作的人员才有权取下警示牌并送电；</w:t>
            </w:r>
          </w:p>
          <w:p w14:paraId="2936FDE3">
            <w:pPr>
              <w:keepNext/>
              <w:spacing w:line="240" w:lineRule="auto"/>
              <w:ind w:firstLine="0" w:firstLineChars="0"/>
              <w:rPr>
                <w:rFonts w:ascii="宋体" w:hAnsi="宋体" w:cs="宋体"/>
                <w:color w:val="000000"/>
                <w:sz w:val="21"/>
                <w:szCs w:val="21"/>
              </w:rPr>
            </w:pPr>
            <w:r>
              <w:rPr>
                <w:rFonts w:hint="eastAsia" w:ascii="宋体" w:hAnsi="宋体" w:cs="宋体"/>
                <w:color w:val="000000"/>
                <w:sz w:val="21"/>
                <w:szCs w:val="21"/>
                <w:lang w:val="en-US" w:eastAsia="zh-CN"/>
              </w:rPr>
              <w:t>6）</w:t>
            </w:r>
            <w:r>
              <w:rPr>
                <w:rFonts w:hint="eastAsia" w:ascii="宋体" w:hAnsi="宋体" w:cs="宋体"/>
                <w:color w:val="000000"/>
                <w:sz w:val="21"/>
                <w:szCs w:val="21"/>
              </w:rPr>
              <w:t>不应带电检修或搬动任何带电设备和电缆、电线；检修或搬动时，应先切断电源，并将导体完全放电和接地；</w:t>
            </w:r>
          </w:p>
          <w:p w14:paraId="217E3069">
            <w:pPr>
              <w:keepNext/>
              <w:spacing w:line="240" w:lineRule="auto"/>
              <w:ind w:firstLine="0" w:firstLineChars="0"/>
              <w:rPr>
                <w:rFonts w:ascii="宋体" w:hAnsi="宋体" w:cs="宋体"/>
                <w:color w:val="000000"/>
                <w:sz w:val="21"/>
                <w:szCs w:val="21"/>
              </w:rPr>
            </w:pPr>
            <w:r>
              <w:rPr>
                <w:rFonts w:hint="eastAsia" w:ascii="宋体" w:hAnsi="宋体" w:cs="宋体"/>
                <w:color w:val="000000"/>
                <w:sz w:val="21"/>
                <w:szCs w:val="21"/>
                <w:lang w:val="en-US" w:eastAsia="zh-CN"/>
              </w:rPr>
              <w:t>7）</w:t>
            </w:r>
            <w:r>
              <w:rPr>
                <w:rFonts w:hint="eastAsia" w:ascii="宋体" w:hAnsi="宋体" w:cs="宋体"/>
                <w:color w:val="000000"/>
                <w:sz w:val="21"/>
                <w:szCs w:val="21"/>
              </w:rPr>
              <w:t>移动设备司机离开时应切断设备电源；</w:t>
            </w:r>
          </w:p>
          <w:p w14:paraId="300417C7">
            <w:pPr>
              <w:keepNext/>
              <w:spacing w:line="240" w:lineRule="auto"/>
              <w:ind w:firstLine="0" w:firstLineChars="0"/>
              <w:rPr>
                <w:rFonts w:hint="eastAsia" w:ascii="宋体" w:hAnsi="宋体" w:eastAsia="宋体" w:cs="宋体"/>
                <w:color w:val="000000"/>
                <w:kern w:val="2"/>
                <w:sz w:val="21"/>
                <w:szCs w:val="21"/>
                <w:lang w:val="en-US" w:eastAsia="zh-CN" w:bidi="ar-SA"/>
              </w:rPr>
            </w:pPr>
            <w:r>
              <w:rPr>
                <w:rFonts w:hint="eastAsia" w:ascii="宋体" w:hAnsi="宋体" w:cs="宋体"/>
                <w:color w:val="000000"/>
                <w:sz w:val="21"/>
                <w:szCs w:val="21"/>
                <w:lang w:val="en-US" w:eastAsia="zh-CN"/>
              </w:rPr>
              <w:t>8）</w:t>
            </w:r>
            <w:r>
              <w:rPr>
                <w:rFonts w:hint="eastAsia" w:ascii="宋体" w:hAnsi="宋体" w:cs="宋体"/>
                <w:color w:val="000000"/>
                <w:sz w:val="21"/>
                <w:szCs w:val="21"/>
              </w:rPr>
              <w:t>接地电阻应每年测定1次，测定工作应在该地区最干燥、地下水位最低的季节进行。</w:t>
            </w:r>
          </w:p>
        </w:tc>
        <w:tc>
          <w:tcPr>
            <w:tcW w:w="1111" w:type="pct"/>
            <w:tcBorders>
              <w:tl2br w:val="nil"/>
              <w:tr2bl w:val="nil"/>
            </w:tcBorders>
            <w:noWrap w:val="0"/>
            <w:vAlign w:val="center"/>
          </w:tcPr>
          <w:p w14:paraId="72BE3439">
            <w:pPr>
              <w:keepNext/>
              <w:spacing w:line="240" w:lineRule="auto"/>
              <w:ind w:firstLine="0" w:firstLineChars="0"/>
              <w:jc w:val="center"/>
              <w:rPr>
                <w:rFonts w:hint="eastAsia" w:ascii="宋体" w:hAnsi="宋体" w:cs="宋体"/>
                <w:color w:val="000000"/>
                <w:sz w:val="21"/>
                <w:szCs w:val="21"/>
              </w:rPr>
            </w:pPr>
            <w:r>
              <w:rPr>
                <w:rFonts w:hint="eastAsia" w:ascii="宋体" w:hAnsi="宋体" w:cs="宋体"/>
                <w:color w:val="000000"/>
                <w:sz w:val="21"/>
                <w:szCs w:val="21"/>
              </w:rPr>
              <w:t>《金属非金属矿山安全规程》（GB16423-2020）</w:t>
            </w:r>
          </w:p>
          <w:p w14:paraId="32CF38A8">
            <w:pPr>
              <w:keepNext/>
              <w:spacing w:line="240" w:lineRule="auto"/>
              <w:ind w:firstLine="0" w:firstLineChars="0"/>
              <w:jc w:val="center"/>
              <w:rPr>
                <w:rFonts w:hint="eastAsia" w:ascii="宋体" w:hAnsi="宋体" w:eastAsia="宋体" w:cs="宋体"/>
                <w:color w:val="000000"/>
                <w:kern w:val="2"/>
                <w:sz w:val="21"/>
                <w:szCs w:val="21"/>
                <w:lang w:val="en-US" w:eastAsia="zh-CN" w:bidi="ar-SA"/>
              </w:rPr>
            </w:pPr>
            <w:r>
              <w:rPr>
                <w:rFonts w:hint="eastAsia" w:ascii="宋体" w:hAnsi="宋体" w:cs="宋体"/>
                <w:color w:val="000000"/>
                <w:sz w:val="21"/>
                <w:szCs w:val="21"/>
              </w:rPr>
              <w:t>第5.6.5.1条</w:t>
            </w:r>
          </w:p>
        </w:tc>
        <w:tc>
          <w:tcPr>
            <w:tcW w:w="848" w:type="pct"/>
            <w:tcBorders>
              <w:tl2br w:val="nil"/>
              <w:tr2bl w:val="nil"/>
            </w:tcBorders>
            <w:noWrap w:val="0"/>
            <w:vAlign w:val="center"/>
          </w:tcPr>
          <w:p w14:paraId="53FEFC11">
            <w:pPr>
              <w:spacing w:line="240" w:lineRule="auto"/>
              <w:ind w:left="0" w:leftChars="0" w:firstLine="0" w:firstLineChars="0"/>
              <w:jc w:val="both"/>
              <w:rPr>
                <w:rFonts w:hint="eastAsia" w:ascii="宋体" w:hAnsi="宋体" w:eastAsia="宋体" w:cs="宋体"/>
                <w:color w:val="FF0000"/>
                <w:kern w:val="2"/>
                <w:sz w:val="21"/>
                <w:szCs w:val="21"/>
                <w:lang w:val="en-US" w:eastAsia="zh-CN" w:bidi="ar-SA"/>
              </w:rPr>
            </w:pPr>
            <w:r>
              <w:rPr>
                <w:rFonts w:hint="eastAsia" w:ascii="宋体" w:hAnsi="宋体" w:eastAsia="宋体" w:cs="宋体"/>
                <w:color w:val="auto"/>
                <w:sz w:val="21"/>
                <w:szCs w:val="21"/>
                <w:lang w:val="en-US" w:eastAsia="zh-CN"/>
              </w:rPr>
              <w:t>初步设计</w:t>
            </w:r>
            <w:r>
              <w:rPr>
                <w:rFonts w:hint="eastAsia" w:ascii="宋体" w:hAnsi="宋体" w:eastAsia="宋体" w:cs="宋体"/>
                <w:color w:val="auto"/>
                <w:sz w:val="21"/>
                <w:szCs w:val="21"/>
              </w:rPr>
              <w:t>中未明确。</w:t>
            </w:r>
          </w:p>
        </w:tc>
        <w:tc>
          <w:tcPr>
            <w:tcW w:w="626" w:type="pct"/>
            <w:tcBorders>
              <w:tl2br w:val="nil"/>
              <w:tr2bl w:val="nil"/>
            </w:tcBorders>
            <w:noWrap w:val="0"/>
            <w:vAlign w:val="center"/>
          </w:tcPr>
          <w:p w14:paraId="6D5C0995">
            <w:pPr>
              <w:spacing w:line="240" w:lineRule="auto"/>
              <w:ind w:left="0" w:leftChars="0" w:right="0" w:rightChars="0" w:firstLine="0" w:firstLineChars="0"/>
              <w:jc w:val="center"/>
              <w:rPr>
                <w:rFonts w:hint="eastAsia" w:ascii="宋体" w:hAnsi="宋体" w:eastAsia="宋体" w:cs="宋体"/>
                <w:color w:val="FF0000"/>
                <w:kern w:val="2"/>
                <w:sz w:val="21"/>
                <w:szCs w:val="21"/>
                <w:lang w:val="en-US" w:eastAsia="zh-CN" w:bidi="ar-SA"/>
              </w:rPr>
            </w:pPr>
            <w:r>
              <w:rPr>
                <w:rFonts w:hint="eastAsia" w:eastAsia="宋体" w:cs="宋体"/>
                <w:caps w:val="0"/>
                <w:color w:val="auto"/>
                <w:sz w:val="21"/>
                <w:szCs w:val="21"/>
                <w:shd w:val="clear" w:color="auto" w:fill="auto"/>
                <w:lang w:val="en-US" w:eastAsia="zh-CN"/>
              </w:rPr>
              <w:t>不符合</w:t>
            </w:r>
          </w:p>
        </w:tc>
      </w:tr>
      <w:tr w14:paraId="69D969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44" w:hRule="atLeast"/>
          <w:jc w:val="center"/>
        </w:trPr>
        <w:tc>
          <w:tcPr>
            <w:tcW w:w="244" w:type="pct"/>
            <w:tcBorders>
              <w:tl2br w:val="nil"/>
              <w:tr2bl w:val="nil"/>
            </w:tcBorders>
            <w:noWrap w:val="0"/>
            <w:vAlign w:val="center"/>
          </w:tcPr>
          <w:p w14:paraId="020D07FD">
            <w:pPr>
              <w:keepNext w:val="0"/>
              <w:keepLines w:val="0"/>
              <w:pageBreakBefore w:val="0"/>
              <w:widowControl w:val="0"/>
              <w:numPr>
                <w:ilvl w:val="0"/>
                <w:numId w:val="56"/>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2169" w:type="pct"/>
            <w:tcBorders>
              <w:tl2br w:val="nil"/>
              <w:tr2bl w:val="nil"/>
            </w:tcBorders>
            <w:noWrap w:val="0"/>
            <w:vAlign w:val="center"/>
          </w:tcPr>
          <w:p w14:paraId="4A5C6C69">
            <w:pPr>
              <w:keepNext/>
              <w:spacing w:line="240" w:lineRule="auto"/>
              <w:ind w:firstLine="0" w:firstLineChars="0"/>
              <w:rPr>
                <w:rFonts w:ascii="宋体" w:hAnsi="宋体" w:cs="宋体"/>
                <w:sz w:val="21"/>
                <w:szCs w:val="21"/>
              </w:rPr>
            </w:pPr>
            <w:r>
              <w:rPr>
                <w:rFonts w:hint="eastAsia" w:ascii="宋体" w:hAnsi="宋体" w:cs="宋体"/>
                <w:sz w:val="21"/>
                <w:szCs w:val="21"/>
              </w:rPr>
              <w:t>主变电所应符合下列规定：</w:t>
            </w:r>
          </w:p>
          <w:p w14:paraId="43741E95">
            <w:pPr>
              <w:keepNext/>
              <w:spacing w:line="240" w:lineRule="auto"/>
              <w:ind w:firstLine="0" w:firstLineChars="0"/>
              <w:rPr>
                <w:rFonts w:ascii="宋体" w:hAnsi="宋体" w:cs="宋体"/>
                <w:sz w:val="21"/>
                <w:szCs w:val="21"/>
              </w:rPr>
            </w:pPr>
            <w:r>
              <w:rPr>
                <w:rFonts w:hint="eastAsia" w:ascii="宋体" w:hAnsi="宋体" w:cs="宋体"/>
                <w:sz w:val="21"/>
                <w:szCs w:val="21"/>
                <w:lang w:val="en-US" w:eastAsia="zh-CN"/>
              </w:rPr>
              <w:t>1）</w:t>
            </w:r>
            <w:r>
              <w:rPr>
                <w:rFonts w:hint="eastAsia" w:ascii="宋体" w:hAnsi="宋体" w:cs="宋体"/>
                <w:sz w:val="21"/>
                <w:szCs w:val="21"/>
              </w:rPr>
              <w:t>有防雷、防火、防潮措施；</w:t>
            </w:r>
          </w:p>
          <w:p w14:paraId="7BDD387F">
            <w:pPr>
              <w:keepNext/>
              <w:spacing w:line="240" w:lineRule="auto"/>
              <w:ind w:firstLine="0" w:firstLineChars="0"/>
              <w:rPr>
                <w:rFonts w:ascii="宋体" w:hAnsi="宋体" w:cs="宋体"/>
                <w:sz w:val="21"/>
                <w:szCs w:val="21"/>
              </w:rPr>
            </w:pPr>
            <w:r>
              <w:rPr>
                <w:rFonts w:hint="eastAsia" w:ascii="宋体" w:hAnsi="宋体" w:cs="宋体"/>
                <w:sz w:val="21"/>
                <w:szCs w:val="21"/>
                <w:lang w:val="en-US" w:eastAsia="zh-CN"/>
              </w:rPr>
              <w:t>2）</w:t>
            </w:r>
            <w:r>
              <w:rPr>
                <w:rFonts w:hint="eastAsia" w:ascii="宋体" w:hAnsi="宋体" w:cs="宋体"/>
                <w:sz w:val="21"/>
                <w:szCs w:val="21"/>
              </w:rPr>
              <w:t>有防止小动物窜入的措施；</w:t>
            </w:r>
          </w:p>
          <w:p w14:paraId="65CC390F">
            <w:pPr>
              <w:keepNext/>
              <w:spacing w:line="240" w:lineRule="auto"/>
              <w:ind w:firstLine="0" w:firstLineChars="0"/>
              <w:rPr>
                <w:rFonts w:ascii="宋体" w:hAnsi="宋体" w:cs="宋体"/>
                <w:sz w:val="21"/>
                <w:szCs w:val="21"/>
              </w:rPr>
            </w:pPr>
            <w:r>
              <w:rPr>
                <w:rFonts w:hint="eastAsia" w:ascii="宋体" w:hAnsi="宋体" w:cs="宋体"/>
                <w:sz w:val="21"/>
                <w:szCs w:val="21"/>
                <w:lang w:val="en-US" w:eastAsia="zh-CN"/>
              </w:rPr>
              <w:t>3）</w:t>
            </w:r>
            <w:r>
              <w:rPr>
                <w:rFonts w:hint="eastAsia" w:ascii="宋体" w:hAnsi="宋体" w:cs="宋体"/>
                <w:sz w:val="21"/>
                <w:szCs w:val="21"/>
              </w:rPr>
              <w:t>有防止电缆燃烧的措施；</w:t>
            </w:r>
          </w:p>
          <w:p w14:paraId="44590943">
            <w:pPr>
              <w:keepNext/>
              <w:spacing w:line="240" w:lineRule="auto"/>
              <w:ind w:firstLine="0" w:firstLineChars="0"/>
              <w:rPr>
                <w:rFonts w:ascii="宋体" w:hAnsi="宋体" w:cs="宋体"/>
                <w:sz w:val="21"/>
                <w:szCs w:val="21"/>
              </w:rPr>
            </w:pPr>
            <w:r>
              <w:rPr>
                <w:rFonts w:hint="eastAsia" w:ascii="宋体" w:hAnsi="宋体" w:cs="宋体"/>
                <w:sz w:val="21"/>
                <w:szCs w:val="21"/>
                <w:lang w:val="en-US" w:eastAsia="zh-CN"/>
              </w:rPr>
              <w:t>4）</w:t>
            </w:r>
            <w:r>
              <w:rPr>
                <w:rFonts w:hint="eastAsia" w:ascii="宋体" w:hAnsi="宋体" w:cs="宋体"/>
                <w:sz w:val="21"/>
                <w:szCs w:val="21"/>
              </w:rPr>
              <w:t>所有电气设备正常不带电的金属外壳应有保护接地；</w:t>
            </w:r>
          </w:p>
          <w:p w14:paraId="463B16A9">
            <w:pPr>
              <w:keepNext/>
              <w:spacing w:line="240" w:lineRule="auto"/>
              <w:ind w:firstLine="0" w:firstLineChars="0"/>
              <w:rPr>
                <w:rFonts w:ascii="宋体" w:hAnsi="宋体" w:cs="宋体"/>
                <w:sz w:val="21"/>
                <w:szCs w:val="21"/>
              </w:rPr>
            </w:pPr>
            <w:r>
              <w:rPr>
                <w:rFonts w:hint="eastAsia" w:ascii="宋体" w:hAnsi="宋体" w:cs="宋体"/>
                <w:sz w:val="21"/>
                <w:szCs w:val="21"/>
                <w:lang w:val="en-US" w:eastAsia="zh-CN"/>
              </w:rPr>
              <w:t>5）</w:t>
            </w:r>
            <w:r>
              <w:rPr>
                <w:rFonts w:hint="eastAsia" w:ascii="宋体" w:hAnsi="宋体" w:cs="宋体"/>
                <w:sz w:val="21"/>
                <w:szCs w:val="21"/>
              </w:rPr>
              <w:t>带电的导线、设备、变压器、油开关附近不应有易燃易爆物品；</w:t>
            </w:r>
          </w:p>
          <w:p w14:paraId="261DDDC5">
            <w:pPr>
              <w:keepNext/>
              <w:spacing w:line="240" w:lineRule="auto"/>
              <w:ind w:firstLine="0" w:firstLineChars="0"/>
              <w:rPr>
                <w:rFonts w:hint="eastAsia" w:ascii="宋体" w:hAnsi="宋体" w:eastAsia="宋体" w:cs="宋体"/>
                <w:color w:val="000000"/>
                <w:kern w:val="2"/>
                <w:sz w:val="21"/>
                <w:szCs w:val="21"/>
                <w:lang w:val="en-US" w:eastAsia="zh-CN" w:bidi="ar-SA"/>
              </w:rPr>
            </w:pPr>
            <w:r>
              <w:rPr>
                <w:rFonts w:hint="eastAsia" w:ascii="宋体" w:hAnsi="宋体" w:cs="宋体"/>
                <w:sz w:val="21"/>
                <w:szCs w:val="21"/>
                <w:lang w:val="en-US" w:eastAsia="zh-CN"/>
              </w:rPr>
              <w:t>6）</w:t>
            </w:r>
            <w:r>
              <w:rPr>
                <w:rFonts w:hint="eastAsia" w:ascii="宋体" w:hAnsi="宋体" w:cs="宋体"/>
                <w:sz w:val="21"/>
                <w:szCs w:val="21"/>
              </w:rPr>
              <w:t>电气设备周围应有保护措施并设置警示标志。</w:t>
            </w:r>
          </w:p>
        </w:tc>
        <w:tc>
          <w:tcPr>
            <w:tcW w:w="1111" w:type="pct"/>
            <w:tcBorders>
              <w:tl2br w:val="nil"/>
              <w:tr2bl w:val="nil"/>
            </w:tcBorders>
            <w:noWrap w:val="0"/>
            <w:vAlign w:val="center"/>
          </w:tcPr>
          <w:p w14:paraId="51475E09">
            <w:pPr>
              <w:keepNext/>
              <w:spacing w:line="240" w:lineRule="auto"/>
              <w:ind w:firstLine="0" w:firstLineChars="0"/>
              <w:jc w:val="center"/>
              <w:rPr>
                <w:rFonts w:ascii="宋体" w:hAnsi="宋体" w:cs="宋体"/>
                <w:color w:val="000000"/>
                <w:sz w:val="21"/>
                <w:szCs w:val="21"/>
              </w:rPr>
            </w:pPr>
            <w:r>
              <w:rPr>
                <w:rFonts w:hint="eastAsia" w:ascii="宋体" w:hAnsi="宋体" w:cs="宋体"/>
                <w:color w:val="000000"/>
                <w:sz w:val="21"/>
                <w:szCs w:val="21"/>
              </w:rPr>
              <w:t>《金属非金属矿山安全规程》（GB16423-2020）</w:t>
            </w:r>
          </w:p>
          <w:p w14:paraId="465FBA54">
            <w:pPr>
              <w:keepNext/>
              <w:spacing w:line="240" w:lineRule="auto"/>
              <w:ind w:firstLine="0" w:firstLineChars="0"/>
              <w:jc w:val="center"/>
              <w:rPr>
                <w:rFonts w:hint="eastAsia" w:ascii="宋体" w:hAnsi="宋体" w:eastAsia="宋体" w:cs="宋体"/>
                <w:color w:val="000000"/>
                <w:kern w:val="2"/>
                <w:sz w:val="21"/>
                <w:szCs w:val="21"/>
                <w:lang w:val="en-US" w:eastAsia="zh-CN" w:bidi="ar-SA"/>
              </w:rPr>
            </w:pPr>
            <w:r>
              <w:rPr>
                <w:rFonts w:hint="eastAsia" w:ascii="宋体" w:hAnsi="宋体" w:cs="宋体"/>
                <w:color w:val="000000"/>
                <w:sz w:val="21"/>
                <w:szCs w:val="21"/>
              </w:rPr>
              <w:t>第5.6.5.2条</w:t>
            </w:r>
          </w:p>
        </w:tc>
        <w:tc>
          <w:tcPr>
            <w:tcW w:w="848" w:type="pct"/>
            <w:tcBorders>
              <w:tl2br w:val="nil"/>
              <w:tr2bl w:val="nil"/>
            </w:tcBorders>
            <w:noWrap w:val="0"/>
            <w:vAlign w:val="center"/>
          </w:tcPr>
          <w:p w14:paraId="39BB497B">
            <w:pPr>
              <w:spacing w:line="240" w:lineRule="auto"/>
              <w:ind w:left="0" w:leftChars="0" w:firstLine="0" w:firstLineChars="0"/>
              <w:jc w:val="both"/>
              <w:rPr>
                <w:rFonts w:hint="eastAsia" w:ascii="宋体" w:hAnsi="宋体" w:eastAsia="宋体" w:cs="宋体"/>
                <w:color w:val="FF0000"/>
                <w:kern w:val="2"/>
                <w:sz w:val="21"/>
                <w:szCs w:val="21"/>
                <w:lang w:val="en-US" w:eastAsia="zh-CN" w:bidi="ar-SA"/>
              </w:rPr>
            </w:pPr>
            <w:r>
              <w:rPr>
                <w:rFonts w:hint="eastAsia" w:ascii="宋体" w:hAnsi="宋体" w:eastAsia="宋体" w:cs="宋体"/>
                <w:color w:val="auto"/>
                <w:sz w:val="21"/>
                <w:szCs w:val="21"/>
                <w:lang w:val="en-US" w:eastAsia="zh-CN"/>
              </w:rPr>
              <w:t>初步设计</w:t>
            </w:r>
            <w:r>
              <w:rPr>
                <w:rFonts w:hint="eastAsia" w:ascii="宋体" w:hAnsi="宋体" w:eastAsia="宋体" w:cs="宋体"/>
                <w:color w:val="auto"/>
                <w:sz w:val="21"/>
                <w:szCs w:val="21"/>
              </w:rPr>
              <w:t>中未明确。</w:t>
            </w:r>
          </w:p>
        </w:tc>
        <w:tc>
          <w:tcPr>
            <w:tcW w:w="626" w:type="pct"/>
            <w:tcBorders>
              <w:tl2br w:val="nil"/>
              <w:tr2bl w:val="nil"/>
            </w:tcBorders>
            <w:noWrap w:val="0"/>
            <w:vAlign w:val="center"/>
          </w:tcPr>
          <w:p w14:paraId="228918BE">
            <w:pPr>
              <w:spacing w:line="240" w:lineRule="auto"/>
              <w:ind w:left="0" w:leftChars="0" w:right="0" w:rightChars="0" w:firstLine="0" w:firstLineChars="0"/>
              <w:jc w:val="center"/>
              <w:rPr>
                <w:rFonts w:hint="eastAsia" w:ascii="宋体" w:hAnsi="宋体" w:eastAsia="宋体" w:cs="宋体"/>
                <w:color w:val="FF0000"/>
                <w:kern w:val="2"/>
                <w:sz w:val="21"/>
                <w:szCs w:val="21"/>
                <w:lang w:val="en-US" w:eastAsia="zh-CN" w:bidi="ar-SA"/>
              </w:rPr>
            </w:pPr>
            <w:r>
              <w:rPr>
                <w:rFonts w:hint="eastAsia" w:eastAsia="宋体" w:cs="宋体"/>
                <w:caps w:val="0"/>
                <w:color w:val="auto"/>
                <w:sz w:val="21"/>
                <w:szCs w:val="21"/>
                <w:shd w:val="clear" w:color="auto" w:fill="auto"/>
                <w:lang w:val="en-US" w:eastAsia="zh-CN"/>
              </w:rPr>
              <w:t>不符合</w:t>
            </w:r>
          </w:p>
        </w:tc>
      </w:tr>
      <w:tr w14:paraId="76B5FE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0" w:type="auto"/>
          </w:tcPr>
          <w:p w14:paraId="3D40CBDC">
            <w:pPr>
              <w:keepNext w:val="0"/>
              <w:keepLines w:val="0"/>
              <w:pageBreakBefore w:val="0"/>
              <w:widowControl w:val="0"/>
              <w:numPr>
                <w:ilvl w:val="0"/>
                <w:numId w:val="56"/>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0" w:type="auto"/>
            <w:vAlign w:val="center"/>
          </w:tcPr>
          <w:p w14:paraId="05223623">
            <w:pPr>
              <w:keepNext/>
              <w:spacing w:line="240" w:lineRule="auto"/>
              <w:ind w:firstLine="0" w:firstLineChars="0"/>
              <w:rPr>
                <w:rFonts w:hint="eastAsia" w:ascii="宋体" w:hAnsi="宋体" w:eastAsia="宋体" w:cs="宋体"/>
                <w:kern w:val="2"/>
                <w:sz w:val="21"/>
                <w:szCs w:val="21"/>
                <w:lang w:val="en-US" w:eastAsia="zh-CN" w:bidi="ar-SA"/>
              </w:rPr>
            </w:pPr>
            <w:r>
              <w:rPr>
                <w:rFonts w:hint="eastAsia" w:ascii="宋体" w:hAnsi="宋体" w:cs="宋体"/>
                <w:sz w:val="21"/>
                <w:szCs w:val="21"/>
              </w:rPr>
              <w:t>电气室内的各种电气设备控制装置上应注明编号和用途，并有停送电标志；电气室入口应悬挂</w:t>
            </w:r>
            <w:r>
              <w:rPr>
                <w:rFonts w:hint="eastAsia" w:ascii="宋体" w:hAnsi="宋体" w:cs="宋体"/>
                <w:sz w:val="21"/>
                <w:szCs w:val="21"/>
                <w:lang w:val="zh-CN"/>
              </w:rPr>
              <w:t>“非工</w:t>
            </w:r>
            <w:r>
              <w:rPr>
                <w:rFonts w:hint="eastAsia" w:ascii="宋体" w:hAnsi="宋体" w:cs="宋体"/>
                <w:sz w:val="21"/>
                <w:szCs w:val="21"/>
              </w:rPr>
              <w:t>作人员禁止入内”的标志牌，高压电气设备应悬挂“高压危险</w:t>
            </w:r>
            <w:r>
              <w:rPr>
                <w:rFonts w:hint="eastAsia" w:ascii="宋体" w:hAnsi="宋体" w:cs="宋体"/>
                <w:sz w:val="21"/>
                <w:szCs w:val="21"/>
                <w:lang w:val="zh-CN"/>
              </w:rPr>
              <w:t>”的标</w:t>
            </w:r>
            <w:r>
              <w:rPr>
                <w:rFonts w:hint="eastAsia" w:ascii="宋体" w:hAnsi="宋体" w:cs="宋体"/>
                <w:sz w:val="21"/>
                <w:szCs w:val="21"/>
              </w:rPr>
              <w:t>志牌，并应有照明。</w:t>
            </w:r>
          </w:p>
        </w:tc>
        <w:tc>
          <w:tcPr>
            <w:tcW w:w="1111" w:type="pct"/>
            <w:vAlign w:val="center"/>
          </w:tcPr>
          <w:p w14:paraId="0A3B6080">
            <w:pPr>
              <w:keepNext/>
              <w:spacing w:line="240" w:lineRule="auto"/>
              <w:ind w:firstLine="0" w:firstLineChars="0"/>
              <w:jc w:val="center"/>
              <w:rPr>
                <w:rFonts w:hint="eastAsia" w:ascii="宋体" w:hAnsi="宋体" w:cs="宋体"/>
                <w:color w:val="000000"/>
                <w:sz w:val="21"/>
                <w:szCs w:val="21"/>
              </w:rPr>
            </w:pPr>
            <w:r>
              <w:rPr>
                <w:rFonts w:hint="eastAsia" w:ascii="宋体" w:hAnsi="宋体" w:cs="宋体"/>
                <w:color w:val="000000"/>
                <w:sz w:val="21"/>
                <w:szCs w:val="21"/>
              </w:rPr>
              <w:t>《金属非金属矿山安全规程》（GB16423-2020）</w:t>
            </w:r>
          </w:p>
          <w:p w14:paraId="4759FF15">
            <w:pPr>
              <w:keepNext/>
              <w:spacing w:line="240" w:lineRule="auto"/>
              <w:ind w:firstLine="0" w:firstLineChars="0"/>
              <w:jc w:val="center"/>
              <w:rPr>
                <w:rFonts w:hint="eastAsia" w:ascii="宋体" w:hAnsi="宋体" w:eastAsia="宋体" w:cs="宋体"/>
                <w:color w:val="000000"/>
                <w:kern w:val="2"/>
                <w:sz w:val="21"/>
                <w:szCs w:val="21"/>
                <w:lang w:val="en-US" w:eastAsia="zh-CN" w:bidi="ar-SA"/>
              </w:rPr>
            </w:pPr>
            <w:r>
              <w:rPr>
                <w:rFonts w:hint="eastAsia" w:ascii="宋体" w:hAnsi="宋体" w:cs="宋体"/>
                <w:color w:val="000000"/>
                <w:sz w:val="21"/>
                <w:szCs w:val="21"/>
              </w:rPr>
              <w:t>第5.6.5.3条</w:t>
            </w:r>
          </w:p>
        </w:tc>
        <w:tc>
          <w:tcPr>
            <w:tcW w:w="848" w:type="pct"/>
            <w:vAlign w:val="center"/>
          </w:tcPr>
          <w:p w14:paraId="78CA2667">
            <w:pPr>
              <w:spacing w:line="240" w:lineRule="auto"/>
              <w:ind w:left="0" w:leftChars="0" w:firstLine="0" w:firstLineChars="0"/>
              <w:jc w:val="both"/>
              <w:rPr>
                <w:rFonts w:hint="eastAsia" w:ascii="宋体" w:hAnsi="宋体" w:eastAsia="宋体" w:cs="宋体"/>
                <w:color w:val="FF0000"/>
                <w:kern w:val="2"/>
                <w:sz w:val="21"/>
                <w:szCs w:val="21"/>
                <w:lang w:val="en-US" w:eastAsia="zh-CN" w:bidi="ar-SA"/>
              </w:rPr>
            </w:pPr>
            <w:r>
              <w:rPr>
                <w:rFonts w:hint="eastAsia" w:ascii="宋体" w:hAnsi="宋体" w:eastAsia="宋体" w:cs="宋体"/>
                <w:color w:val="auto"/>
                <w:sz w:val="21"/>
                <w:szCs w:val="21"/>
                <w:lang w:val="en-US" w:eastAsia="zh-CN"/>
              </w:rPr>
              <w:t>初步设计</w:t>
            </w:r>
            <w:r>
              <w:rPr>
                <w:rFonts w:hint="eastAsia" w:ascii="宋体" w:hAnsi="宋体" w:eastAsia="宋体" w:cs="宋体"/>
                <w:color w:val="auto"/>
                <w:sz w:val="21"/>
                <w:szCs w:val="21"/>
              </w:rPr>
              <w:t>中未明确。</w:t>
            </w:r>
          </w:p>
        </w:tc>
        <w:tc>
          <w:tcPr>
            <w:tcW w:w="0" w:type="auto"/>
            <w:vAlign w:val="center"/>
          </w:tcPr>
          <w:p w14:paraId="43EDA41B">
            <w:pPr>
              <w:spacing w:line="240" w:lineRule="auto"/>
              <w:ind w:left="0" w:leftChars="0" w:right="0" w:rightChars="0" w:firstLine="0" w:firstLineChars="0"/>
              <w:jc w:val="center"/>
              <w:rPr>
                <w:rFonts w:hint="eastAsia" w:ascii="宋体" w:hAnsi="宋体" w:eastAsia="宋体" w:cs="宋体"/>
                <w:color w:val="FF0000"/>
                <w:kern w:val="2"/>
                <w:sz w:val="21"/>
                <w:szCs w:val="21"/>
                <w:lang w:val="en-US" w:eastAsia="zh-CN" w:bidi="ar-SA"/>
              </w:rPr>
            </w:pPr>
            <w:r>
              <w:rPr>
                <w:rFonts w:hint="eastAsia" w:eastAsia="宋体" w:cs="宋体"/>
                <w:caps w:val="0"/>
                <w:color w:val="auto"/>
                <w:sz w:val="21"/>
                <w:szCs w:val="21"/>
                <w:shd w:val="clear" w:color="auto" w:fill="auto"/>
                <w:lang w:val="en-US" w:eastAsia="zh-CN"/>
              </w:rPr>
              <w:t>不符合</w:t>
            </w:r>
          </w:p>
        </w:tc>
      </w:tr>
      <w:tr w14:paraId="4CA570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55" w:hRule="atLeast"/>
          <w:jc w:val="center"/>
        </w:trPr>
        <w:tc>
          <w:tcPr>
            <w:tcW w:w="0" w:type="auto"/>
          </w:tcPr>
          <w:p w14:paraId="3980ADF4">
            <w:pPr>
              <w:keepNext w:val="0"/>
              <w:keepLines w:val="0"/>
              <w:pageBreakBefore w:val="0"/>
              <w:widowControl w:val="0"/>
              <w:numPr>
                <w:ilvl w:val="0"/>
                <w:numId w:val="56"/>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0" w:type="auto"/>
            <w:vAlign w:val="center"/>
          </w:tcPr>
          <w:p w14:paraId="5858E064">
            <w:pPr>
              <w:keepNext/>
              <w:spacing w:line="240" w:lineRule="auto"/>
              <w:ind w:firstLine="0" w:firstLineChars="0"/>
              <w:rPr>
                <w:rFonts w:ascii="宋体" w:hAnsi="宋体" w:cs="宋体"/>
                <w:sz w:val="21"/>
                <w:szCs w:val="21"/>
              </w:rPr>
            </w:pPr>
            <w:r>
              <w:rPr>
                <w:rFonts w:hint="eastAsia" w:ascii="宋体" w:hAnsi="宋体" w:cs="宋体"/>
                <w:sz w:val="21"/>
                <w:szCs w:val="21"/>
              </w:rPr>
              <w:t>操作电气设备应遵守下列规定：</w:t>
            </w:r>
          </w:p>
          <w:p w14:paraId="024C358F">
            <w:pPr>
              <w:keepNext/>
              <w:spacing w:line="240" w:lineRule="auto"/>
              <w:ind w:firstLine="0" w:firstLineChars="0"/>
              <w:rPr>
                <w:rFonts w:ascii="宋体" w:hAnsi="宋体" w:cs="宋体"/>
                <w:sz w:val="21"/>
                <w:szCs w:val="21"/>
              </w:rPr>
            </w:pPr>
            <w:r>
              <w:rPr>
                <w:rFonts w:hint="eastAsia" w:ascii="宋体" w:hAnsi="宋体" w:cs="宋体"/>
                <w:sz w:val="21"/>
                <w:szCs w:val="21"/>
                <w:lang w:val="en-US" w:eastAsia="zh-CN"/>
              </w:rPr>
              <w:t>1）</w:t>
            </w:r>
            <w:r>
              <w:rPr>
                <w:rFonts w:hint="eastAsia" w:ascii="宋体" w:hAnsi="宋体" w:cs="宋体"/>
                <w:sz w:val="21"/>
                <w:szCs w:val="21"/>
              </w:rPr>
              <w:t>非值班人员不应操作电气设备；</w:t>
            </w:r>
          </w:p>
          <w:p w14:paraId="47E4B555">
            <w:pPr>
              <w:keepNext/>
              <w:spacing w:line="240" w:lineRule="auto"/>
              <w:ind w:firstLine="0" w:firstLineChars="0"/>
              <w:rPr>
                <w:rFonts w:ascii="宋体" w:hAnsi="宋体" w:cs="宋体"/>
                <w:sz w:val="21"/>
                <w:szCs w:val="21"/>
              </w:rPr>
            </w:pPr>
            <w:r>
              <w:rPr>
                <w:rFonts w:hint="eastAsia" w:ascii="宋体" w:hAnsi="宋体" w:cs="宋体"/>
                <w:sz w:val="21"/>
                <w:szCs w:val="21"/>
                <w:lang w:val="en-US" w:eastAsia="zh-CN"/>
              </w:rPr>
              <w:t>2）</w:t>
            </w:r>
            <w:r>
              <w:rPr>
                <w:rFonts w:hint="eastAsia" w:ascii="宋体" w:hAnsi="宋体" w:cs="宋体"/>
                <w:sz w:val="21"/>
                <w:szCs w:val="21"/>
              </w:rPr>
              <w:t xml:space="preserve">手持式电气设备应有可靠的绝缘； </w:t>
            </w:r>
          </w:p>
          <w:p w14:paraId="23B09327">
            <w:pPr>
              <w:keepNext/>
              <w:spacing w:line="240" w:lineRule="auto"/>
              <w:ind w:firstLine="0" w:firstLineChars="0"/>
              <w:rPr>
                <w:rFonts w:ascii="宋体" w:hAnsi="宋体" w:cs="宋体"/>
                <w:sz w:val="21"/>
                <w:szCs w:val="21"/>
              </w:rPr>
            </w:pPr>
            <w:r>
              <w:rPr>
                <w:rFonts w:hint="eastAsia" w:ascii="宋体" w:hAnsi="宋体" w:cs="宋体"/>
                <w:sz w:val="21"/>
                <w:szCs w:val="21"/>
                <w:lang w:val="en-US" w:eastAsia="zh-CN"/>
              </w:rPr>
              <w:t>3）</w:t>
            </w:r>
            <w:r>
              <w:rPr>
                <w:rFonts w:hint="eastAsia" w:ascii="宋体" w:hAnsi="宋体" w:cs="宋体"/>
                <w:sz w:val="21"/>
                <w:szCs w:val="21"/>
              </w:rPr>
              <w:t>操作高压电气设备回路的工作人员应佩戴绝缘手套、穿电工绝缘靴或站在绝缘台、绝缘垫上；</w:t>
            </w:r>
          </w:p>
          <w:p w14:paraId="2D51237D">
            <w:pPr>
              <w:keepNext/>
              <w:spacing w:line="240" w:lineRule="auto"/>
              <w:ind w:firstLine="0" w:firstLineChars="0"/>
              <w:rPr>
                <w:rFonts w:ascii="宋体" w:hAnsi="宋体" w:cs="宋体"/>
                <w:sz w:val="21"/>
                <w:szCs w:val="21"/>
              </w:rPr>
            </w:pPr>
            <w:r>
              <w:rPr>
                <w:rFonts w:hint="eastAsia" w:ascii="宋体" w:hAnsi="宋体" w:cs="宋体"/>
                <w:sz w:val="21"/>
                <w:szCs w:val="21"/>
                <w:lang w:val="en-US" w:eastAsia="zh-CN"/>
              </w:rPr>
              <w:t>4）</w:t>
            </w:r>
            <w:r>
              <w:rPr>
                <w:rFonts w:hint="eastAsia" w:ascii="宋体" w:hAnsi="宋体" w:cs="宋体"/>
                <w:sz w:val="21"/>
                <w:szCs w:val="21"/>
              </w:rPr>
              <w:t xml:space="preserve">装卸高压熔断器应佩戴护目眼镜； </w:t>
            </w:r>
          </w:p>
          <w:p w14:paraId="7730E02E">
            <w:pPr>
              <w:keepNext/>
              <w:spacing w:line="240" w:lineRule="auto"/>
              <w:ind w:firstLine="0" w:firstLineChars="0"/>
              <w:rPr>
                <w:rFonts w:ascii="宋体" w:hAnsi="宋体" w:cs="宋体"/>
                <w:sz w:val="21"/>
                <w:szCs w:val="21"/>
              </w:rPr>
            </w:pPr>
            <w:r>
              <w:rPr>
                <w:rFonts w:hint="eastAsia" w:ascii="宋体" w:hAnsi="宋体" w:cs="宋体"/>
                <w:sz w:val="21"/>
                <w:szCs w:val="21"/>
                <w:lang w:val="en-US" w:eastAsia="zh-CN"/>
              </w:rPr>
              <w:t>5）</w:t>
            </w:r>
            <w:r>
              <w:rPr>
                <w:rFonts w:hint="eastAsia" w:ascii="宋体" w:hAnsi="宋体" w:cs="宋体"/>
                <w:sz w:val="21"/>
                <w:szCs w:val="21"/>
              </w:rPr>
              <w:t>雨天操作户外高压设备应使用带防雨罩的绝缘棒；</w:t>
            </w:r>
          </w:p>
          <w:p w14:paraId="66C1BB82">
            <w:pPr>
              <w:keepNext/>
              <w:spacing w:line="240" w:lineRule="auto"/>
              <w:ind w:firstLine="0" w:firstLineChars="0"/>
              <w:rPr>
                <w:rFonts w:hint="eastAsia" w:ascii="宋体" w:hAnsi="宋体" w:eastAsia="宋体" w:cs="宋体"/>
                <w:color w:val="000000"/>
                <w:kern w:val="2"/>
                <w:sz w:val="21"/>
                <w:szCs w:val="21"/>
                <w:lang w:val="en-US" w:eastAsia="zh-CN" w:bidi="ar-SA"/>
              </w:rPr>
            </w:pPr>
            <w:r>
              <w:rPr>
                <w:rFonts w:hint="eastAsia" w:ascii="宋体" w:hAnsi="宋体" w:cs="宋体"/>
                <w:sz w:val="21"/>
                <w:szCs w:val="21"/>
                <w:lang w:val="en-US" w:eastAsia="zh-CN"/>
              </w:rPr>
              <w:t>6）</w:t>
            </w:r>
            <w:r>
              <w:rPr>
                <w:rFonts w:hint="eastAsia" w:ascii="宋体" w:hAnsi="宋体" w:cs="宋体"/>
                <w:sz w:val="21"/>
                <w:szCs w:val="21"/>
              </w:rPr>
              <w:t>不应使用金属梯子。</w:t>
            </w:r>
          </w:p>
        </w:tc>
        <w:tc>
          <w:tcPr>
            <w:tcW w:w="1111" w:type="pct"/>
            <w:vAlign w:val="center"/>
          </w:tcPr>
          <w:p w14:paraId="00D5418B">
            <w:pPr>
              <w:keepNext/>
              <w:spacing w:line="240" w:lineRule="auto"/>
              <w:ind w:firstLine="0" w:firstLineChars="0"/>
              <w:jc w:val="center"/>
              <w:rPr>
                <w:rFonts w:hint="eastAsia" w:ascii="宋体" w:hAnsi="宋体" w:cs="宋体"/>
                <w:color w:val="000000"/>
                <w:sz w:val="21"/>
                <w:szCs w:val="21"/>
              </w:rPr>
            </w:pPr>
            <w:r>
              <w:rPr>
                <w:rFonts w:hint="eastAsia" w:ascii="宋体" w:hAnsi="宋体" w:cs="宋体"/>
                <w:color w:val="000000"/>
                <w:sz w:val="21"/>
                <w:szCs w:val="21"/>
              </w:rPr>
              <w:t>《金属非金属矿山安全规程》（GB16423-2020）</w:t>
            </w:r>
          </w:p>
          <w:p w14:paraId="594734D7">
            <w:pPr>
              <w:keepNext/>
              <w:spacing w:line="240" w:lineRule="auto"/>
              <w:ind w:firstLine="0" w:firstLineChars="0"/>
              <w:jc w:val="center"/>
              <w:rPr>
                <w:rFonts w:hint="eastAsia" w:ascii="宋体" w:hAnsi="宋体" w:eastAsia="宋体" w:cs="宋体"/>
                <w:color w:val="000000"/>
                <w:kern w:val="2"/>
                <w:sz w:val="21"/>
                <w:szCs w:val="21"/>
                <w:lang w:val="en-US" w:eastAsia="zh-CN" w:bidi="ar-SA"/>
              </w:rPr>
            </w:pPr>
            <w:r>
              <w:rPr>
                <w:rFonts w:hint="eastAsia" w:ascii="宋体" w:hAnsi="宋体" w:cs="宋体"/>
                <w:color w:val="000000"/>
                <w:sz w:val="21"/>
                <w:szCs w:val="21"/>
              </w:rPr>
              <w:t>第5.6.5.4条</w:t>
            </w:r>
          </w:p>
        </w:tc>
        <w:tc>
          <w:tcPr>
            <w:tcW w:w="848" w:type="pct"/>
            <w:vAlign w:val="center"/>
          </w:tcPr>
          <w:p w14:paraId="622AA1AA">
            <w:pPr>
              <w:spacing w:line="240" w:lineRule="auto"/>
              <w:ind w:left="0" w:leftChars="0" w:firstLine="0" w:firstLineChars="0"/>
              <w:jc w:val="both"/>
              <w:rPr>
                <w:rFonts w:hint="eastAsia" w:ascii="宋体" w:hAnsi="宋体" w:eastAsia="宋体" w:cs="宋体"/>
                <w:color w:val="FF0000"/>
                <w:kern w:val="2"/>
                <w:sz w:val="21"/>
                <w:szCs w:val="21"/>
                <w:lang w:val="en-US" w:eastAsia="zh-CN" w:bidi="ar-SA"/>
              </w:rPr>
            </w:pPr>
            <w:r>
              <w:rPr>
                <w:rFonts w:hint="eastAsia" w:ascii="宋体" w:hAnsi="宋体" w:eastAsia="宋体" w:cs="宋体"/>
                <w:color w:val="auto"/>
                <w:sz w:val="21"/>
                <w:szCs w:val="21"/>
                <w:lang w:val="en-US" w:eastAsia="zh-CN"/>
              </w:rPr>
              <w:t>初步设计</w:t>
            </w:r>
            <w:r>
              <w:rPr>
                <w:rFonts w:hint="eastAsia" w:ascii="宋体" w:hAnsi="宋体" w:eastAsia="宋体" w:cs="宋体"/>
                <w:color w:val="auto"/>
                <w:sz w:val="21"/>
                <w:szCs w:val="21"/>
              </w:rPr>
              <w:t>中未明确。</w:t>
            </w:r>
          </w:p>
        </w:tc>
        <w:tc>
          <w:tcPr>
            <w:tcW w:w="0" w:type="auto"/>
            <w:vAlign w:val="center"/>
          </w:tcPr>
          <w:p w14:paraId="29280551">
            <w:pPr>
              <w:spacing w:line="240" w:lineRule="auto"/>
              <w:ind w:left="0" w:leftChars="0" w:right="0" w:rightChars="0" w:firstLine="0" w:firstLineChars="0"/>
              <w:jc w:val="center"/>
              <w:rPr>
                <w:rFonts w:hint="eastAsia" w:ascii="宋体" w:hAnsi="宋体" w:eastAsia="宋体" w:cs="宋体"/>
                <w:color w:val="FF0000"/>
                <w:kern w:val="2"/>
                <w:sz w:val="21"/>
                <w:szCs w:val="21"/>
                <w:lang w:val="en-US" w:eastAsia="zh-CN" w:bidi="ar-SA"/>
              </w:rPr>
            </w:pPr>
            <w:r>
              <w:rPr>
                <w:rFonts w:hint="eastAsia" w:eastAsia="宋体" w:cs="宋体"/>
                <w:caps w:val="0"/>
                <w:color w:val="auto"/>
                <w:sz w:val="21"/>
                <w:szCs w:val="21"/>
                <w:shd w:val="clear" w:color="auto" w:fill="auto"/>
                <w:lang w:val="en-US" w:eastAsia="zh-CN"/>
              </w:rPr>
              <w:t>不符合</w:t>
            </w:r>
          </w:p>
        </w:tc>
      </w:tr>
      <w:tr w14:paraId="71FE7F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0" w:type="auto"/>
          </w:tcPr>
          <w:p w14:paraId="68F305F5">
            <w:pPr>
              <w:keepNext w:val="0"/>
              <w:keepLines w:val="0"/>
              <w:pageBreakBefore w:val="0"/>
              <w:widowControl w:val="0"/>
              <w:numPr>
                <w:ilvl w:val="0"/>
                <w:numId w:val="56"/>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0" w:type="auto"/>
            <w:vAlign w:val="center"/>
          </w:tcPr>
          <w:p w14:paraId="5B753E2E">
            <w:pPr>
              <w:keepNext/>
              <w:spacing w:line="240" w:lineRule="auto"/>
              <w:ind w:firstLine="0" w:firstLineChars="0"/>
              <w:rPr>
                <w:rFonts w:ascii="宋体" w:hAnsi="宋体" w:cs="宋体"/>
                <w:sz w:val="21"/>
                <w:szCs w:val="21"/>
              </w:rPr>
            </w:pPr>
            <w:r>
              <w:rPr>
                <w:rFonts w:hint="eastAsia" w:ascii="宋体" w:hAnsi="宋体" w:cs="宋体"/>
                <w:sz w:val="21"/>
                <w:szCs w:val="21"/>
              </w:rPr>
              <w:t>电气保护装置检验应遵守下列规定：</w:t>
            </w:r>
          </w:p>
          <w:p w14:paraId="6F8B421D">
            <w:pPr>
              <w:keepNext/>
              <w:spacing w:line="240" w:lineRule="auto"/>
              <w:ind w:firstLine="0" w:firstLineChars="0"/>
              <w:rPr>
                <w:rFonts w:ascii="宋体" w:hAnsi="宋体" w:cs="宋体"/>
                <w:sz w:val="21"/>
                <w:szCs w:val="21"/>
              </w:rPr>
            </w:pPr>
            <w:r>
              <w:rPr>
                <w:rFonts w:hint="eastAsia" w:ascii="宋体" w:hAnsi="宋体" w:cs="宋体"/>
                <w:sz w:val="21"/>
                <w:szCs w:val="21"/>
                <w:lang w:val="en-US" w:eastAsia="zh-CN"/>
              </w:rPr>
              <w:t>1）</w:t>
            </w:r>
            <w:r>
              <w:rPr>
                <w:rFonts w:hint="eastAsia" w:ascii="宋体" w:hAnsi="宋体" w:cs="宋体"/>
                <w:sz w:val="21"/>
                <w:szCs w:val="21"/>
              </w:rPr>
              <w:t>使用前应进行检验；</w:t>
            </w:r>
          </w:p>
          <w:p w14:paraId="0F9E6F61">
            <w:pPr>
              <w:keepNext/>
              <w:spacing w:line="240" w:lineRule="auto"/>
              <w:ind w:firstLine="0" w:firstLineChars="0"/>
              <w:rPr>
                <w:rFonts w:ascii="宋体" w:hAnsi="宋体" w:cs="宋体"/>
                <w:sz w:val="21"/>
                <w:szCs w:val="21"/>
              </w:rPr>
            </w:pPr>
            <w:r>
              <w:rPr>
                <w:rFonts w:hint="eastAsia" w:ascii="宋体" w:hAnsi="宋体" w:cs="宋体"/>
                <w:sz w:val="21"/>
                <w:szCs w:val="21"/>
                <w:lang w:val="en-US" w:eastAsia="zh-CN"/>
              </w:rPr>
              <w:t>2）</w:t>
            </w:r>
            <w:r>
              <w:rPr>
                <w:rFonts w:hint="eastAsia" w:ascii="宋体" w:hAnsi="宋体" w:cs="宋体"/>
                <w:sz w:val="21"/>
                <w:szCs w:val="21"/>
              </w:rPr>
              <w:t>在用设备每年至少检验1次；</w:t>
            </w:r>
          </w:p>
          <w:p w14:paraId="45C2D0A1">
            <w:pPr>
              <w:keepNext/>
              <w:spacing w:line="240" w:lineRule="auto"/>
              <w:ind w:firstLine="0" w:firstLineChars="0"/>
              <w:rPr>
                <w:rFonts w:ascii="宋体" w:hAnsi="宋体" w:cs="宋体"/>
                <w:sz w:val="21"/>
                <w:szCs w:val="21"/>
              </w:rPr>
            </w:pPr>
            <w:r>
              <w:rPr>
                <w:rFonts w:hint="eastAsia" w:ascii="宋体" w:hAnsi="宋体" w:cs="宋体"/>
                <w:sz w:val="21"/>
                <w:szCs w:val="21"/>
                <w:lang w:val="en-US" w:eastAsia="zh-CN"/>
              </w:rPr>
              <w:t>3）</w:t>
            </w:r>
            <w:r>
              <w:rPr>
                <w:rFonts w:hint="eastAsia" w:ascii="宋体" w:hAnsi="宋体" w:cs="宋体"/>
                <w:sz w:val="21"/>
                <w:szCs w:val="21"/>
              </w:rPr>
              <w:t xml:space="preserve">漏电保护装置每半年至少检验1次； </w:t>
            </w:r>
          </w:p>
          <w:p w14:paraId="0662E7C0">
            <w:pPr>
              <w:keepNext/>
              <w:spacing w:line="240" w:lineRule="auto"/>
              <w:ind w:firstLine="0" w:firstLineChars="0"/>
              <w:rPr>
                <w:rFonts w:ascii="宋体" w:hAnsi="宋体" w:cs="宋体"/>
                <w:sz w:val="21"/>
                <w:szCs w:val="21"/>
              </w:rPr>
            </w:pPr>
            <w:r>
              <w:rPr>
                <w:rFonts w:hint="eastAsia" w:ascii="宋体" w:hAnsi="宋体" w:cs="宋体"/>
                <w:sz w:val="21"/>
                <w:szCs w:val="21"/>
                <w:lang w:val="en-US" w:eastAsia="zh-CN"/>
              </w:rPr>
              <w:t>4）</w:t>
            </w:r>
            <w:r>
              <w:rPr>
                <w:rFonts w:hint="eastAsia" w:ascii="宋体" w:hAnsi="宋体" w:cs="宋体"/>
                <w:sz w:val="21"/>
                <w:szCs w:val="21"/>
              </w:rPr>
              <w:t xml:space="preserve">线路变动、负荷调整时应进行检验； </w:t>
            </w:r>
          </w:p>
          <w:p w14:paraId="26D6890E">
            <w:pPr>
              <w:keepNext/>
              <w:spacing w:line="240" w:lineRule="auto"/>
              <w:ind w:firstLine="0" w:firstLineChars="0"/>
              <w:rPr>
                <w:rFonts w:hint="eastAsia" w:ascii="宋体" w:hAnsi="宋体" w:eastAsia="宋体" w:cs="宋体"/>
                <w:color w:val="000000"/>
                <w:kern w:val="2"/>
                <w:sz w:val="21"/>
                <w:szCs w:val="21"/>
                <w:lang w:val="en-US" w:eastAsia="zh-CN" w:bidi="ar-SA"/>
              </w:rPr>
            </w:pPr>
            <w:r>
              <w:rPr>
                <w:rFonts w:hint="eastAsia" w:ascii="宋体" w:hAnsi="宋体" w:cs="宋体"/>
                <w:sz w:val="21"/>
                <w:szCs w:val="21"/>
                <w:lang w:val="en-US" w:eastAsia="zh-CN"/>
              </w:rPr>
              <w:t>5）</w:t>
            </w:r>
            <w:r>
              <w:rPr>
                <w:rFonts w:hint="eastAsia" w:ascii="宋体" w:hAnsi="宋体" w:cs="宋体"/>
                <w:sz w:val="21"/>
                <w:szCs w:val="21"/>
              </w:rPr>
              <w:t>应做好检验记录并存档。</w:t>
            </w:r>
          </w:p>
        </w:tc>
        <w:tc>
          <w:tcPr>
            <w:tcW w:w="1111" w:type="pct"/>
            <w:vAlign w:val="center"/>
          </w:tcPr>
          <w:p w14:paraId="5241B3C3">
            <w:pPr>
              <w:keepNext/>
              <w:spacing w:line="240" w:lineRule="auto"/>
              <w:ind w:firstLine="0" w:firstLineChars="0"/>
              <w:jc w:val="center"/>
              <w:rPr>
                <w:rFonts w:hint="eastAsia" w:ascii="宋体" w:hAnsi="宋体" w:cs="宋体"/>
                <w:color w:val="000000"/>
                <w:sz w:val="21"/>
                <w:szCs w:val="21"/>
              </w:rPr>
            </w:pPr>
            <w:r>
              <w:rPr>
                <w:rFonts w:hint="eastAsia" w:ascii="宋体" w:hAnsi="宋体" w:cs="宋体"/>
                <w:color w:val="000000"/>
                <w:sz w:val="21"/>
                <w:szCs w:val="21"/>
              </w:rPr>
              <w:t>《金属非金属矿山安全规程》（GB16423-2020）</w:t>
            </w:r>
          </w:p>
          <w:p w14:paraId="5E1FAC5B">
            <w:pPr>
              <w:keepNext/>
              <w:spacing w:line="240" w:lineRule="auto"/>
              <w:ind w:firstLine="0" w:firstLineChars="0"/>
              <w:jc w:val="center"/>
              <w:rPr>
                <w:rFonts w:hint="eastAsia" w:ascii="宋体" w:hAnsi="宋体" w:eastAsia="宋体" w:cs="宋体"/>
                <w:color w:val="000000"/>
                <w:kern w:val="2"/>
                <w:sz w:val="21"/>
                <w:szCs w:val="21"/>
                <w:lang w:val="en-US" w:eastAsia="zh-CN" w:bidi="ar-SA"/>
              </w:rPr>
            </w:pPr>
            <w:r>
              <w:rPr>
                <w:rFonts w:hint="eastAsia" w:ascii="宋体" w:hAnsi="宋体" w:cs="宋体"/>
                <w:color w:val="000000"/>
                <w:sz w:val="21"/>
                <w:szCs w:val="21"/>
              </w:rPr>
              <w:t>第5.6.5.5条</w:t>
            </w:r>
          </w:p>
        </w:tc>
        <w:tc>
          <w:tcPr>
            <w:tcW w:w="848" w:type="pct"/>
            <w:vAlign w:val="center"/>
          </w:tcPr>
          <w:p w14:paraId="1272FF9A">
            <w:pPr>
              <w:spacing w:line="240" w:lineRule="auto"/>
              <w:ind w:left="0" w:leftChars="0" w:firstLine="0" w:firstLineChars="0"/>
              <w:jc w:val="both"/>
              <w:rPr>
                <w:rFonts w:hint="eastAsia" w:ascii="宋体" w:hAnsi="宋体" w:eastAsia="宋体" w:cs="宋体"/>
                <w:color w:val="FF0000"/>
                <w:kern w:val="2"/>
                <w:sz w:val="21"/>
                <w:szCs w:val="21"/>
                <w:lang w:val="en-US" w:eastAsia="zh-CN" w:bidi="ar-SA"/>
              </w:rPr>
            </w:pPr>
            <w:r>
              <w:rPr>
                <w:rFonts w:hint="eastAsia" w:ascii="宋体" w:hAnsi="宋体" w:eastAsia="宋体" w:cs="宋体"/>
                <w:color w:val="auto"/>
                <w:sz w:val="21"/>
                <w:szCs w:val="21"/>
                <w:lang w:val="en-US" w:eastAsia="zh-CN"/>
              </w:rPr>
              <w:t>初步设计</w:t>
            </w:r>
            <w:r>
              <w:rPr>
                <w:rFonts w:hint="eastAsia" w:ascii="宋体" w:hAnsi="宋体" w:eastAsia="宋体" w:cs="宋体"/>
                <w:color w:val="auto"/>
                <w:sz w:val="21"/>
                <w:szCs w:val="21"/>
              </w:rPr>
              <w:t>中未明确。</w:t>
            </w:r>
          </w:p>
        </w:tc>
        <w:tc>
          <w:tcPr>
            <w:tcW w:w="0" w:type="auto"/>
            <w:vAlign w:val="center"/>
          </w:tcPr>
          <w:p w14:paraId="41C6E604">
            <w:pPr>
              <w:spacing w:line="240" w:lineRule="auto"/>
              <w:ind w:left="0" w:leftChars="0" w:right="0" w:rightChars="0" w:firstLine="0" w:firstLineChars="0"/>
              <w:jc w:val="center"/>
              <w:rPr>
                <w:rFonts w:hint="eastAsia" w:ascii="宋体" w:hAnsi="宋体" w:eastAsia="宋体" w:cs="宋体"/>
                <w:color w:val="FF0000"/>
                <w:kern w:val="2"/>
                <w:sz w:val="21"/>
                <w:szCs w:val="21"/>
                <w:lang w:val="en-US" w:eastAsia="zh-CN" w:bidi="ar-SA"/>
              </w:rPr>
            </w:pPr>
            <w:r>
              <w:rPr>
                <w:rFonts w:hint="eastAsia" w:eastAsia="宋体" w:cs="宋体"/>
                <w:caps w:val="0"/>
                <w:color w:val="auto"/>
                <w:sz w:val="21"/>
                <w:szCs w:val="21"/>
                <w:shd w:val="clear" w:color="auto" w:fill="auto"/>
                <w:lang w:val="en-US" w:eastAsia="zh-CN"/>
              </w:rPr>
              <w:t>不符合</w:t>
            </w:r>
          </w:p>
        </w:tc>
      </w:tr>
      <w:tr w14:paraId="0C7175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0" w:type="auto"/>
          </w:tcPr>
          <w:p w14:paraId="4A35CA52">
            <w:pPr>
              <w:keepNext w:val="0"/>
              <w:keepLines w:val="0"/>
              <w:pageBreakBefore w:val="0"/>
              <w:widowControl w:val="0"/>
              <w:numPr>
                <w:ilvl w:val="0"/>
                <w:numId w:val="56"/>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0" w:type="auto"/>
            <w:vAlign w:val="center"/>
          </w:tcPr>
          <w:p w14:paraId="563AA1E3">
            <w:pPr>
              <w:keepNext/>
              <w:spacing w:line="240" w:lineRule="auto"/>
              <w:ind w:firstLine="0" w:firstLineChars="0"/>
              <w:rPr>
                <w:rFonts w:hint="eastAsia" w:ascii="宋体" w:hAnsi="宋体" w:eastAsia="宋体" w:cs="宋体"/>
                <w:kern w:val="2"/>
                <w:sz w:val="21"/>
                <w:szCs w:val="21"/>
                <w:lang w:val="en-US" w:eastAsia="zh-CN" w:bidi="ar-SA"/>
              </w:rPr>
            </w:pPr>
            <w:r>
              <w:rPr>
                <w:rFonts w:hint="eastAsia" w:ascii="宋体" w:hAnsi="宋体" w:cs="宋体"/>
                <w:sz w:val="21"/>
                <w:szCs w:val="21"/>
              </w:rPr>
              <w:t>雷雨天气巡视室外高压设备应穿绝缘靴，不应使用伞具，不应靠近避雷装置。</w:t>
            </w:r>
          </w:p>
        </w:tc>
        <w:tc>
          <w:tcPr>
            <w:tcW w:w="1111" w:type="pct"/>
            <w:vAlign w:val="center"/>
          </w:tcPr>
          <w:p w14:paraId="42DEB143">
            <w:pPr>
              <w:keepNext/>
              <w:spacing w:line="240" w:lineRule="auto"/>
              <w:ind w:firstLine="0" w:firstLineChars="0"/>
              <w:jc w:val="center"/>
              <w:rPr>
                <w:rFonts w:hint="eastAsia" w:ascii="宋体" w:hAnsi="宋体" w:cs="宋体"/>
                <w:color w:val="000000"/>
                <w:sz w:val="21"/>
                <w:szCs w:val="21"/>
              </w:rPr>
            </w:pPr>
            <w:r>
              <w:rPr>
                <w:rFonts w:hint="eastAsia" w:ascii="宋体" w:hAnsi="宋体" w:cs="宋体"/>
                <w:color w:val="000000"/>
                <w:sz w:val="21"/>
                <w:szCs w:val="21"/>
              </w:rPr>
              <w:t>《金属非金属矿山安全规程》（GB16423-2020）</w:t>
            </w:r>
          </w:p>
          <w:p w14:paraId="09DFE9DD">
            <w:pPr>
              <w:keepNext/>
              <w:spacing w:line="240" w:lineRule="auto"/>
              <w:ind w:firstLine="0" w:firstLineChars="0"/>
              <w:jc w:val="center"/>
              <w:rPr>
                <w:rFonts w:hint="eastAsia" w:ascii="宋体" w:hAnsi="宋体" w:eastAsia="宋体" w:cs="宋体"/>
                <w:color w:val="000000"/>
                <w:kern w:val="2"/>
                <w:sz w:val="21"/>
                <w:szCs w:val="21"/>
                <w:lang w:val="en-US" w:eastAsia="zh-CN" w:bidi="ar-SA"/>
              </w:rPr>
            </w:pPr>
            <w:r>
              <w:rPr>
                <w:rFonts w:hint="eastAsia" w:ascii="宋体" w:hAnsi="宋体" w:cs="宋体"/>
                <w:color w:val="000000"/>
                <w:sz w:val="21"/>
                <w:szCs w:val="21"/>
              </w:rPr>
              <w:t>第5.6.5.6条</w:t>
            </w:r>
          </w:p>
        </w:tc>
        <w:tc>
          <w:tcPr>
            <w:tcW w:w="848" w:type="pct"/>
            <w:vAlign w:val="center"/>
          </w:tcPr>
          <w:p w14:paraId="71129F50">
            <w:pPr>
              <w:spacing w:line="240" w:lineRule="auto"/>
              <w:ind w:left="0" w:leftChars="0" w:firstLine="0" w:firstLineChars="0"/>
              <w:jc w:val="both"/>
              <w:rPr>
                <w:rFonts w:hint="eastAsia" w:ascii="宋体" w:hAnsi="宋体" w:eastAsia="宋体" w:cs="宋体"/>
                <w:color w:val="FF0000"/>
                <w:kern w:val="2"/>
                <w:sz w:val="21"/>
                <w:szCs w:val="21"/>
                <w:lang w:val="en-US" w:eastAsia="zh-CN" w:bidi="ar-SA"/>
              </w:rPr>
            </w:pPr>
            <w:r>
              <w:rPr>
                <w:rFonts w:hint="eastAsia" w:ascii="宋体" w:hAnsi="宋体" w:eastAsia="宋体" w:cs="宋体"/>
                <w:color w:val="auto"/>
                <w:sz w:val="21"/>
                <w:szCs w:val="21"/>
                <w:lang w:val="en-US" w:eastAsia="zh-CN"/>
              </w:rPr>
              <w:t>初步设计</w:t>
            </w:r>
            <w:r>
              <w:rPr>
                <w:rFonts w:hint="eastAsia" w:ascii="宋体" w:hAnsi="宋体" w:eastAsia="宋体" w:cs="宋体"/>
                <w:color w:val="auto"/>
                <w:sz w:val="21"/>
                <w:szCs w:val="21"/>
              </w:rPr>
              <w:t>中未明确。</w:t>
            </w:r>
          </w:p>
        </w:tc>
        <w:tc>
          <w:tcPr>
            <w:tcW w:w="0" w:type="auto"/>
            <w:vAlign w:val="center"/>
          </w:tcPr>
          <w:p w14:paraId="72AC6A41">
            <w:pPr>
              <w:spacing w:line="240" w:lineRule="auto"/>
              <w:ind w:left="0" w:leftChars="0" w:right="0" w:rightChars="0" w:firstLine="0" w:firstLineChars="0"/>
              <w:jc w:val="center"/>
              <w:rPr>
                <w:rFonts w:hint="eastAsia" w:ascii="宋体" w:hAnsi="宋体" w:eastAsia="宋体" w:cs="宋体"/>
                <w:color w:val="FF0000"/>
                <w:kern w:val="2"/>
                <w:sz w:val="21"/>
                <w:szCs w:val="21"/>
                <w:lang w:val="en-US" w:eastAsia="zh-CN" w:bidi="ar-SA"/>
              </w:rPr>
            </w:pPr>
            <w:r>
              <w:rPr>
                <w:rFonts w:hint="eastAsia" w:eastAsia="宋体" w:cs="宋体"/>
                <w:caps w:val="0"/>
                <w:color w:val="auto"/>
                <w:sz w:val="21"/>
                <w:szCs w:val="21"/>
                <w:shd w:val="clear" w:color="auto" w:fill="auto"/>
                <w:lang w:val="en-US" w:eastAsia="zh-CN"/>
              </w:rPr>
              <w:t>不符合</w:t>
            </w:r>
          </w:p>
        </w:tc>
      </w:tr>
      <w:tr w14:paraId="35AADF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0" w:type="auto"/>
          </w:tcPr>
          <w:p w14:paraId="0C5E648A">
            <w:pPr>
              <w:keepNext w:val="0"/>
              <w:keepLines w:val="0"/>
              <w:pageBreakBefore w:val="0"/>
              <w:widowControl w:val="0"/>
              <w:numPr>
                <w:ilvl w:val="0"/>
                <w:numId w:val="56"/>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0" w:type="auto"/>
            <w:vAlign w:val="center"/>
          </w:tcPr>
          <w:p w14:paraId="2F526ABE">
            <w:pPr>
              <w:keepNext/>
              <w:spacing w:line="240" w:lineRule="auto"/>
              <w:ind w:firstLine="0" w:firstLineChars="0"/>
              <w:rPr>
                <w:rFonts w:hint="eastAsia" w:ascii="宋体" w:hAnsi="宋体" w:eastAsia="宋体" w:cs="宋体"/>
                <w:kern w:val="2"/>
                <w:sz w:val="21"/>
                <w:szCs w:val="21"/>
                <w:lang w:val="en-US" w:eastAsia="zh-CN" w:bidi="ar-SA"/>
              </w:rPr>
            </w:pPr>
            <w:r>
              <w:rPr>
                <w:rFonts w:hint="eastAsia" w:ascii="宋体" w:hAnsi="宋体" w:cs="宋体"/>
                <w:sz w:val="21"/>
                <w:szCs w:val="21"/>
              </w:rPr>
              <w:t>架空线下不应停放设备，不应堆置物料。</w:t>
            </w:r>
          </w:p>
        </w:tc>
        <w:tc>
          <w:tcPr>
            <w:tcW w:w="1111" w:type="pct"/>
            <w:vAlign w:val="center"/>
          </w:tcPr>
          <w:p w14:paraId="58E2C30B">
            <w:pPr>
              <w:keepNext/>
              <w:spacing w:line="240" w:lineRule="auto"/>
              <w:ind w:firstLine="0" w:firstLineChars="0"/>
              <w:jc w:val="center"/>
              <w:rPr>
                <w:rFonts w:hint="eastAsia" w:ascii="宋体" w:hAnsi="宋体" w:cs="宋体"/>
                <w:color w:val="000000"/>
                <w:sz w:val="21"/>
                <w:szCs w:val="21"/>
              </w:rPr>
            </w:pPr>
            <w:r>
              <w:rPr>
                <w:rFonts w:hint="eastAsia" w:ascii="宋体" w:hAnsi="宋体" w:cs="宋体"/>
                <w:color w:val="000000"/>
                <w:sz w:val="21"/>
                <w:szCs w:val="21"/>
              </w:rPr>
              <w:t>《金属非金属矿山安全规程》（GB16423-2020）</w:t>
            </w:r>
          </w:p>
          <w:p w14:paraId="279B0E19">
            <w:pPr>
              <w:keepNext/>
              <w:spacing w:line="240" w:lineRule="auto"/>
              <w:ind w:firstLine="0" w:firstLineChars="0"/>
              <w:jc w:val="center"/>
              <w:rPr>
                <w:rFonts w:hint="eastAsia" w:ascii="宋体" w:hAnsi="宋体" w:eastAsia="宋体" w:cs="宋体"/>
                <w:color w:val="000000"/>
                <w:kern w:val="2"/>
                <w:sz w:val="21"/>
                <w:szCs w:val="21"/>
                <w:lang w:val="en-US" w:eastAsia="zh-CN" w:bidi="ar-SA"/>
              </w:rPr>
            </w:pPr>
            <w:r>
              <w:rPr>
                <w:rFonts w:hint="eastAsia" w:ascii="宋体" w:hAnsi="宋体" w:cs="宋体"/>
                <w:color w:val="000000"/>
                <w:sz w:val="21"/>
                <w:szCs w:val="21"/>
              </w:rPr>
              <w:t>第5.6.5.10条</w:t>
            </w:r>
          </w:p>
        </w:tc>
        <w:tc>
          <w:tcPr>
            <w:tcW w:w="848" w:type="pct"/>
            <w:vAlign w:val="center"/>
          </w:tcPr>
          <w:p w14:paraId="578203C9">
            <w:pPr>
              <w:spacing w:line="240" w:lineRule="auto"/>
              <w:ind w:left="0" w:leftChars="0" w:firstLine="0" w:firstLineChars="0"/>
              <w:jc w:val="both"/>
              <w:rPr>
                <w:rFonts w:hint="eastAsia" w:ascii="宋体" w:hAnsi="宋体" w:eastAsia="宋体" w:cs="宋体"/>
                <w:color w:val="FF0000"/>
                <w:kern w:val="2"/>
                <w:sz w:val="21"/>
                <w:szCs w:val="21"/>
                <w:lang w:val="en-US" w:eastAsia="zh-CN" w:bidi="ar-SA"/>
              </w:rPr>
            </w:pPr>
            <w:r>
              <w:rPr>
                <w:rFonts w:hint="eastAsia" w:ascii="宋体" w:hAnsi="宋体" w:eastAsia="宋体" w:cs="宋体"/>
                <w:color w:val="auto"/>
                <w:sz w:val="21"/>
                <w:szCs w:val="21"/>
                <w:lang w:val="en-US" w:eastAsia="zh-CN"/>
              </w:rPr>
              <w:t>初步设计</w:t>
            </w:r>
            <w:r>
              <w:rPr>
                <w:rFonts w:hint="eastAsia" w:ascii="宋体" w:hAnsi="宋体" w:eastAsia="宋体" w:cs="宋体"/>
                <w:color w:val="auto"/>
                <w:sz w:val="21"/>
                <w:szCs w:val="21"/>
              </w:rPr>
              <w:t>中未明确。</w:t>
            </w:r>
          </w:p>
        </w:tc>
        <w:tc>
          <w:tcPr>
            <w:tcW w:w="0" w:type="auto"/>
            <w:vAlign w:val="center"/>
          </w:tcPr>
          <w:p w14:paraId="2DC42CFD">
            <w:pPr>
              <w:spacing w:line="240" w:lineRule="auto"/>
              <w:ind w:left="0" w:leftChars="0" w:right="0" w:rightChars="0" w:firstLine="0" w:firstLineChars="0"/>
              <w:jc w:val="center"/>
              <w:rPr>
                <w:rFonts w:hint="eastAsia" w:ascii="宋体" w:hAnsi="宋体" w:eastAsia="宋体" w:cs="宋体"/>
                <w:color w:val="FF0000"/>
                <w:kern w:val="2"/>
                <w:sz w:val="21"/>
                <w:szCs w:val="21"/>
                <w:lang w:val="en-US" w:eastAsia="zh-CN" w:bidi="ar-SA"/>
              </w:rPr>
            </w:pPr>
            <w:r>
              <w:rPr>
                <w:rFonts w:hint="eastAsia" w:eastAsia="宋体" w:cs="宋体"/>
                <w:caps w:val="0"/>
                <w:color w:val="auto"/>
                <w:sz w:val="21"/>
                <w:szCs w:val="21"/>
                <w:shd w:val="clear" w:color="auto" w:fill="auto"/>
                <w:lang w:val="en-US" w:eastAsia="zh-CN"/>
              </w:rPr>
              <w:t>不符合</w:t>
            </w:r>
          </w:p>
        </w:tc>
      </w:tr>
      <w:tr w14:paraId="6E28DA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0" w:type="auto"/>
          </w:tcPr>
          <w:p w14:paraId="0E2EC0A2">
            <w:pPr>
              <w:keepNext w:val="0"/>
              <w:keepLines w:val="0"/>
              <w:pageBreakBefore w:val="0"/>
              <w:widowControl w:val="0"/>
              <w:numPr>
                <w:ilvl w:val="0"/>
                <w:numId w:val="56"/>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0" w:type="auto"/>
            <w:vAlign w:val="center"/>
          </w:tcPr>
          <w:p w14:paraId="4A999AC8">
            <w:pPr>
              <w:keepNext/>
              <w:spacing w:line="240" w:lineRule="auto"/>
              <w:ind w:firstLine="0" w:firstLineChars="0"/>
              <w:rPr>
                <w:rFonts w:hint="eastAsia" w:ascii="宋体" w:hAnsi="宋体" w:eastAsia="宋体" w:cs="宋体"/>
                <w:kern w:val="2"/>
                <w:sz w:val="21"/>
                <w:szCs w:val="21"/>
                <w:lang w:val="en-US" w:eastAsia="zh-CN" w:bidi="ar-SA"/>
              </w:rPr>
            </w:pPr>
            <w:r>
              <w:rPr>
                <w:rFonts w:hint="eastAsia" w:ascii="宋体" w:hAnsi="宋体" w:cs="宋体"/>
                <w:sz w:val="21"/>
                <w:szCs w:val="21"/>
              </w:rPr>
              <w:t>移动带电电缆前，应检查、确认电缆无破损，并佩戴好绝缘防护用品。绝缘损坏的橡套电缆，经修理、试验合格后方准使用。</w:t>
            </w:r>
          </w:p>
        </w:tc>
        <w:tc>
          <w:tcPr>
            <w:tcW w:w="1111" w:type="pct"/>
            <w:vAlign w:val="center"/>
          </w:tcPr>
          <w:p w14:paraId="4C3B0381">
            <w:pPr>
              <w:keepNext/>
              <w:spacing w:line="240" w:lineRule="auto"/>
              <w:ind w:firstLine="0" w:firstLineChars="0"/>
              <w:jc w:val="center"/>
              <w:rPr>
                <w:rFonts w:hint="eastAsia" w:ascii="宋体" w:hAnsi="宋体" w:cs="宋体"/>
                <w:color w:val="000000"/>
                <w:sz w:val="21"/>
                <w:szCs w:val="21"/>
              </w:rPr>
            </w:pPr>
            <w:r>
              <w:rPr>
                <w:rFonts w:hint="eastAsia" w:ascii="宋体" w:hAnsi="宋体" w:cs="宋体"/>
                <w:color w:val="000000"/>
                <w:sz w:val="21"/>
                <w:szCs w:val="21"/>
              </w:rPr>
              <w:t>《金属非金属矿山安全规程》（GB16423-2020）</w:t>
            </w:r>
          </w:p>
          <w:p w14:paraId="5456D42E">
            <w:pPr>
              <w:keepNext/>
              <w:spacing w:line="240" w:lineRule="auto"/>
              <w:ind w:firstLine="0" w:firstLineChars="0"/>
              <w:jc w:val="center"/>
              <w:rPr>
                <w:rFonts w:hint="eastAsia" w:ascii="宋体" w:hAnsi="宋体" w:eastAsia="宋体" w:cs="宋体"/>
                <w:color w:val="000000"/>
                <w:kern w:val="2"/>
                <w:sz w:val="21"/>
                <w:szCs w:val="21"/>
                <w:lang w:val="en-US" w:eastAsia="zh-CN" w:bidi="ar-SA"/>
              </w:rPr>
            </w:pPr>
            <w:r>
              <w:rPr>
                <w:rFonts w:hint="eastAsia" w:ascii="宋体" w:hAnsi="宋体" w:cs="宋体"/>
                <w:color w:val="000000"/>
                <w:sz w:val="21"/>
                <w:szCs w:val="21"/>
              </w:rPr>
              <w:t>第5.6.5.13条</w:t>
            </w:r>
          </w:p>
        </w:tc>
        <w:tc>
          <w:tcPr>
            <w:tcW w:w="848" w:type="pct"/>
            <w:vAlign w:val="center"/>
          </w:tcPr>
          <w:p w14:paraId="098F5033">
            <w:pPr>
              <w:spacing w:line="240" w:lineRule="auto"/>
              <w:ind w:left="0" w:leftChars="0" w:firstLine="0" w:firstLineChars="0"/>
              <w:jc w:val="both"/>
              <w:rPr>
                <w:rFonts w:hint="eastAsia" w:ascii="宋体" w:hAnsi="宋体" w:eastAsia="宋体" w:cs="宋体"/>
                <w:color w:val="FF0000"/>
                <w:kern w:val="2"/>
                <w:sz w:val="21"/>
                <w:szCs w:val="21"/>
                <w:lang w:val="en-US" w:eastAsia="zh-CN" w:bidi="ar-SA"/>
              </w:rPr>
            </w:pPr>
            <w:r>
              <w:rPr>
                <w:rFonts w:hint="eastAsia" w:ascii="宋体" w:hAnsi="宋体" w:eastAsia="宋体" w:cs="宋体"/>
                <w:color w:val="auto"/>
                <w:sz w:val="21"/>
                <w:szCs w:val="21"/>
                <w:lang w:val="en-US" w:eastAsia="zh-CN"/>
              </w:rPr>
              <w:t>初步设计</w:t>
            </w:r>
            <w:r>
              <w:rPr>
                <w:rFonts w:hint="eastAsia" w:ascii="宋体" w:hAnsi="宋体" w:eastAsia="宋体" w:cs="宋体"/>
                <w:color w:val="auto"/>
                <w:sz w:val="21"/>
                <w:szCs w:val="21"/>
              </w:rPr>
              <w:t>中未明确。</w:t>
            </w:r>
          </w:p>
        </w:tc>
        <w:tc>
          <w:tcPr>
            <w:tcW w:w="0" w:type="auto"/>
            <w:vAlign w:val="center"/>
          </w:tcPr>
          <w:p w14:paraId="27D3BED7">
            <w:pPr>
              <w:spacing w:line="240" w:lineRule="auto"/>
              <w:ind w:left="0" w:leftChars="0" w:right="0" w:rightChars="0" w:firstLine="0" w:firstLineChars="0"/>
              <w:jc w:val="center"/>
              <w:rPr>
                <w:rFonts w:hint="eastAsia" w:ascii="宋体" w:hAnsi="宋体" w:eastAsia="宋体" w:cs="宋体"/>
                <w:color w:val="FF0000"/>
                <w:kern w:val="2"/>
                <w:sz w:val="21"/>
                <w:szCs w:val="21"/>
                <w:lang w:val="en-US" w:eastAsia="zh-CN" w:bidi="ar-SA"/>
              </w:rPr>
            </w:pPr>
            <w:r>
              <w:rPr>
                <w:rFonts w:hint="eastAsia" w:eastAsia="宋体" w:cs="宋体"/>
                <w:caps w:val="0"/>
                <w:color w:val="auto"/>
                <w:sz w:val="21"/>
                <w:szCs w:val="21"/>
                <w:shd w:val="clear" w:color="auto" w:fill="auto"/>
                <w:lang w:val="en-US" w:eastAsia="zh-CN"/>
              </w:rPr>
              <w:t>不符合</w:t>
            </w:r>
          </w:p>
        </w:tc>
      </w:tr>
    </w:tbl>
    <w:p w14:paraId="3C1FBC00">
      <w:pPr>
        <w:pStyle w:val="4"/>
        <w:bidi w:val="0"/>
      </w:pPr>
      <w:bookmarkStart w:id="197" w:name="_Toc27915"/>
      <w:r>
        <w:rPr>
          <w:rFonts w:hint="eastAsia"/>
        </w:rPr>
        <w:t>《</w:t>
      </w:r>
      <w:r>
        <w:rPr>
          <w:rFonts w:hint="eastAsia"/>
          <w:lang w:eastAsia="zh-CN"/>
        </w:rPr>
        <w:t>初步设计</w:t>
      </w:r>
      <w:r>
        <w:rPr>
          <w:rFonts w:hint="eastAsia"/>
        </w:rPr>
        <w:t>》评述</w:t>
      </w:r>
      <w:bookmarkEnd w:id="197"/>
    </w:p>
    <w:p w14:paraId="7B366616">
      <w:pPr>
        <w:bidi w:val="0"/>
        <w:rPr>
          <w:rFonts w:hint="eastAsia" w:ascii="宋体" w:hAnsi="宋体" w:eastAsia="宋体" w:cs="宋体"/>
        </w:rPr>
      </w:pPr>
      <w:r>
        <w:rPr>
          <w:rFonts w:hint="eastAsia" w:ascii="宋体" w:hAnsi="宋体" w:eastAsia="宋体" w:cs="宋体"/>
          <w:color w:val="auto"/>
          <w:sz w:val="28"/>
        </w:rPr>
        <w:t>矿山生产、生活用电由附近村庄引入，供电线路截面为35mm</w:t>
      </w:r>
      <w:r>
        <w:rPr>
          <w:rFonts w:hint="eastAsia" w:ascii="宋体" w:hAnsi="宋体" w:eastAsia="宋体" w:cs="宋体"/>
          <w:color w:val="auto"/>
          <w:sz w:val="28"/>
          <w:lang w:val="en-US" w:eastAsia="zh-CN"/>
        </w:rPr>
        <w:t>²</w:t>
      </w:r>
      <w:r>
        <w:rPr>
          <w:rFonts w:hint="eastAsia" w:ascii="宋体" w:hAnsi="宋体" w:eastAsia="宋体" w:cs="宋体"/>
          <w:color w:val="auto"/>
          <w:sz w:val="28"/>
        </w:rPr>
        <w:t>的钢芯铝绞线，供电线路长度约为2000m，为单回路进线。矿山设备及生活用电设置于生活办公区旁250</w:t>
      </w:r>
      <w:r>
        <w:rPr>
          <w:rFonts w:hint="eastAsia" w:ascii="宋体" w:hAnsi="宋体" w:cs="宋体"/>
          <w:color w:val="auto"/>
          <w:sz w:val="28"/>
          <w:lang w:eastAsia="zh-CN"/>
        </w:rPr>
        <w:t>kV</w:t>
      </w:r>
      <w:r>
        <w:rPr>
          <w:rFonts w:hint="eastAsia" w:ascii="宋体" w:hAnsi="宋体" w:eastAsia="宋体" w:cs="宋体"/>
          <w:color w:val="auto"/>
          <w:sz w:val="28"/>
        </w:rPr>
        <w:t>A变压器供给，生产用电设置于2#破碎系统旁500</w:t>
      </w:r>
      <w:r>
        <w:rPr>
          <w:rFonts w:hint="eastAsia" w:ascii="宋体" w:hAnsi="宋体" w:cs="宋体"/>
          <w:color w:val="auto"/>
          <w:sz w:val="28"/>
          <w:lang w:eastAsia="zh-CN"/>
        </w:rPr>
        <w:t>kV</w:t>
      </w:r>
      <w:r>
        <w:rPr>
          <w:rFonts w:hint="eastAsia" w:ascii="宋体" w:hAnsi="宋体" w:eastAsia="宋体" w:cs="宋体"/>
          <w:color w:val="auto"/>
          <w:sz w:val="28"/>
        </w:rPr>
        <w:t>A变压器供给，进线电压10</w:t>
      </w:r>
      <w:r>
        <w:rPr>
          <w:rFonts w:hint="eastAsia" w:ascii="宋体" w:hAnsi="宋体" w:cs="宋体"/>
          <w:color w:val="auto"/>
          <w:sz w:val="28"/>
          <w:lang w:eastAsia="zh-CN"/>
        </w:rPr>
        <w:t>kV</w:t>
      </w:r>
      <w:r>
        <w:rPr>
          <w:rFonts w:hint="eastAsia" w:ascii="宋体" w:hAnsi="宋体" w:eastAsia="宋体" w:cs="宋体"/>
          <w:color w:val="auto"/>
          <w:sz w:val="28"/>
        </w:rPr>
        <w:t>，经变压器降压输出后使用：动力用电380V，生活用电220V。</w:t>
      </w:r>
    </w:p>
    <w:p w14:paraId="0511C41F">
      <w:pPr>
        <w:bidi w:val="0"/>
        <w:rPr>
          <w:rFonts w:hint="eastAsia" w:ascii="宋体" w:hAnsi="宋体" w:eastAsia="宋体" w:cs="宋体"/>
          <w:lang w:val="en-US" w:eastAsia="zh-CN"/>
        </w:rPr>
      </w:pPr>
      <w:r>
        <w:rPr>
          <w:rFonts w:hint="eastAsia" w:ascii="宋体" w:hAnsi="宋体" w:eastAsia="宋体" w:cs="宋体"/>
          <w:lang w:val="en-US" w:eastAsia="zh-CN"/>
        </w:rPr>
        <w:t>矿山</w:t>
      </w:r>
      <w:r>
        <w:rPr>
          <w:rFonts w:hint="eastAsia" w:ascii="宋体" w:hAnsi="宋体" w:eastAsia="宋体" w:cs="宋体"/>
        </w:rPr>
        <w:t>用电设备总装机容量估算为</w:t>
      </w:r>
      <w:r>
        <w:rPr>
          <w:rFonts w:hint="eastAsia" w:ascii="宋体" w:hAnsi="宋体" w:cs="宋体"/>
          <w:lang w:val="en-US" w:eastAsia="zh-CN"/>
        </w:rPr>
        <w:t>5</w:t>
      </w:r>
      <w:r>
        <w:rPr>
          <w:rFonts w:hint="eastAsia" w:ascii="宋体" w:hAnsi="宋体" w:eastAsia="宋体" w:cs="宋体"/>
          <w:lang w:val="en-US" w:eastAsia="zh-CN"/>
        </w:rPr>
        <w:t>19.6</w:t>
      </w:r>
      <w:r>
        <w:rPr>
          <w:rFonts w:hint="eastAsia" w:ascii="宋体" w:hAnsi="宋体" w:eastAsia="宋体" w:cs="宋体"/>
        </w:rPr>
        <w:t>kw，计算有功功率为</w:t>
      </w:r>
      <w:r>
        <w:rPr>
          <w:rFonts w:hint="eastAsia" w:ascii="宋体" w:hAnsi="宋体" w:eastAsia="宋体" w:cs="宋体"/>
          <w:lang w:val="en-US" w:eastAsia="zh-CN"/>
        </w:rPr>
        <w:t>5</w:t>
      </w:r>
      <w:r>
        <w:rPr>
          <w:rFonts w:hint="eastAsia" w:ascii="宋体" w:hAnsi="宋体" w:cs="宋体"/>
          <w:lang w:val="en-US" w:eastAsia="zh-CN"/>
        </w:rPr>
        <w:t>16.1</w:t>
      </w:r>
      <w:r>
        <w:rPr>
          <w:rFonts w:hint="eastAsia" w:ascii="宋体" w:hAnsi="宋体" w:eastAsia="宋体" w:cs="宋体"/>
          <w:lang w:val="en-US" w:eastAsia="zh-CN"/>
        </w:rPr>
        <w:t>6</w:t>
      </w:r>
      <w:r>
        <w:rPr>
          <w:rFonts w:hint="eastAsia" w:ascii="宋体" w:hAnsi="宋体" w:eastAsia="宋体" w:cs="宋体"/>
        </w:rPr>
        <w:t>kw，无功功率为</w:t>
      </w:r>
      <w:r>
        <w:rPr>
          <w:rFonts w:hint="eastAsia" w:ascii="宋体" w:hAnsi="宋体" w:eastAsia="宋体" w:cs="宋体"/>
          <w:lang w:val="en-US" w:eastAsia="zh-CN"/>
        </w:rPr>
        <w:t>462.22</w:t>
      </w:r>
      <w:r>
        <w:rPr>
          <w:rFonts w:hint="eastAsia" w:ascii="宋体" w:hAnsi="宋体" w:eastAsia="宋体" w:cs="宋体"/>
        </w:rPr>
        <w:t>kw，视在功率为</w:t>
      </w:r>
      <w:r>
        <w:rPr>
          <w:rFonts w:hint="eastAsia" w:ascii="宋体" w:hAnsi="宋体" w:eastAsia="宋体" w:cs="宋体"/>
          <w:lang w:val="en-US" w:eastAsia="zh-CN"/>
        </w:rPr>
        <w:t>688.22</w:t>
      </w:r>
      <w:r>
        <w:rPr>
          <w:rFonts w:hint="eastAsia" w:ascii="宋体" w:hAnsi="宋体" w:eastAsia="宋体" w:cs="宋体"/>
        </w:rPr>
        <w:t>kw。</w:t>
      </w:r>
      <w:r>
        <w:rPr>
          <w:rFonts w:ascii="宋体" w:hAnsi="宋体" w:cs="宋体"/>
          <w:color w:val="auto"/>
          <w:sz w:val="28"/>
          <w:szCs w:val="28"/>
        </w:rPr>
        <w:t>年耗电量</w:t>
      </w:r>
      <w:r>
        <w:rPr>
          <w:rFonts w:hint="eastAsia" w:ascii="宋体" w:hAnsi="宋体" w:eastAsia="宋体" w:cs="宋体"/>
          <w:color w:val="auto"/>
          <w:sz w:val="28"/>
          <w:lang w:val="en-US" w:eastAsia="zh-CN"/>
        </w:rPr>
        <w:t>132.14</w:t>
      </w:r>
      <w:r>
        <w:rPr>
          <w:rFonts w:ascii="宋体" w:hAnsi="宋体" w:cs="宋体"/>
          <w:color w:val="auto"/>
          <w:sz w:val="28"/>
          <w:szCs w:val="28"/>
        </w:rPr>
        <w:t>万kwh</w:t>
      </w:r>
      <w:r>
        <w:rPr>
          <w:rFonts w:hint="eastAsia" w:ascii="宋体" w:hAnsi="宋体" w:cs="宋体"/>
          <w:color w:val="auto"/>
          <w:sz w:val="28"/>
          <w:szCs w:val="28"/>
          <w:lang w:eastAsia="zh-CN"/>
        </w:rPr>
        <w:t>。</w:t>
      </w:r>
      <w:r>
        <w:rPr>
          <w:rFonts w:hint="eastAsia" w:ascii="宋体" w:hAnsi="宋体" w:eastAsia="宋体" w:cs="宋体"/>
        </w:rPr>
        <w:t>矿山配备的变压器可满足用电需求。</w:t>
      </w:r>
    </w:p>
    <w:p w14:paraId="58455EC6">
      <w:pPr>
        <w:bidi w:val="0"/>
        <w:rPr>
          <w:rFonts w:hint="eastAsia" w:ascii="宋体" w:hAnsi="宋体" w:eastAsia="宋体" w:cs="宋体"/>
        </w:rPr>
      </w:pPr>
      <w:r>
        <w:rPr>
          <w:rFonts w:hint="eastAsia" w:ascii="宋体" w:hAnsi="宋体" w:eastAsia="宋体" w:cs="宋体"/>
        </w:rPr>
        <w:t>矿山建构筑物按三类防雷考虑，采场范围内适当设置避雷针，凡高度在15m及以上的建构筑物设避雷网、带，局部设避雷针保护。10</w:t>
      </w:r>
      <w:r>
        <w:rPr>
          <w:rFonts w:hint="eastAsia" w:ascii="宋体" w:hAnsi="宋体" w:cs="宋体"/>
          <w:lang w:val="en-US" w:eastAsia="zh-CN"/>
        </w:rPr>
        <w:t>kV</w:t>
      </w:r>
      <w:r>
        <w:rPr>
          <w:rFonts w:hint="eastAsia" w:ascii="宋体" w:hAnsi="宋体" w:eastAsia="宋体" w:cs="宋体"/>
        </w:rPr>
        <w:t>系统母线及电气室0.4</w:t>
      </w:r>
      <w:r>
        <w:rPr>
          <w:rFonts w:hint="eastAsia" w:ascii="宋体" w:hAnsi="宋体" w:cs="宋体"/>
          <w:lang w:val="en-US" w:eastAsia="zh-CN"/>
        </w:rPr>
        <w:t>kV</w:t>
      </w:r>
      <w:r>
        <w:rPr>
          <w:rFonts w:hint="eastAsia" w:ascii="宋体" w:hAnsi="宋体" w:eastAsia="宋体" w:cs="宋体"/>
        </w:rPr>
        <w:t>进线柜上装设电源避雷器，预防雷电波侵入及操作过电压。10</w:t>
      </w:r>
      <w:r>
        <w:rPr>
          <w:rFonts w:hint="eastAsia" w:ascii="宋体" w:hAnsi="宋体" w:cs="宋体"/>
          <w:lang w:val="en-US" w:eastAsia="zh-CN"/>
        </w:rPr>
        <w:t>kV</w:t>
      </w:r>
      <w:r>
        <w:rPr>
          <w:rFonts w:hint="eastAsia" w:ascii="宋体" w:hAnsi="宋体" w:eastAsia="宋体" w:cs="宋体"/>
        </w:rPr>
        <w:t>供配电系统采用接地保护，0.4</w:t>
      </w:r>
      <w:r>
        <w:rPr>
          <w:rFonts w:hint="eastAsia" w:ascii="宋体" w:hAnsi="宋体" w:cs="宋体"/>
          <w:lang w:val="en-US" w:eastAsia="zh-CN"/>
        </w:rPr>
        <w:t>kV</w:t>
      </w:r>
      <w:r>
        <w:rPr>
          <w:rFonts w:hint="eastAsia" w:ascii="宋体" w:hAnsi="宋体" w:eastAsia="宋体" w:cs="宋体"/>
        </w:rPr>
        <w:t>配电系统采用接零保护，接地装置R≤4欧。接零保护系统按规范达标连接使用。</w:t>
      </w:r>
    </w:p>
    <w:p w14:paraId="3A60E7E6">
      <w:pPr>
        <w:bidi w:val="0"/>
        <w:rPr>
          <w:rFonts w:hint="eastAsia" w:ascii="宋体" w:hAnsi="宋体" w:eastAsia="宋体" w:cs="宋体"/>
        </w:rPr>
      </w:pPr>
      <w:r>
        <w:rPr>
          <w:rFonts w:hint="eastAsia"/>
          <w:lang w:eastAsia="zh-CN"/>
        </w:rPr>
        <w:t>《</w:t>
      </w:r>
      <w:r>
        <w:rPr>
          <w:rFonts w:hint="eastAsia"/>
        </w:rPr>
        <w:t>初步设计</w:t>
      </w:r>
      <w:r>
        <w:rPr>
          <w:rFonts w:hint="eastAsia"/>
          <w:lang w:val="en-US" w:eastAsia="zh-CN"/>
        </w:rPr>
        <w:t>》未明确采场照明设施、供配电系统安全管理等相关内容。</w:t>
      </w:r>
    </w:p>
    <w:p w14:paraId="4D62FFD0">
      <w:pPr>
        <w:pStyle w:val="4"/>
        <w:bidi w:val="0"/>
      </w:pPr>
      <w:bookmarkStart w:id="198" w:name="_Toc22265"/>
      <w:r>
        <w:rPr>
          <w:rFonts w:hint="eastAsia"/>
        </w:rPr>
        <w:t>单元小结</w:t>
      </w:r>
      <w:bookmarkEnd w:id="198"/>
    </w:p>
    <w:p w14:paraId="7C6FF86C">
      <w:pPr>
        <w:bidi w:val="0"/>
        <w:rPr>
          <w:rFonts w:hint="eastAsia"/>
        </w:rPr>
      </w:pPr>
      <w:r>
        <w:rPr>
          <w:rFonts w:hint="eastAsia"/>
          <w:lang w:eastAsia="zh-CN"/>
        </w:rPr>
        <w:t>《</w:t>
      </w:r>
      <w:r>
        <w:rPr>
          <w:rFonts w:hint="eastAsia"/>
        </w:rPr>
        <w:t>初步设计</w:t>
      </w:r>
      <w:r>
        <w:rPr>
          <w:rFonts w:hint="eastAsia"/>
          <w:lang w:val="en-US" w:eastAsia="zh-CN"/>
        </w:rPr>
        <w:t>》</w:t>
      </w:r>
      <w:r>
        <w:rPr>
          <w:rFonts w:hint="eastAsia"/>
        </w:rPr>
        <w:t>报告中对供配电系统用电负荷、供电电源、供配电系统等内容进行了设计</w:t>
      </w:r>
      <w:r>
        <w:rPr>
          <w:rFonts w:hint="eastAsia"/>
          <w:lang w:val="en-US" w:eastAsia="zh-CN"/>
        </w:rPr>
        <w:t>说明</w:t>
      </w:r>
      <w:r>
        <w:rPr>
          <w:rFonts w:hint="eastAsia"/>
          <w:lang w:eastAsia="zh-CN"/>
        </w:rPr>
        <w:t>，</w:t>
      </w:r>
      <w:r>
        <w:rPr>
          <w:rFonts w:hint="eastAsia"/>
        </w:rPr>
        <w:t>矿山供配电</w:t>
      </w:r>
      <w:r>
        <w:rPr>
          <w:rFonts w:hint="eastAsia"/>
          <w:lang w:val="en-US" w:eastAsia="zh-CN"/>
        </w:rPr>
        <w:t>设施</w:t>
      </w:r>
      <w:r>
        <w:rPr>
          <w:rFonts w:hint="eastAsia"/>
        </w:rPr>
        <w:t>单元</w:t>
      </w:r>
      <w:r>
        <w:rPr>
          <w:rFonts w:hint="eastAsia"/>
          <w:lang w:val="en-US" w:eastAsia="zh-CN"/>
        </w:rPr>
        <w:t>基本符合</w:t>
      </w:r>
      <w:r>
        <w:rPr>
          <w:rFonts w:hint="eastAsia"/>
        </w:rPr>
        <w:t>《用电安全导则》（GB/T13869-2017）</w:t>
      </w:r>
      <w:r>
        <w:rPr>
          <w:rFonts w:hint="eastAsia"/>
          <w:lang w:val="en-US" w:eastAsia="zh-CN"/>
        </w:rPr>
        <w:t>和</w:t>
      </w:r>
      <w:r>
        <w:rPr>
          <w:rFonts w:hint="eastAsia"/>
        </w:rPr>
        <w:t>《金属非金属矿山安全规程》（GB16423-2020）</w:t>
      </w:r>
      <w:r>
        <w:rPr>
          <w:rFonts w:hint="eastAsia"/>
          <w:lang w:val="en-US" w:eastAsia="zh-CN"/>
        </w:rPr>
        <w:t>相关规定。</w:t>
      </w:r>
    </w:p>
    <w:p w14:paraId="498C96E4">
      <w:pPr>
        <w:pStyle w:val="3"/>
        <w:bidi w:val="0"/>
        <w:rPr>
          <w:rFonts w:hint="eastAsia"/>
          <w:lang w:val="en-US" w:eastAsia="zh-CN"/>
        </w:rPr>
      </w:pPr>
      <w:bookmarkStart w:id="199" w:name="_Toc11409"/>
      <w:r>
        <w:t>防排水单元</w:t>
      </w:r>
      <w:bookmarkEnd w:id="199"/>
    </w:p>
    <w:p w14:paraId="3EB92DBB">
      <w:pPr>
        <w:pStyle w:val="4"/>
        <w:bidi w:val="0"/>
      </w:pPr>
      <w:bookmarkStart w:id="200" w:name="_Toc10444"/>
      <w:r>
        <w:rPr>
          <w:rFonts w:hint="eastAsia"/>
        </w:rPr>
        <w:t>危险有害因素辨识与分析</w:t>
      </w:r>
      <w:bookmarkEnd w:id="200"/>
    </w:p>
    <w:p w14:paraId="15421A50">
      <w:pPr>
        <w:bidi w:val="0"/>
      </w:pPr>
      <w:r>
        <w:rPr>
          <w:rFonts w:hint="eastAsia"/>
        </w:rPr>
        <w:t>根据项目设置的</w:t>
      </w:r>
      <w:r>
        <w:rPr>
          <w:rFonts w:hint="eastAsia"/>
          <w:lang w:val="en-US" w:eastAsia="zh-CN"/>
        </w:rPr>
        <w:t>防排水</w:t>
      </w:r>
      <w:r>
        <w:rPr>
          <w:rFonts w:hint="eastAsia"/>
        </w:rPr>
        <w:t>设施分析，矿山</w:t>
      </w:r>
      <w:r>
        <w:rPr>
          <w:rFonts w:hint="eastAsia"/>
          <w:lang w:val="en-US" w:eastAsia="zh-CN"/>
        </w:rPr>
        <w:t>防排水</w:t>
      </w:r>
      <w:r>
        <w:rPr>
          <w:rFonts w:hint="eastAsia"/>
        </w:rPr>
        <w:t>单元存在的主要危险有害因素为</w:t>
      </w:r>
      <w:r>
        <w:rPr>
          <w:rFonts w:hint="eastAsia"/>
          <w:lang w:val="en-US" w:eastAsia="zh-CN"/>
        </w:rPr>
        <w:t>边坡失稳（</w:t>
      </w:r>
      <w:r>
        <w:rPr>
          <w:rFonts w:hint="eastAsia" w:ascii="宋体" w:hAnsi="宋体"/>
          <w:color w:val="auto"/>
          <w:sz w:val="28"/>
          <w:szCs w:val="28"/>
        </w:rPr>
        <w:t>坍塌、滑坡</w:t>
      </w:r>
      <w:r>
        <w:rPr>
          <w:rFonts w:hint="eastAsia" w:ascii="宋体" w:hAnsi="宋体"/>
          <w:color w:val="auto"/>
          <w:sz w:val="28"/>
          <w:szCs w:val="28"/>
          <w:lang w:eastAsia="zh-CN"/>
        </w:rPr>
        <w:t>）</w:t>
      </w:r>
      <w:r>
        <w:rPr>
          <w:rFonts w:hint="eastAsia" w:ascii="宋体" w:hAnsi="宋体"/>
          <w:color w:val="auto"/>
          <w:sz w:val="28"/>
          <w:szCs w:val="28"/>
        </w:rPr>
        <w:t>、泥石流</w:t>
      </w:r>
      <w:r>
        <w:rPr>
          <w:rFonts w:hint="eastAsia" w:ascii="宋体" w:hAnsi="宋体"/>
          <w:sz w:val="28"/>
          <w:szCs w:val="28"/>
          <w:lang w:eastAsia="zh-CN"/>
        </w:rPr>
        <w:t>、</w:t>
      </w:r>
      <w:r>
        <w:rPr>
          <w:rFonts w:hint="eastAsia"/>
          <w:color w:val="000000"/>
          <w:sz w:val="28"/>
          <w:szCs w:val="28"/>
        </w:rPr>
        <w:t>触电</w:t>
      </w:r>
      <w:r>
        <w:rPr>
          <w:color w:val="000000"/>
          <w:sz w:val="28"/>
          <w:szCs w:val="28"/>
        </w:rPr>
        <w:t>、</w:t>
      </w:r>
      <w:r>
        <w:rPr>
          <w:rFonts w:hint="eastAsia"/>
          <w:color w:val="000000"/>
          <w:sz w:val="28"/>
          <w:szCs w:val="28"/>
        </w:rPr>
        <w:t>淹溺</w:t>
      </w:r>
      <w:r>
        <w:rPr>
          <w:rFonts w:hint="eastAsia" w:ascii="宋体" w:hAnsi="宋体"/>
          <w:sz w:val="28"/>
          <w:szCs w:val="28"/>
        </w:rPr>
        <w:t>等</w:t>
      </w:r>
      <w:r>
        <w:rPr>
          <w:rFonts w:hint="eastAsia"/>
        </w:rPr>
        <w:t>。</w:t>
      </w:r>
    </w:p>
    <w:p w14:paraId="76C3089C">
      <w:pPr>
        <w:numPr>
          <w:ilvl w:val="0"/>
          <w:numId w:val="57"/>
        </w:numPr>
        <w:bidi w:val="0"/>
        <w:rPr>
          <w:rFonts w:hint="eastAsia"/>
        </w:rPr>
      </w:pPr>
      <w:r>
        <w:rPr>
          <w:rFonts w:hint="eastAsia"/>
          <w:lang w:val="en-US" w:eastAsia="zh-CN"/>
        </w:rPr>
        <w:t>泥石流</w:t>
      </w:r>
    </w:p>
    <w:p w14:paraId="0A87EFA3">
      <w:pPr>
        <w:numPr>
          <w:ilvl w:val="0"/>
          <w:numId w:val="0"/>
        </w:numPr>
        <w:bidi w:val="0"/>
        <w:ind w:firstLine="560" w:firstLineChars="200"/>
      </w:pPr>
      <w:r>
        <w:rPr>
          <w:rFonts w:hint="eastAsia"/>
        </w:rPr>
        <w:t>分布于矿区道路的下部边坡为松散岩土、施工和生产中排弃废石（土）的场所等，因气象条件不落实、截排水设施不完善，大气降雨缺乏有效的截排和疏导，均有可能产生泥石流危险。</w:t>
      </w:r>
    </w:p>
    <w:p w14:paraId="4C89981A">
      <w:pPr>
        <w:numPr>
          <w:ilvl w:val="0"/>
          <w:numId w:val="57"/>
        </w:numPr>
        <w:bidi w:val="0"/>
        <w:rPr>
          <w:rFonts w:hint="eastAsia" w:ascii="Times New Roman" w:hAnsi="Times New Roman" w:cs="Times New Roman"/>
          <w:lang w:val="en-US" w:eastAsia="zh-CN"/>
        </w:rPr>
      </w:pPr>
      <w:r>
        <w:rPr>
          <w:rFonts w:hint="eastAsia"/>
          <w:lang w:val="en-US" w:eastAsia="zh-CN"/>
        </w:rPr>
        <w:t>边坡失稳（</w:t>
      </w:r>
      <w:r>
        <w:rPr>
          <w:rFonts w:hint="eastAsia" w:ascii="宋体" w:hAnsi="宋体"/>
          <w:color w:val="auto"/>
          <w:sz w:val="28"/>
          <w:szCs w:val="28"/>
        </w:rPr>
        <w:t>坍塌、滑坡</w:t>
      </w:r>
      <w:r>
        <w:rPr>
          <w:rFonts w:hint="eastAsia" w:ascii="宋体" w:hAnsi="宋体"/>
          <w:color w:val="auto"/>
          <w:sz w:val="28"/>
          <w:szCs w:val="28"/>
          <w:lang w:eastAsia="zh-CN"/>
        </w:rPr>
        <w:t>）</w:t>
      </w:r>
    </w:p>
    <w:p w14:paraId="14123951">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rPr>
      </w:pPr>
      <w:r>
        <w:rPr>
          <w:rFonts w:hint="eastAsia"/>
        </w:rPr>
        <w:t>山坡露天开采，大气降水和裂隙水一般均可以沿自然地形自流排出采场，但如无防洪排水措施，暴雨雨水直接冲刷边坡，破坏边坡稳定性，可能会造成边坡坍塌、滑坡。</w:t>
      </w:r>
    </w:p>
    <w:p w14:paraId="6C5DFB33">
      <w:pPr>
        <w:numPr>
          <w:ilvl w:val="0"/>
          <w:numId w:val="57"/>
        </w:numPr>
        <w:bidi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触电</w:t>
      </w:r>
    </w:p>
    <w:p w14:paraId="0AD7B71E">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分布于矿</w:t>
      </w:r>
      <w:r>
        <w:rPr>
          <w:rFonts w:hint="eastAsia" w:ascii="Times New Roman" w:hAnsi="Times New Roman" w:eastAsia="宋体" w:cs="Times New Roman"/>
        </w:rPr>
        <w:t>区内</w:t>
      </w:r>
      <w:r>
        <w:rPr>
          <w:rFonts w:hint="eastAsia" w:ascii="Times New Roman" w:hAnsi="Times New Roman" w:eastAsia="宋体" w:cs="Times New Roman"/>
          <w:lang w:val="en-US" w:eastAsia="zh-CN"/>
        </w:rPr>
        <w:t>的</w:t>
      </w:r>
      <w:r>
        <w:rPr>
          <w:rFonts w:hint="eastAsia" w:ascii="Times New Roman" w:hAnsi="Times New Roman" w:eastAsia="宋体" w:cs="Times New Roman"/>
        </w:rPr>
        <w:t>各用水水池（</w:t>
      </w:r>
      <w:r>
        <w:rPr>
          <w:rFonts w:hint="eastAsia" w:cs="Times New Roman"/>
          <w:lang w:val="en-US" w:eastAsia="zh-CN"/>
        </w:rPr>
        <w:t>沉淀池</w:t>
      </w:r>
      <w:r>
        <w:rPr>
          <w:rFonts w:hint="eastAsia" w:ascii="Times New Roman" w:hAnsi="Times New Roman" w:eastAsia="宋体" w:cs="Times New Roman"/>
          <w:lang w:val="en-US" w:eastAsia="zh-CN"/>
        </w:rPr>
        <w:t>、</w:t>
      </w:r>
      <w:r>
        <w:rPr>
          <w:rFonts w:hint="eastAsia" w:cs="Times New Roman"/>
          <w:lang w:val="en-US" w:eastAsia="zh-CN"/>
        </w:rPr>
        <w:t>蓄水池等</w:t>
      </w:r>
      <w:r>
        <w:rPr>
          <w:rFonts w:hint="eastAsia" w:ascii="Times New Roman" w:hAnsi="Times New Roman" w:eastAsia="宋体" w:cs="Times New Roman"/>
        </w:rPr>
        <w:t>）使用</w:t>
      </w:r>
      <w:r>
        <w:rPr>
          <w:rFonts w:hint="eastAsia" w:ascii="Times New Roman" w:hAnsi="Times New Roman" w:eastAsia="宋体" w:cs="Times New Roman"/>
          <w:lang w:val="en-US" w:eastAsia="zh-CN"/>
        </w:rPr>
        <w:t>的</w:t>
      </w:r>
      <w:r>
        <w:rPr>
          <w:rFonts w:hint="eastAsia" w:ascii="Times New Roman" w:hAnsi="Times New Roman" w:eastAsia="宋体" w:cs="Times New Roman"/>
        </w:rPr>
        <w:t>电气设备绝缘老化</w:t>
      </w:r>
      <w:r>
        <w:rPr>
          <w:rFonts w:hint="eastAsia" w:ascii="Times New Roman" w:hAnsi="Times New Roman" w:eastAsia="宋体" w:cs="Times New Roman"/>
          <w:lang w:eastAsia="zh-CN"/>
        </w:rPr>
        <w:t>；</w:t>
      </w:r>
      <w:r>
        <w:rPr>
          <w:rFonts w:hint="eastAsia" w:ascii="Times New Roman" w:hAnsi="Times New Roman" w:eastAsia="宋体" w:cs="Times New Roman"/>
        </w:rPr>
        <w:t>电气设备缺少漏电保护等防护装置</w:t>
      </w:r>
      <w:r>
        <w:rPr>
          <w:rFonts w:hint="eastAsia" w:ascii="Times New Roman" w:hAnsi="Times New Roman" w:eastAsia="宋体" w:cs="Times New Roman"/>
          <w:lang w:eastAsia="zh-CN"/>
        </w:rPr>
        <w:t>；</w:t>
      </w:r>
      <w:r>
        <w:rPr>
          <w:rFonts w:hint="eastAsia" w:ascii="Times New Roman" w:hAnsi="Times New Roman" w:eastAsia="宋体" w:cs="Times New Roman"/>
        </w:rPr>
        <w:t>保护等防护装置；不执行停送电制度；缺乏安全警示标志；作业无人监护；安全装置失效；个人防护措施不全</w:t>
      </w:r>
      <w:r>
        <w:rPr>
          <w:rFonts w:hint="eastAsia" w:ascii="Times New Roman" w:hAnsi="Times New Roman" w:eastAsia="宋体" w:cs="Times New Roman"/>
          <w:lang w:eastAsia="zh-CN"/>
        </w:rPr>
        <w:t>，</w:t>
      </w:r>
      <w:r>
        <w:rPr>
          <w:rFonts w:hint="eastAsia" w:ascii="Times New Roman" w:hAnsi="Times New Roman" w:eastAsia="宋体" w:cs="Times New Roman"/>
          <w:lang w:val="en-US" w:eastAsia="zh-CN"/>
        </w:rPr>
        <w:t>造成人员触电事故。</w:t>
      </w:r>
    </w:p>
    <w:p w14:paraId="3CEA83C6">
      <w:pPr>
        <w:numPr>
          <w:ilvl w:val="0"/>
          <w:numId w:val="57"/>
        </w:numPr>
        <w:bidi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淹溺</w:t>
      </w:r>
    </w:p>
    <w:p w14:paraId="27C43EE5">
      <w:pPr>
        <w:bidi w:val="0"/>
        <w:rPr>
          <w:rFonts w:hint="eastAsia"/>
          <w:lang w:eastAsia="zh-CN"/>
        </w:rPr>
      </w:pPr>
      <w:r>
        <w:rPr>
          <w:rFonts w:hint="eastAsia"/>
          <w:lang w:val="en-US" w:eastAsia="zh-CN"/>
        </w:rPr>
        <w:t>分布于矿</w:t>
      </w:r>
      <w:r>
        <w:rPr>
          <w:rFonts w:hint="eastAsia"/>
        </w:rPr>
        <w:t>区内</w:t>
      </w:r>
      <w:r>
        <w:rPr>
          <w:rFonts w:hint="eastAsia"/>
          <w:lang w:val="en-US" w:eastAsia="zh-CN"/>
        </w:rPr>
        <w:t>的</w:t>
      </w:r>
      <w:r>
        <w:rPr>
          <w:rFonts w:hint="eastAsia"/>
        </w:rPr>
        <w:t>各用水水池</w:t>
      </w:r>
      <w:r>
        <w:rPr>
          <w:rFonts w:hint="eastAsia" w:ascii="Times New Roman" w:hAnsi="Times New Roman" w:eastAsia="宋体" w:cs="Times New Roman"/>
        </w:rPr>
        <w:t>（</w:t>
      </w:r>
      <w:r>
        <w:rPr>
          <w:rFonts w:hint="eastAsia" w:eastAsia="宋体" w:cs="Times New Roman"/>
          <w:lang w:val="en-US" w:eastAsia="zh-CN"/>
        </w:rPr>
        <w:t>沉淀池</w:t>
      </w:r>
      <w:r>
        <w:rPr>
          <w:rFonts w:hint="eastAsia" w:ascii="Times New Roman" w:hAnsi="Times New Roman" w:eastAsia="宋体" w:cs="Times New Roman"/>
          <w:lang w:val="en-US" w:eastAsia="zh-CN"/>
        </w:rPr>
        <w:t>、</w:t>
      </w:r>
      <w:r>
        <w:rPr>
          <w:rFonts w:hint="eastAsia" w:cs="Times New Roman"/>
          <w:lang w:val="en-US" w:eastAsia="zh-CN"/>
        </w:rPr>
        <w:t>蓄水池等</w:t>
      </w:r>
      <w:r>
        <w:rPr>
          <w:rFonts w:hint="eastAsia" w:ascii="Times New Roman" w:hAnsi="Times New Roman" w:eastAsia="宋体" w:cs="Times New Roman"/>
        </w:rPr>
        <w:t>）</w:t>
      </w:r>
      <w:r>
        <w:rPr>
          <w:rFonts w:hint="eastAsia"/>
        </w:rPr>
        <w:t>周边</w:t>
      </w:r>
      <w:r>
        <w:rPr>
          <w:rFonts w:hint="eastAsia"/>
          <w:lang w:val="en-US" w:eastAsia="zh-CN"/>
        </w:rPr>
        <w:t>缺失</w:t>
      </w:r>
      <w:r>
        <w:rPr>
          <w:rFonts w:hint="eastAsia"/>
        </w:rPr>
        <w:t>安全防护设施及警示标志牌；岗位人员安全意识</w:t>
      </w:r>
      <w:r>
        <w:rPr>
          <w:rFonts w:hint="eastAsia"/>
          <w:lang w:val="en-US" w:eastAsia="zh-CN"/>
        </w:rPr>
        <w:t>淡薄；各</w:t>
      </w:r>
      <w:r>
        <w:rPr>
          <w:rFonts w:hint="eastAsia"/>
        </w:rPr>
        <w:t>水池</w:t>
      </w:r>
      <w:r>
        <w:rPr>
          <w:rFonts w:hint="eastAsia"/>
          <w:lang w:val="en-US" w:eastAsia="zh-CN"/>
        </w:rPr>
        <w:t>未标明</w:t>
      </w:r>
      <w:r>
        <w:rPr>
          <w:rFonts w:hint="eastAsia"/>
        </w:rPr>
        <w:t>用途、水深等重要信息</w:t>
      </w:r>
      <w:r>
        <w:rPr>
          <w:rFonts w:hint="eastAsia"/>
          <w:lang w:eastAsia="zh-CN"/>
        </w:rPr>
        <w:t>；</w:t>
      </w:r>
      <w:r>
        <w:rPr>
          <w:rFonts w:hint="eastAsia"/>
        </w:rPr>
        <w:t>入池中作业</w:t>
      </w:r>
      <w:r>
        <w:rPr>
          <w:rFonts w:hint="eastAsia"/>
          <w:lang w:val="en-US" w:eastAsia="zh-CN"/>
        </w:rPr>
        <w:t>人员</w:t>
      </w:r>
      <w:r>
        <w:rPr>
          <w:rFonts w:hint="eastAsia"/>
        </w:rPr>
        <w:t>，</w:t>
      </w:r>
      <w:r>
        <w:rPr>
          <w:rFonts w:hint="eastAsia"/>
          <w:lang w:val="en-US" w:eastAsia="zh-CN"/>
        </w:rPr>
        <w:t>未</w:t>
      </w:r>
      <w:r>
        <w:rPr>
          <w:rFonts w:hint="eastAsia"/>
        </w:rPr>
        <w:t>按要求配备相应的防护用品</w:t>
      </w:r>
      <w:r>
        <w:rPr>
          <w:rFonts w:hint="eastAsia"/>
          <w:lang w:eastAsia="zh-CN"/>
        </w:rPr>
        <w:t>（</w:t>
      </w:r>
      <w:r>
        <w:rPr>
          <w:rFonts w:hint="eastAsia"/>
          <w:lang w:val="en-US" w:eastAsia="zh-CN"/>
        </w:rPr>
        <w:t>安全带、安全绳、救生衣等</w:t>
      </w:r>
      <w:r>
        <w:rPr>
          <w:rFonts w:hint="eastAsia"/>
          <w:lang w:eastAsia="zh-CN"/>
        </w:rPr>
        <w:t>），</w:t>
      </w:r>
      <w:r>
        <w:rPr>
          <w:rFonts w:hint="eastAsia"/>
          <w:lang w:val="en-US" w:eastAsia="zh-CN"/>
        </w:rPr>
        <w:t>且无专人</w:t>
      </w:r>
      <w:r>
        <w:rPr>
          <w:rFonts w:hint="eastAsia"/>
        </w:rPr>
        <w:t>监护</w:t>
      </w:r>
      <w:r>
        <w:rPr>
          <w:rFonts w:hint="eastAsia"/>
          <w:lang w:eastAsia="zh-CN"/>
        </w:rPr>
        <w:t>。</w:t>
      </w:r>
    </w:p>
    <w:p w14:paraId="411E1B84">
      <w:pPr>
        <w:pStyle w:val="4"/>
        <w:bidi w:val="0"/>
      </w:pPr>
      <w:bookmarkStart w:id="201" w:name="_Toc22400"/>
      <w:r>
        <w:rPr>
          <w:rFonts w:hint="eastAsia"/>
        </w:rPr>
        <w:t>危险程度评价</w:t>
      </w:r>
      <w:bookmarkEnd w:id="201"/>
    </w:p>
    <w:p w14:paraId="23D53917">
      <w:pPr>
        <w:bidi w:val="0"/>
        <w:rPr>
          <w:rFonts w:hint="eastAsia" w:ascii="宋体" w:hAnsi="宋体" w:eastAsia="宋体" w:cs="宋体"/>
          <w:lang w:eastAsia="zh-CN"/>
        </w:rPr>
      </w:pPr>
      <w:r>
        <w:rPr>
          <w:rFonts w:hint="eastAsia" w:ascii="宋体" w:hAnsi="宋体" w:eastAsia="宋体" w:cs="宋体"/>
        </w:rPr>
        <w:t>矿山</w:t>
      </w:r>
      <w:r>
        <w:rPr>
          <w:rFonts w:hint="eastAsia" w:ascii="宋体" w:hAnsi="宋体" w:eastAsia="宋体" w:cs="宋体"/>
          <w:lang w:eastAsia="zh-CN"/>
        </w:rPr>
        <w:t>防排水</w:t>
      </w:r>
      <w:r>
        <w:rPr>
          <w:rFonts w:hint="eastAsia" w:ascii="宋体" w:hAnsi="宋体" w:eastAsia="宋体" w:cs="宋体"/>
        </w:rPr>
        <w:t>单元主要存在的危险有害因素，采用作业条件危险性评价法针对</w:t>
      </w:r>
      <w:r>
        <w:rPr>
          <w:rFonts w:hint="eastAsia" w:ascii="宋体" w:hAnsi="宋体" w:eastAsia="宋体" w:cs="宋体"/>
          <w:lang w:val="en-US" w:eastAsia="zh-CN"/>
        </w:rPr>
        <w:t>防排水</w:t>
      </w:r>
      <w:r>
        <w:rPr>
          <w:rFonts w:hint="eastAsia" w:ascii="宋体" w:hAnsi="宋体" w:eastAsia="宋体" w:cs="宋体"/>
        </w:rPr>
        <w:t>单元存在的危险因素进行危险程度评价，参照</w:t>
      </w:r>
      <w:r>
        <w:rPr>
          <w:rFonts w:hint="eastAsia" w:ascii="宋体" w:hAnsi="宋体" w:cs="宋体"/>
          <w:lang w:eastAsia="zh-CN"/>
        </w:rPr>
        <w:t>表3-5</w:t>
      </w:r>
      <w:r>
        <w:rPr>
          <w:rFonts w:hint="eastAsia" w:ascii="宋体" w:hAnsi="宋体" w:eastAsia="宋体" w:cs="宋体"/>
        </w:rPr>
        <w:t>、</w:t>
      </w:r>
      <w:r>
        <w:rPr>
          <w:rFonts w:hint="eastAsia" w:ascii="宋体" w:hAnsi="宋体" w:cs="宋体"/>
          <w:lang w:eastAsia="zh-CN"/>
        </w:rPr>
        <w:t>表3-6</w:t>
      </w:r>
      <w:r>
        <w:rPr>
          <w:rFonts w:hint="eastAsia" w:ascii="宋体" w:hAnsi="宋体" w:eastAsia="宋体" w:cs="宋体"/>
        </w:rPr>
        <w:t>、</w:t>
      </w:r>
      <w:r>
        <w:rPr>
          <w:rFonts w:hint="eastAsia" w:ascii="宋体" w:hAnsi="宋体" w:cs="宋体"/>
          <w:lang w:eastAsia="zh-CN"/>
        </w:rPr>
        <w:t>表3-7</w:t>
      </w:r>
      <w:r>
        <w:rPr>
          <w:rFonts w:hint="eastAsia" w:ascii="宋体" w:hAnsi="宋体" w:eastAsia="宋体" w:cs="宋体"/>
        </w:rPr>
        <w:t>取值范围，根据矿山实际情况取值对应表</w:t>
      </w:r>
      <w:r>
        <w:rPr>
          <w:rFonts w:hint="eastAsia" w:ascii="宋体" w:hAnsi="宋体" w:cs="宋体"/>
          <w:lang w:val="en-US" w:eastAsia="zh-CN"/>
        </w:rPr>
        <w:t>3-19</w:t>
      </w:r>
      <w:r>
        <w:rPr>
          <w:rFonts w:hint="eastAsia" w:ascii="宋体" w:hAnsi="宋体" w:eastAsia="宋体" w:cs="宋体"/>
        </w:rPr>
        <w:t>可知：</w:t>
      </w:r>
    </w:p>
    <w:p w14:paraId="5216750D">
      <w:pPr>
        <w:pStyle w:val="11"/>
        <w:ind w:left="0" w:leftChars="0" w:firstLine="0" w:firstLineChars="0"/>
        <w:jc w:val="center"/>
        <w:rPr>
          <w:rFonts w:hint="eastAsia" w:eastAsia="宋体"/>
          <w:lang w:eastAsia="zh-CN"/>
        </w:rPr>
      </w:pPr>
      <w:r>
        <w:t xml:space="preserve">表 </w:t>
      </w:r>
      <w:r>
        <w:fldChar w:fldCharType="begin"/>
      </w:r>
      <w:r>
        <w:instrText xml:space="preserve"> STYLEREF 1 \s </w:instrText>
      </w:r>
      <w:r>
        <w:fldChar w:fldCharType="separate"/>
      </w:r>
      <w:r>
        <w:t>3</w:t>
      </w:r>
      <w:r>
        <w:fldChar w:fldCharType="end"/>
      </w:r>
      <w:r>
        <w:rPr>
          <w:rFonts w:hint="eastAsia"/>
          <w:lang w:eastAsia="zh-CN"/>
        </w:rPr>
        <w:t>-</w:t>
      </w:r>
      <w:r>
        <w:fldChar w:fldCharType="begin"/>
      </w:r>
      <w:r>
        <w:instrText xml:space="preserve"> SEQ 表 \* ARABIC \s 1 </w:instrText>
      </w:r>
      <w:r>
        <w:fldChar w:fldCharType="separate"/>
      </w:r>
      <w:r>
        <w:t>19</w:t>
      </w:r>
      <w:r>
        <w:fldChar w:fldCharType="end"/>
      </w:r>
      <w:r>
        <w:rPr>
          <w:rFonts w:hint="eastAsia"/>
          <w:lang w:eastAsia="zh-CN"/>
        </w:rPr>
        <w:t xml:space="preserve"> 防排水单元危险有害因素危险度分析表</w:t>
      </w:r>
    </w:p>
    <w:tbl>
      <w:tblPr>
        <w:tblStyle w:val="29"/>
        <w:tblW w:w="4844" w:type="pct"/>
        <w:tblInd w:w="10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22"/>
        <w:gridCol w:w="1563"/>
        <w:gridCol w:w="870"/>
        <w:gridCol w:w="826"/>
        <w:gridCol w:w="1018"/>
        <w:gridCol w:w="1018"/>
        <w:gridCol w:w="2717"/>
      </w:tblGrid>
      <w:tr w14:paraId="04D849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65" w:type="pct"/>
            <w:tcBorders>
              <w:tl2br w:val="nil"/>
              <w:tr2bl w:val="nil"/>
            </w:tcBorders>
            <w:noWrap w:val="0"/>
            <w:vAlign w:val="center"/>
          </w:tcPr>
          <w:p w14:paraId="395E5118">
            <w:pPr>
              <w:keepNext w:val="0"/>
              <w:keepLines w:val="0"/>
              <w:pageBreakBefore w:val="0"/>
              <w:widowControl w:val="0"/>
              <w:kinsoku/>
              <w:wordWrap/>
              <w:overflowPunct/>
              <w:topLinePunct w:val="0"/>
              <w:autoSpaceDE w:val="0"/>
              <w:autoSpaceDN w:val="0"/>
              <w:bidi w:val="0"/>
              <w:adjustRightInd w:val="0"/>
              <w:snapToGrid/>
              <w:spacing w:line="240" w:lineRule="auto"/>
              <w:ind w:left="0" w:leftChars="0" w:right="0" w:rightChars="0" w:firstLine="0" w:firstLineChars="0"/>
              <w:jc w:val="center"/>
              <w:textAlignment w:val="auto"/>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rPr>
              <w:t>序号</w:t>
            </w:r>
          </w:p>
        </w:tc>
        <w:tc>
          <w:tcPr>
            <w:tcW w:w="884" w:type="pct"/>
            <w:tcBorders>
              <w:tl2br w:val="nil"/>
              <w:tr2bl w:val="nil"/>
            </w:tcBorders>
            <w:noWrap w:val="0"/>
            <w:vAlign w:val="center"/>
          </w:tcPr>
          <w:p w14:paraId="3B92065D">
            <w:pPr>
              <w:keepNext w:val="0"/>
              <w:keepLines w:val="0"/>
              <w:pageBreakBefore w:val="0"/>
              <w:widowControl w:val="0"/>
              <w:kinsoku/>
              <w:wordWrap/>
              <w:overflowPunct/>
              <w:topLinePunct w:val="0"/>
              <w:autoSpaceDE w:val="0"/>
              <w:autoSpaceDN w:val="0"/>
              <w:bidi w:val="0"/>
              <w:adjustRightInd w:val="0"/>
              <w:snapToGrid/>
              <w:spacing w:line="240" w:lineRule="auto"/>
              <w:ind w:left="0" w:leftChars="0" w:right="0" w:rightChars="0" w:firstLine="0" w:firstLineChars="0"/>
              <w:jc w:val="center"/>
              <w:textAlignment w:val="auto"/>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rPr>
              <w:t>危害因素</w:t>
            </w:r>
          </w:p>
        </w:tc>
        <w:tc>
          <w:tcPr>
            <w:tcW w:w="492" w:type="pct"/>
            <w:tcBorders>
              <w:tl2br w:val="nil"/>
              <w:tr2bl w:val="nil"/>
            </w:tcBorders>
            <w:noWrap w:val="0"/>
            <w:vAlign w:val="center"/>
          </w:tcPr>
          <w:p w14:paraId="041472C7">
            <w:pPr>
              <w:keepNext w:val="0"/>
              <w:keepLines w:val="0"/>
              <w:pageBreakBefore w:val="0"/>
              <w:widowControl w:val="0"/>
              <w:kinsoku/>
              <w:wordWrap/>
              <w:overflowPunct/>
              <w:topLinePunct w:val="0"/>
              <w:autoSpaceDE w:val="0"/>
              <w:autoSpaceDN w:val="0"/>
              <w:bidi w:val="0"/>
              <w:adjustRightInd w:val="0"/>
              <w:snapToGrid/>
              <w:spacing w:line="240" w:lineRule="auto"/>
              <w:ind w:left="0" w:leftChars="0" w:right="0" w:rightChars="0" w:firstLine="0" w:firstLineChars="0"/>
              <w:jc w:val="center"/>
              <w:textAlignment w:val="auto"/>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rPr>
              <w:t>L</w:t>
            </w:r>
          </w:p>
        </w:tc>
        <w:tc>
          <w:tcPr>
            <w:tcW w:w="467" w:type="pct"/>
            <w:tcBorders>
              <w:tl2br w:val="nil"/>
              <w:tr2bl w:val="nil"/>
            </w:tcBorders>
            <w:noWrap w:val="0"/>
            <w:vAlign w:val="center"/>
          </w:tcPr>
          <w:p w14:paraId="78B45D1C">
            <w:pPr>
              <w:keepNext w:val="0"/>
              <w:keepLines w:val="0"/>
              <w:pageBreakBefore w:val="0"/>
              <w:widowControl w:val="0"/>
              <w:kinsoku/>
              <w:wordWrap/>
              <w:overflowPunct/>
              <w:topLinePunct w:val="0"/>
              <w:autoSpaceDE w:val="0"/>
              <w:autoSpaceDN w:val="0"/>
              <w:bidi w:val="0"/>
              <w:adjustRightInd w:val="0"/>
              <w:snapToGrid/>
              <w:spacing w:line="240" w:lineRule="auto"/>
              <w:ind w:left="0" w:leftChars="0" w:right="0" w:rightChars="0" w:firstLine="0" w:firstLineChars="0"/>
              <w:jc w:val="center"/>
              <w:textAlignment w:val="auto"/>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rPr>
              <w:t>E</w:t>
            </w:r>
          </w:p>
        </w:tc>
        <w:tc>
          <w:tcPr>
            <w:tcW w:w="576" w:type="pct"/>
            <w:tcBorders>
              <w:tl2br w:val="nil"/>
              <w:tr2bl w:val="nil"/>
            </w:tcBorders>
            <w:noWrap w:val="0"/>
            <w:vAlign w:val="center"/>
          </w:tcPr>
          <w:p w14:paraId="50EDF9CC">
            <w:pPr>
              <w:keepNext w:val="0"/>
              <w:keepLines w:val="0"/>
              <w:pageBreakBefore w:val="0"/>
              <w:widowControl w:val="0"/>
              <w:kinsoku/>
              <w:wordWrap/>
              <w:overflowPunct/>
              <w:topLinePunct w:val="0"/>
              <w:autoSpaceDE w:val="0"/>
              <w:autoSpaceDN w:val="0"/>
              <w:bidi w:val="0"/>
              <w:adjustRightInd w:val="0"/>
              <w:snapToGrid/>
              <w:spacing w:line="240" w:lineRule="auto"/>
              <w:ind w:left="0" w:leftChars="0" w:right="0" w:rightChars="0" w:firstLine="0" w:firstLineChars="0"/>
              <w:jc w:val="center"/>
              <w:textAlignment w:val="auto"/>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rPr>
              <w:t>C</w:t>
            </w:r>
          </w:p>
        </w:tc>
        <w:tc>
          <w:tcPr>
            <w:tcW w:w="576" w:type="pct"/>
            <w:tcBorders>
              <w:tl2br w:val="nil"/>
              <w:tr2bl w:val="nil"/>
            </w:tcBorders>
            <w:noWrap w:val="0"/>
            <w:vAlign w:val="center"/>
          </w:tcPr>
          <w:p w14:paraId="01E4E1C5">
            <w:pPr>
              <w:keepNext w:val="0"/>
              <w:keepLines w:val="0"/>
              <w:pageBreakBefore w:val="0"/>
              <w:widowControl w:val="0"/>
              <w:kinsoku/>
              <w:wordWrap/>
              <w:overflowPunct/>
              <w:topLinePunct w:val="0"/>
              <w:autoSpaceDE w:val="0"/>
              <w:autoSpaceDN w:val="0"/>
              <w:bidi w:val="0"/>
              <w:adjustRightInd w:val="0"/>
              <w:snapToGrid/>
              <w:spacing w:line="240" w:lineRule="auto"/>
              <w:ind w:left="0" w:leftChars="0" w:right="0" w:rightChars="0" w:firstLine="0" w:firstLineChars="0"/>
              <w:jc w:val="center"/>
              <w:textAlignment w:val="auto"/>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rPr>
              <w:t>D</w:t>
            </w:r>
          </w:p>
        </w:tc>
        <w:tc>
          <w:tcPr>
            <w:tcW w:w="1537" w:type="pct"/>
            <w:tcBorders>
              <w:tl2br w:val="nil"/>
              <w:tr2bl w:val="nil"/>
            </w:tcBorders>
            <w:noWrap w:val="0"/>
            <w:vAlign w:val="center"/>
          </w:tcPr>
          <w:p w14:paraId="07958AD8">
            <w:pPr>
              <w:keepNext w:val="0"/>
              <w:keepLines w:val="0"/>
              <w:pageBreakBefore w:val="0"/>
              <w:widowControl w:val="0"/>
              <w:kinsoku/>
              <w:wordWrap/>
              <w:overflowPunct/>
              <w:topLinePunct w:val="0"/>
              <w:autoSpaceDE w:val="0"/>
              <w:autoSpaceDN w:val="0"/>
              <w:bidi w:val="0"/>
              <w:adjustRightInd w:val="0"/>
              <w:snapToGrid/>
              <w:spacing w:line="240" w:lineRule="auto"/>
              <w:ind w:left="0" w:leftChars="0" w:right="0" w:rightChars="0" w:firstLine="0" w:firstLineChars="0"/>
              <w:jc w:val="center"/>
              <w:textAlignment w:val="auto"/>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rPr>
              <w:t>危险程度</w:t>
            </w:r>
          </w:p>
        </w:tc>
      </w:tr>
      <w:tr w14:paraId="56488B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65" w:type="pct"/>
            <w:tcBorders>
              <w:tl2br w:val="nil"/>
              <w:tr2bl w:val="nil"/>
            </w:tcBorders>
            <w:noWrap w:val="0"/>
            <w:vAlign w:val="center"/>
          </w:tcPr>
          <w:p w14:paraId="6E98E0C0">
            <w:pPr>
              <w:spacing w:line="240" w:lineRule="auto"/>
              <w:ind w:left="0" w:leftChars="0" w:right="0" w:righ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w:t>
            </w:r>
          </w:p>
        </w:tc>
        <w:tc>
          <w:tcPr>
            <w:tcW w:w="884" w:type="pct"/>
            <w:tcBorders>
              <w:tl2br w:val="nil"/>
              <w:tr2bl w:val="nil"/>
            </w:tcBorders>
            <w:noWrap w:val="0"/>
            <w:vAlign w:val="center"/>
          </w:tcPr>
          <w:p w14:paraId="12E15F31">
            <w:pPr>
              <w:spacing w:line="240" w:lineRule="auto"/>
              <w:ind w:left="0" w:leftChars="0" w:right="0" w:righ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坍塌</w:t>
            </w:r>
          </w:p>
        </w:tc>
        <w:tc>
          <w:tcPr>
            <w:tcW w:w="492" w:type="pct"/>
            <w:tcBorders>
              <w:tl2br w:val="nil"/>
              <w:tr2bl w:val="nil"/>
            </w:tcBorders>
            <w:noWrap w:val="0"/>
            <w:vAlign w:val="center"/>
          </w:tcPr>
          <w:p w14:paraId="35FBCA56">
            <w:pPr>
              <w:spacing w:line="240" w:lineRule="auto"/>
              <w:ind w:left="0" w:leftChars="0" w:right="0" w:righ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3</w:t>
            </w:r>
          </w:p>
        </w:tc>
        <w:tc>
          <w:tcPr>
            <w:tcW w:w="467" w:type="pct"/>
            <w:tcBorders>
              <w:tl2br w:val="nil"/>
              <w:tr2bl w:val="nil"/>
            </w:tcBorders>
            <w:noWrap w:val="0"/>
            <w:vAlign w:val="center"/>
          </w:tcPr>
          <w:p w14:paraId="4477759E">
            <w:pPr>
              <w:spacing w:line="240" w:lineRule="auto"/>
              <w:ind w:left="0" w:leftChars="0" w:right="0" w:rightChars="0" w:firstLine="0" w:firstLineChars="0"/>
              <w:jc w:val="center"/>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val="en-US" w:eastAsia="zh-CN"/>
              </w:rPr>
              <w:t>1</w:t>
            </w:r>
          </w:p>
        </w:tc>
        <w:tc>
          <w:tcPr>
            <w:tcW w:w="576" w:type="pct"/>
            <w:tcBorders>
              <w:tl2br w:val="nil"/>
              <w:tr2bl w:val="nil"/>
            </w:tcBorders>
            <w:noWrap w:val="0"/>
            <w:vAlign w:val="center"/>
          </w:tcPr>
          <w:p w14:paraId="4E46F19D">
            <w:pPr>
              <w:spacing w:line="240" w:lineRule="auto"/>
              <w:ind w:left="0" w:leftChars="0" w:right="0" w:rightChars="0" w:firstLine="0" w:firstLineChars="0"/>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15</w:t>
            </w:r>
          </w:p>
        </w:tc>
        <w:tc>
          <w:tcPr>
            <w:tcW w:w="576" w:type="pct"/>
            <w:tcBorders>
              <w:tl2br w:val="nil"/>
              <w:tr2bl w:val="nil"/>
            </w:tcBorders>
            <w:noWrap w:val="0"/>
            <w:vAlign w:val="center"/>
          </w:tcPr>
          <w:p w14:paraId="54D2F286">
            <w:pPr>
              <w:spacing w:line="240" w:lineRule="auto"/>
              <w:ind w:left="0" w:leftChars="0" w:right="0" w:rightChars="0" w:firstLine="0" w:firstLineChars="0"/>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45</w:t>
            </w:r>
          </w:p>
        </w:tc>
        <w:tc>
          <w:tcPr>
            <w:tcW w:w="1537" w:type="pct"/>
            <w:tcBorders>
              <w:tl2br w:val="nil"/>
              <w:tr2bl w:val="nil"/>
            </w:tcBorders>
            <w:noWrap w:val="0"/>
            <w:vAlign w:val="center"/>
          </w:tcPr>
          <w:p w14:paraId="0523B399">
            <w:pPr>
              <w:spacing w:line="240" w:lineRule="auto"/>
              <w:ind w:left="0" w:leftChars="0" w:right="0" w:righ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sz w:val="21"/>
                <w:szCs w:val="21"/>
              </w:rPr>
              <w:t>可能危险，需要注意</w:t>
            </w:r>
          </w:p>
        </w:tc>
      </w:tr>
      <w:tr w14:paraId="47B07F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65" w:type="pct"/>
            <w:tcBorders>
              <w:tl2br w:val="nil"/>
              <w:tr2bl w:val="nil"/>
            </w:tcBorders>
            <w:noWrap w:val="0"/>
            <w:vAlign w:val="center"/>
          </w:tcPr>
          <w:p w14:paraId="4BC6A3EF">
            <w:pPr>
              <w:spacing w:line="240" w:lineRule="auto"/>
              <w:ind w:left="0" w:leftChars="0" w:right="0" w:rightChars="0" w:firstLine="0" w:firstLineChars="0"/>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2</w:t>
            </w:r>
          </w:p>
        </w:tc>
        <w:tc>
          <w:tcPr>
            <w:tcW w:w="884" w:type="pct"/>
            <w:tcBorders>
              <w:tl2br w:val="nil"/>
              <w:tr2bl w:val="nil"/>
            </w:tcBorders>
            <w:noWrap w:val="0"/>
            <w:vAlign w:val="center"/>
          </w:tcPr>
          <w:p w14:paraId="3F44715E">
            <w:pPr>
              <w:spacing w:line="240" w:lineRule="auto"/>
              <w:ind w:left="0" w:leftChars="0" w:right="0" w:righ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滑坡</w:t>
            </w:r>
          </w:p>
        </w:tc>
        <w:tc>
          <w:tcPr>
            <w:tcW w:w="492" w:type="pct"/>
            <w:tcBorders>
              <w:tl2br w:val="nil"/>
              <w:tr2bl w:val="nil"/>
            </w:tcBorders>
            <w:noWrap w:val="0"/>
            <w:vAlign w:val="center"/>
          </w:tcPr>
          <w:p w14:paraId="1B9C3736">
            <w:pPr>
              <w:spacing w:line="240" w:lineRule="auto"/>
              <w:ind w:left="0" w:leftChars="0" w:right="0" w:rightChars="0" w:firstLine="0" w:firstLineChars="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3</w:t>
            </w:r>
          </w:p>
        </w:tc>
        <w:tc>
          <w:tcPr>
            <w:tcW w:w="467" w:type="pct"/>
            <w:tcBorders>
              <w:tl2br w:val="nil"/>
              <w:tr2bl w:val="nil"/>
            </w:tcBorders>
            <w:noWrap w:val="0"/>
            <w:vAlign w:val="center"/>
          </w:tcPr>
          <w:p w14:paraId="353EC6A9">
            <w:pPr>
              <w:spacing w:line="240" w:lineRule="auto"/>
              <w:ind w:left="0" w:leftChars="0" w:right="0" w:rightChars="0" w:firstLine="0" w:firstLineChars="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1</w:t>
            </w:r>
          </w:p>
        </w:tc>
        <w:tc>
          <w:tcPr>
            <w:tcW w:w="576" w:type="pct"/>
            <w:tcBorders>
              <w:tl2br w:val="nil"/>
              <w:tr2bl w:val="nil"/>
            </w:tcBorders>
            <w:noWrap w:val="0"/>
            <w:vAlign w:val="center"/>
          </w:tcPr>
          <w:p w14:paraId="190824E1">
            <w:pPr>
              <w:spacing w:line="240" w:lineRule="auto"/>
              <w:ind w:left="0" w:leftChars="0" w:right="0" w:rightChars="0" w:firstLine="0" w:firstLineChars="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15</w:t>
            </w:r>
          </w:p>
        </w:tc>
        <w:tc>
          <w:tcPr>
            <w:tcW w:w="576" w:type="pct"/>
            <w:tcBorders>
              <w:tl2br w:val="nil"/>
              <w:tr2bl w:val="nil"/>
            </w:tcBorders>
            <w:noWrap w:val="0"/>
            <w:vAlign w:val="center"/>
          </w:tcPr>
          <w:p w14:paraId="6E8B940F">
            <w:pPr>
              <w:spacing w:line="240" w:lineRule="auto"/>
              <w:ind w:left="0" w:leftChars="0" w:right="0" w:rightChars="0" w:firstLine="0" w:firstLineChars="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45</w:t>
            </w:r>
          </w:p>
        </w:tc>
        <w:tc>
          <w:tcPr>
            <w:tcW w:w="1537" w:type="pct"/>
            <w:tcBorders>
              <w:tl2br w:val="nil"/>
              <w:tr2bl w:val="nil"/>
            </w:tcBorders>
            <w:noWrap w:val="0"/>
            <w:vAlign w:val="center"/>
          </w:tcPr>
          <w:p w14:paraId="790818E7">
            <w:pPr>
              <w:spacing w:line="240" w:lineRule="auto"/>
              <w:ind w:left="0" w:leftChars="0" w:right="0" w:rightChars="0" w:firstLine="0" w:firstLineChars="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sz w:val="21"/>
                <w:szCs w:val="21"/>
              </w:rPr>
              <w:t>可能危险，需要注意</w:t>
            </w:r>
          </w:p>
        </w:tc>
      </w:tr>
      <w:tr w14:paraId="2BDAA7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65" w:type="pct"/>
            <w:tcBorders>
              <w:tl2br w:val="nil"/>
              <w:tr2bl w:val="nil"/>
            </w:tcBorders>
            <w:noWrap w:val="0"/>
            <w:vAlign w:val="center"/>
          </w:tcPr>
          <w:p w14:paraId="28E14D14">
            <w:pPr>
              <w:spacing w:line="240" w:lineRule="auto"/>
              <w:ind w:left="0" w:leftChars="0" w:right="0" w:rightChars="0" w:firstLine="0" w:firstLineChars="0"/>
              <w:jc w:val="center"/>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val="en-US" w:eastAsia="zh-CN"/>
              </w:rPr>
              <w:t>3</w:t>
            </w:r>
          </w:p>
        </w:tc>
        <w:tc>
          <w:tcPr>
            <w:tcW w:w="884" w:type="pct"/>
            <w:tcBorders>
              <w:tl2br w:val="nil"/>
              <w:tr2bl w:val="nil"/>
            </w:tcBorders>
            <w:noWrap w:val="0"/>
            <w:vAlign w:val="center"/>
          </w:tcPr>
          <w:p w14:paraId="7667658F">
            <w:pPr>
              <w:spacing w:line="240" w:lineRule="auto"/>
              <w:ind w:left="0" w:leftChars="0" w:right="0" w:rightChars="0" w:firstLine="0" w:firstLineChars="0"/>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泥石流</w:t>
            </w:r>
          </w:p>
        </w:tc>
        <w:tc>
          <w:tcPr>
            <w:tcW w:w="492" w:type="pct"/>
            <w:tcBorders>
              <w:tl2br w:val="nil"/>
              <w:tr2bl w:val="nil"/>
            </w:tcBorders>
            <w:noWrap w:val="0"/>
            <w:vAlign w:val="center"/>
          </w:tcPr>
          <w:p w14:paraId="1662D201">
            <w:pPr>
              <w:spacing w:line="240" w:lineRule="auto"/>
              <w:ind w:left="0" w:leftChars="0" w:right="0" w:rightChars="0" w:firstLine="0" w:firstLineChars="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3</w:t>
            </w:r>
          </w:p>
        </w:tc>
        <w:tc>
          <w:tcPr>
            <w:tcW w:w="467" w:type="pct"/>
            <w:tcBorders>
              <w:tl2br w:val="nil"/>
              <w:tr2bl w:val="nil"/>
            </w:tcBorders>
            <w:noWrap w:val="0"/>
            <w:vAlign w:val="center"/>
          </w:tcPr>
          <w:p w14:paraId="234A6834">
            <w:pPr>
              <w:spacing w:line="240" w:lineRule="auto"/>
              <w:ind w:left="0" w:leftChars="0" w:right="0" w:rightChars="0" w:firstLine="0" w:firstLineChars="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1</w:t>
            </w:r>
          </w:p>
        </w:tc>
        <w:tc>
          <w:tcPr>
            <w:tcW w:w="576" w:type="pct"/>
            <w:tcBorders>
              <w:tl2br w:val="nil"/>
              <w:tr2bl w:val="nil"/>
            </w:tcBorders>
            <w:noWrap w:val="0"/>
            <w:vAlign w:val="center"/>
          </w:tcPr>
          <w:p w14:paraId="20916E08">
            <w:pPr>
              <w:spacing w:line="240" w:lineRule="auto"/>
              <w:ind w:left="0" w:leftChars="0" w:right="0" w:rightChars="0" w:firstLine="0" w:firstLineChars="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40</w:t>
            </w:r>
          </w:p>
        </w:tc>
        <w:tc>
          <w:tcPr>
            <w:tcW w:w="576" w:type="pct"/>
            <w:tcBorders>
              <w:tl2br w:val="nil"/>
              <w:tr2bl w:val="nil"/>
            </w:tcBorders>
            <w:noWrap w:val="0"/>
            <w:vAlign w:val="center"/>
          </w:tcPr>
          <w:p w14:paraId="468CA81A">
            <w:pPr>
              <w:spacing w:line="240" w:lineRule="auto"/>
              <w:ind w:left="0" w:leftChars="0" w:right="0" w:rightChars="0" w:firstLine="0" w:firstLineChars="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rPr>
              <w:t>120</w:t>
            </w:r>
          </w:p>
        </w:tc>
        <w:tc>
          <w:tcPr>
            <w:tcW w:w="1537" w:type="pct"/>
            <w:tcBorders>
              <w:tl2br w:val="nil"/>
              <w:tr2bl w:val="nil"/>
            </w:tcBorders>
            <w:noWrap w:val="0"/>
            <w:vAlign w:val="center"/>
          </w:tcPr>
          <w:p w14:paraId="49C78443">
            <w:pPr>
              <w:spacing w:line="240" w:lineRule="auto"/>
              <w:ind w:left="0" w:leftChars="0" w:right="0" w:rightChars="0" w:firstLine="0" w:firstLineChars="0"/>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sz w:val="21"/>
                <w:szCs w:val="21"/>
              </w:rPr>
              <w:t>显著危险，需要整改</w:t>
            </w:r>
          </w:p>
        </w:tc>
      </w:tr>
      <w:tr w14:paraId="1134B0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65" w:type="pct"/>
            <w:tcBorders>
              <w:tl2br w:val="nil"/>
              <w:tr2bl w:val="nil"/>
            </w:tcBorders>
            <w:noWrap w:val="0"/>
            <w:vAlign w:val="center"/>
          </w:tcPr>
          <w:p w14:paraId="7FFA057E">
            <w:pPr>
              <w:spacing w:line="240" w:lineRule="auto"/>
              <w:ind w:left="0" w:leftChars="0" w:right="0" w:rightChars="0" w:firstLine="0" w:firstLineChars="0"/>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4</w:t>
            </w:r>
          </w:p>
        </w:tc>
        <w:tc>
          <w:tcPr>
            <w:tcW w:w="884" w:type="pct"/>
            <w:tcBorders>
              <w:tl2br w:val="nil"/>
              <w:tr2bl w:val="nil"/>
            </w:tcBorders>
            <w:noWrap w:val="0"/>
            <w:vAlign w:val="center"/>
          </w:tcPr>
          <w:p w14:paraId="5F677C7A">
            <w:pPr>
              <w:spacing w:line="240" w:lineRule="auto"/>
              <w:ind w:left="0" w:leftChars="0" w:right="0" w:rightChars="0" w:firstLine="0" w:firstLineChars="0"/>
              <w:jc w:val="center"/>
              <w:rPr>
                <w:rFonts w:hint="eastAsia" w:ascii="宋体" w:hAnsi="宋体" w:eastAsia="宋体" w:cs="宋体"/>
                <w:color w:val="auto"/>
                <w:kern w:val="0"/>
                <w:sz w:val="21"/>
                <w:szCs w:val="21"/>
              </w:rPr>
            </w:pPr>
            <w:r>
              <w:rPr>
                <w:rFonts w:hint="eastAsia" w:ascii="宋体" w:hAnsi="宋体" w:eastAsia="宋体" w:cs="宋体"/>
                <w:sz w:val="21"/>
                <w:szCs w:val="21"/>
                <w:lang w:val="en-US" w:eastAsia="zh-CN"/>
              </w:rPr>
              <w:t>触电</w:t>
            </w:r>
          </w:p>
        </w:tc>
        <w:tc>
          <w:tcPr>
            <w:tcW w:w="492" w:type="pct"/>
            <w:tcBorders>
              <w:tl2br w:val="nil"/>
              <w:tr2bl w:val="nil"/>
            </w:tcBorders>
            <w:noWrap w:val="0"/>
            <w:vAlign w:val="center"/>
          </w:tcPr>
          <w:p w14:paraId="610A28CE">
            <w:pPr>
              <w:spacing w:line="240" w:lineRule="auto"/>
              <w:ind w:left="0" w:leftChars="0" w:right="0" w:rightChars="0" w:firstLine="0" w:firstLineChars="0"/>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val="en-US" w:eastAsia="zh-CN"/>
              </w:rPr>
              <w:t>1</w:t>
            </w:r>
          </w:p>
        </w:tc>
        <w:tc>
          <w:tcPr>
            <w:tcW w:w="467" w:type="pct"/>
            <w:tcBorders>
              <w:tl2br w:val="nil"/>
              <w:tr2bl w:val="nil"/>
            </w:tcBorders>
            <w:noWrap w:val="0"/>
            <w:vAlign w:val="center"/>
          </w:tcPr>
          <w:p w14:paraId="012C5492">
            <w:pPr>
              <w:spacing w:line="240" w:lineRule="auto"/>
              <w:ind w:left="0" w:leftChars="0" w:right="0" w:rightChars="0" w:firstLine="0" w:firstLineChars="0"/>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val="en-US" w:eastAsia="zh-CN"/>
              </w:rPr>
              <w:t>6</w:t>
            </w:r>
          </w:p>
        </w:tc>
        <w:tc>
          <w:tcPr>
            <w:tcW w:w="576" w:type="pct"/>
            <w:tcBorders>
              <w:tl2br w:val="nil"/>
              <w:tr2bl w:val="nil"/>
            </w:tcBorders>
            <w:noWrap w:val="0"/>
            <w:vAlign w:val="center"/>
          </w:tcPr>
          <w:p w14:paraId="729CC592">
            <w:pPr>
              <w:spacing w:line="240" w:lineRule="auto"/>
              <w:ind w:left="0" w:leftChars="0" w:right="0" w:rightChars="0" w:firstLine="0" w:firstLineChars="0"/>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val="en-US" w:eastAsia="zh-CN"/>
              </w:rPr>
              <w:t>15</w:t>
            </w:r>
          </w:p>
        </w:tc>
        <w:tc>
          <w:tcPr>
            <w:tcW w:w="576" w:type="pct"/>
            <w:tcBorders>
              <w:tl2br w:val="nil"/>
              <w:tr2bl w:val="nil"/>
            </w:tcBorders>
            <w:noWrap w:val="0"/>
            <w:vAlign w:val="center"/>
          </w:tcPr>
          <w:p w14:paraId="2179D955">
            <w:pPr>
              <w:spacing w:line="240" w:lineRule="auto"/>
              <w:ind w:left="0" w:leftChars="0" w:right="0" w:rightChars="0" w:firstLine="0" w:firstLineChars="0"/>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val="en-US" w:eastAsia="zh-CN"/>
              </w:rPr>
              <w:t>90</w:t>
            </w:r>
          </w:p>
        </w:tc>
        <w:tc>
          <w:tcPr>
            <w:tcW w:w="1537" w:type="pct"/>
            <w:tcBorders>
              <w:tl2br w:val="nil"/>
              <w:tr2bl w:val="nil"/>
            </w:tcBorders>
            <w:noWrap w:val="0"/>
            <w:vAlign w:val="center"/>
          </w:tcPr>
          <w:p w14:paraId="08BBFCD8">
            <w:pPr>
              <w:spacing w:line="240" w:lineRule="auto"/>
              <w:ind w:left="0" w:leftChars="0" w:right="0" w:rightChars="0"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显著危险，需要整改</w:t>
            </w:r>
          </w:p>
        </w:tc>
      </w:tr>
      <w:tr w14:paraId="3956D9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65" w:type="pct"/>
            <w:tcBorders>
              <w:tl2br w:val="nil"/>
              <w:tr2bl w:val="nil"/>
            </w:tcBorders>
            <w:noWrap w:val="0"/>
            <w:vAlign w:val="center"/>
          </w:tcPr>
          <w:p w14:paraId="026A432B">
            <w:pPr>
              <w:spacing w:line="240" w:lineRule="auto"/>
              <w:ind w:left="0" w:leftChars="0" w:right="0" w:rightChars="0" w:firstLine="0" w:firstLineChars="0"/>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5</w:t>
            </w:r>
          </w:p>
        </w:tc>
        <w:tc>
          <w:tcPr>
            <w:tcW w:w="884" w:type="pct"/>
            <w:tcBorders>
              <w:tl2br w:val="nil"/>
              <w:tr2bl w:val="nil"/>
            </w:tcBorders>
            <w:noWrap w:val="0"/>
            <w:vAlign w:val="center"/>
          </w:tcPr>
          <w:p w14:paraId="5BADC483">
            <w:pPr>
              <w:spacing w:line="240" w:lineRule="auto"/>
              <w:ind w:left="0" w:leftChars="0" w:right="0" w:rightChars="0" w:firstLine="0" w:firstLineChars="0"/>
              <w:jc w:val="center"/>
              <w:rPr>
                <w:rFonts w:hint="eastAsia" w:ascii="宋体" w:hAnsi="宋体" w:eastAsia="宋体" w:cs="宋体"/>
                <w:color w:val="auto"/>
                <w:kern w:val="0"/>
                <w:sz w:val="21"/>
                <w:szCs w:val="21"/>
              </w:rPr>
            </w:pPr>
            <w:r>
              <w:rPr>
                <w:rFonts w:hint="eastAsia" w:ascii="宋体" w:hAnsi="宋体" w:eastAsia="宋体" w:cs="宋体"/>
                <w:sz w:val="21"/>
                <w:szCs w:val="21"/>
                <w:lang w:val="en-US" w:eastAsia="zh-CN"/>
              </w:rPr>
              <w:t>淹溺</w:t>
            </w:r>
          </w:p>
        </w:tc>
        <w:tc>
          <w:tcPr>
            <w:tcW w:w="492" w:type="pct"/>
            <w:tcBorders>
              <w:tl2br w:val="nil"/>
              <w:tr2bl w:val="nil"/>
            </w:tcBorders>
            <w:noWrap w:val="0"/>
            <w:vAlign w:val="center"/>
          </w:tcPr>
          <w:p w14:paraId="7E08A3ED">
            <w:pPr>
              <w:spacing w:line="240" w:lineRule="auto"/>
              <w:ind w:left="0" w:leftChars="0" w:right="0" w:rightChars="0" w:firstLine="0" w:firstLineChars="0"/>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val="en-US" w:eastAsia="zh-CN"/>
              </w:rPr>
              <w:t>1</w:t>
            </w:r>
          </w:p>
        </w:tc>
        <w:tc>
          <w:tcPr>
            <w:tcW w:w="467" w:type="pct"/>
            <w:tcBorders>
              <w:tl2br w:val="nil"/>
              <w:tr2bl w:val="nil"/>
            </w:tcBorders>
            <w:noWrap w:val="0"/>
            <w:vAlign w:val="center"/>
          </w:tcPr>
          <w:p w14:paraId="4B6A3554">
            <w:pPr>
              <w:spacing w:line="240" w:lineRule="auto"/>
              <w:ind w:left="0" w:leftChars="0" w:right="0" w:rightChars="0" w:firstLine="0" w:firstLineChars="0"/>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val="en-US" w:eastAsia="zh-CN"/>
              </w:rPr>
              <w:t>3</w:t>
            </w:r>
          </w:p>
        </w:tc>
        <w:tc>
          <w:tcPr>
            <w:tcW w:w="576" w:type="pct"/>
            <w:tcBorders>
              <w:tl2br w:val="nil"/>
              <w:tr2bl w:val="nil"/>
            </w:tcBorders>
            <w:noWrap w:val="0"/>
            <w:vAlign w:val="center"/>
          </w:tcPr>
          <w:p w14:paraId="7C0C1A77">
            <w:pPr>
              <w:spacing w:line="240" w:lineRule="auto"/>
              <w:ind w:left="0" w:leftChars="0" w:right="0" w:rightChars="0" w:firstLine="0" w:firstLineChars="0"/>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val="en-US" w:eastAsia="zh-CN"/>
              </w:rPr>
              <w:t>15</w:t>
            </w:r>
          </w:p>
        </w:tc>
        <w:tc>
          <w:tcPr>
            <w:tcW w:w="576" w:type="pct"/>
            <w:tcBorders>
              <w:tl2br w:val="nil"/>
              <w:tr2bl w:val="nil"/>
            </w:tcBorders>
            <w:noWrap w:val="0"/>
            <w:vAlign w:val="center"/>
          </w:tcPr>
          <w:p w14:paraId="5498C0B4">
            <w:pPr>
              <w:spacing w:line="240" w:lineRule="auto"/>
              <w:ind w:left="0" w:leftChars="0" w:right="0" w:rightChars="0" w:firstLine="0" w:firstLineChars="0"/>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 w:val="21"/>
                <w:szCs w:val="21"/>
                <w:lang w:val="en-US" w:eastAsia="zh-CN"/>
              </w:rPr>
              <w:t>45</w:t>
            </w:r>
          </w:p>
        </w:tc>
        <w:tc>
          <w:tcPr>
            <w:tcW w:w="1537" w:type="pct"/>
            <w:tcBorders>
              <w:tl2br w:val="nil"/>
              <w:tr2bl w:val="nil"/>
            </w:tcBorders>
            <w:noWrap w:val="0"/>
            <w:vAlign w:val="center"/>
          </w:tcPr>
          <w:p w14:paraId="311E7CC5">
            <w:pPr>
              <w:spacing w:line="240" w:lineRule="auto"/>
              <w:ind w:left="0" w:leftChars="0" w:right="0" w:rightChars="0"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可能危险，需要注意</w:t>
            </w:r>
          </w:p>
        </w:tc>
      </w:tr>
    </w:tbl>
    <w:p w14:paraId="6C2A3212">
      <w:pPr>
        <w:pStyle w:val="4"/>
        <w:bidi w:val="0"/>
      </w:pPr>
      <w:bookmarkStart w:id="202" w:name="_Toc20967"/>
      <w:r>
        <w:rPr>
          <w:rFonts w:hint="eastAsia"/>
        </w:rPr>
        <w:t>预先危险性分析</w:t>
      </w:r>
      <w:bookmarkEnd w:id="202"/>
    </w:p>
    <w:p w14:paraId="532E7F81">
      <w:pPr>
        <w:bidi w:val="0"/>
        <w:rPr>
          <w:rFonts w:hint="eastAsia" w:ascii="宋体" w:hAnsi="宋体" w:eastAsia="宋体" w:cs="宋体"/>
        </w:rPr>
      </w:pPr>
      <w:r>
        <w:rPr>
          <w:rFonts w:hint="eastAsia" w:ascii="宋体" w:hAnsi="宋体" w:eastAsia="宋体" w:cs="宋体"/>
        </w:rPr>
        <w:t>采用预先危险性分析法对</w:t>
      </w:r>
      <w:r>
        <w:rPr>
          <w:rFonts w:hint="eastAsia" w:ascii="宋体" w:hAnsi="宋体" w:eastAsia="宋体" w:cs="宋体"/>
          <w:lang w:val="en-US" w:eastAsia="zh-CN"/>
        </w:rPr>
        <w:t>防排水单元</w:t>
      </w:r>
      <w:r>
        <w:rPr>
          <w:rFonts w:hint="eastAsia" w:ascii="宋体" w:hAnsi="宋体" w:eastAsia="宋体" w:cs="宋体"/>
        </w:rPr>
        <w:t>中存在的危险因素进行分析评价并预测事故后果严重等级，见表</w:t>
      </w:r>
      <w:r>
        <w:rPr>
          <w:rFonts w:hint="eastAsia" w:ascii="宋体" w:hAnsi="宋体" w:cs="宋体"/>
          <w:lang w:val="en-US" w:eastAsia="zh-CN"/>
        </w:rPr>
        <w:t>3-20</w:t>
      </w:r>
      <w:r>
        <w:rPr>
          <w:rFonts w:hint="eastAsia" w:ascii="宋体" w:hAnsi="宋体" w:eastAsia="宋体" w:cs="宋体"/>
          <w:lang w:val="en-US" w:eastAsia="zh-CN"/>
        </w:rPr>
        <w:t>。</w:t>
      </w:r>
    </w:p>
    <w:p w14:paraId="7D9F44B6">
      <w:pPr>
        <w:pStyle w:val="11"/>
        <w:ind w:left="0" w:leftChars="0" w:firstLine="0" w:firstLineChars="0"/>
        <w:jc w:val="center"/>
        <w:rPr>
          <w:rFonts w:hint="eastAsia" w:eastAsia="宋体"/>
          <w:lang w:eastAsia="zh-CN"/>
        </w:rPr>
      </w:pPr>
      <w:r>
        <w:t xml:space="preserve">表 </w:t>
      </w:r>
      <w:r>
        <w:fldChar w:fldCharType="begin"/>
      </w:r>
      <w:r>
        <w:instrText xml:space="preserve"> STYLEREF 1 \s </w:instrText>
      </w:r>
      <w:r>
        <w:fldChar w:fldCharType="separate"/>
      </w:r>
      <w:r>
        <w:t>3</w:t>
      </w:r>
      <w:r>
        <w:fldChar w:fldCharType="end"/>
      </w:r>
      <w:r>
        <w:rPr>
          <w:rFonts w:hint="eastAsia"/>
          <w:lang w:eastAsia="zh-CN"/>
        </w:rPr>
        <w:t>-</w:t>
      </w:r>
      <w:r>
        <w:fldChar w:fldCharType="begin"/>
      </w:r>
      <w:r>
        <w:instrText xml:space="preserve"> SEQ 表 \* ARABIC \s 1 </w:instrText>
      </w:r>
      <w:r>
        <w:fldChar w:fldCharType="separate"/>
      </w:r>
      <w:r>
        <w:t>20</w:t>
      </w:r>
      <w:r>
        <w:fldChar w:fldCharType="end"/>
      </w:r>
      <w:r>
        <w:rPr>
          <w:rFonts w:hint="eastAsia"/>
          <w:lang w:eastAsia="zh-CN"/>
        </w:rPr>
        <w:t xml:space="preserve"> 防排水单元预先危险性分析表</w:t>
      </w:r>
    </w:p>
    <w:tbl>
      <w:tblPr>
        <w:tblStyle w:val="29"/>
        <w:tblW w:w="4997"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8"/>
        <w:gridCol w:w="3900"/>
        <w:gridCol w:w="779"/>
        <w:gridCol w:w="704"/>
        <w:gridCol w:w="2772"/>
      </w:tblGrid>
      <w:tr w14:paraId="0D7FDE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26" w:type="pct"/>
            <w:tcBorders>
              <w:tl2br w:val="nil"/>
              <w:tr2bl w:val="nil"/>
            </w:tcBorders>
            <w:noWrap w:val="0"/>
            <w:vAlign w:val="center"/>
          </w:tcPr>
          <w:p w14:paraId="38DFEEA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bCs/>
                <w:color w:val="auto"/>
                <w:sz w:val="21"/>
                <w:szCs w:val="21"/>
              </w:rPr>
            </w:pPr>
            <w:r>
              <w:rPr>
                <w:rFonts w:hint="eastAsia" w:ascii="宋体" w:hAnsi="宋体" w:eastAsia="宋体" w:cs="宋体"/>
                <w:b/>
                <w:color w:val="auto"/>
                <w:sz w:val="21"/>
                <w:szCs w:val="21"/>
              </w:rPr>
              <w:t>危险有害因素</w:t>
            </w:r>
          </w:p>
        </w:tc>
        <w:tc>
          <w:tcPr>
            <w:tcW w:w="2139" w:type="pct"/>
            <w:tcBorders>
              <w:tl2br w:val="nil"/>
              <w:tr2bl w:val="nil"/>
            </w:tcBorders>
            <w:noWrap w:val="0"/>
            <w:vAlign w:val="center"/>
          </w:tcPr>
          <w:p w14:paraId="1FB3A9A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诱发事故原因</w:t>
            </w:r>
          </w:p>
        </w:tc>
        <w:tc>
          <w:tcPr>
            <w:tcW w:w="427" w:type="pct"/>
            <w:tcBorders>
              <w:tl2br w:val="nil"/>
              <w:tr2bl w:val="nil"/>
            </w:tcBorders>
            <w:noWrap w:val="0"/>
            <w:vAlign w:val="center"/>
          </w:tcPr>
          <w:p w14:paraId="235F50C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事故后果</w:t>
            </w:r>
          </w:p>
        </w:tc>
        <w:tc>
          <w:tcPr>
            <w:tcW w:w="386" w:type="pct"/>
            <w:tcBorders>
              <w:tl2br w:val="nil"/>
              <w:tr2bl w:val="nil"/>
            </w:tcBorders>
            <w:noWrap w:val="0"/>
            <w:vAlign w:val="center"/>
          </w:tcPr>
          <w:p w14:paraId="4BC78C2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危险等级</w:t>
            </w:r>
          </w:p>
        </w:tc>
        <w:tc>
          <w:tcPr>
            <w:tcW w:w="1520" w:type="pct"/>
            <w:tcBorders>
              <w:tl2br w:val="nil"/>
              <w:tr2bl w:val="nil"/>
            </w:tcBorders>
            <w:noWrap w:val="0"/>
            <w:vAlign w:val="center"/>
          </w:tcPr>
          <w:p w14:paraId="24668F4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color w:val="auto"/>
                <w:sz w:val="21"/>
                <w:szCs w:val="21"/>
              </w:rPr>
            </w:pPr>
            <w:r>
              <w:rPr>
                <w:rFonts w:hint="eastAsia" w:ascii="宋体" w:hAnsi="宋体" w:eastAsia="宋体" w:cs="宋体"/>
                <w:b/>
                <w:color w:val="auto"/>
                <w:sz w:val="21"/>
                <w:szCs w:val="21"/>
              </w:rPr>
              <w:t>对策措施</w:t>
            </w:r>
          </w:p>
        </w:tc>
      </w:tr>
      <w:tr w14:paraId="12FB03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26" w:type="pct"/>
            <w:tcBorders>
              <w:tl2br w:val="nil"/>
              <w:tr2bl w:val="nil"/>
            </w:tcBorders>
            <w:noWrap w:val="0"/>
            <w:vAlign w:val="center"/>
          </w:tcPr>
          <w:p w14:paraId="1267085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边坡台阶坍塌滑坡</w:t>
            </w:r>
          </w:p>
        </w:tc>
        <w:tc>
          <w:tcPr>
            <w:tcW w:w="2139" w:type="pct"/>
            <w:tcBorders>
              <w:tl2br w:val="nil"/>
              <w:tr2bl w:val="nil"/>
            </w:tcBorders>
            <w:noWrap w:val="0"/>
            <w:vAlign w:val="center"/>
          </w:tcPr>
          <w:p w14:paraId="4E818B48">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露天采场山坡回水面大的开采境界上方未设置截排水沟，雨季汇水冲刷采场边坡。</w:t>
            </w:r>
          </w:p>
          <w:p w14:paraId="1841D3D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采场内各台阶排水沟排泄条件不好、采场外截水沟不畅。</w:t>
            </w:r>
          </w:p>
        </w:tc>
        <w:tc>
          <w:tcPr>
            <w:tcW w:w="427" w:type="pct"/>
            <w:tcBorders>
              <w:tl2br w:val="nil"/>
              <w:tr2bl w:val="nil"/>
            </w:tcBorders>
            <w:noWrap w:val="0"/>
            <w:vAlign w:val="center"/>
          </w:tcPr>
          <w:p w14:paraId="7F173CFA">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人员伤亡财产损失</w:t>
            </w:r>
          </w:p>
        </w:tc>
        <w:tc>
          <w:tcPr>
            <w:tcW w:w="386" w:type="pct"/>
            <w:tcBorders>
              <w:tl2br w:val="nil"/>
              <w:tr2bl w:val="nil"/>
            </w:tcBorders>
            <w:noWrap w:val="0"/>
            <w:vAlign w:val="center"/>
          </w:tcPr>
          <w:p w14:paraId="2FA96E63">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Ⅱ</w:t>
            </w:r>
          </w:p>
        </w:tc>
        <w:tc>
          <w:tcPr>
            <w:tcW w:w="1520" w:type="pct"/>
            <w:tcBorders>
              <w:tl2br w:val="nil"/>
              <w:tr2bl w:val="nil"/>
            </w:tcBorders>
            <w:noWrap w:val="0"/>
            <w:vAlign w:val="center"/>
          </w:tcPr>
          <w:p w14:paraId="569A75F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露天采场山坡回水面大的开采境界上方设置截排水沟；</w:t>
            </w:r>
          </w:p>
          <w:p w14:paraId="55CE2DC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采场边坡台阶设置疏排水沟</w:t>
            </w:r>
            <w:r>
              <w:rPr>
                <w:rFonts w:hint="eastAsia" w:ascii="宋体" w:hAnsi="宋体" w:eastAsia="宋体" w:cs="宋体"/>
                <w:color w:val="auto"/>
                <w:sz w:val="21"/>
                <w:szCs w:val="21"/>
                <w:lang w:eastAsia="zh-CN"/>
              </w:rPr>
              <w:t>；</w:t>
            </w:r>
          </w:p>
          <w:p w14:paraId="1B38420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完善挡土墙和排水沟</w:t>
            </w:r>
            <w:r>
              <w:rPr>
                <w:rFonts w:hint="eastAsia" w:ascii="宋体" w:hAnsi="宋体" w:eastAsia="宋体" w:cs="宋体"/>
                <w:color w:val="auto"/>
                <w:sz w:val="21"/>
                <w:szCs w:val="21"/>
                <w:lang w:eastAsia="zh-CN"/>
              </w:rPr>
              <w:t>。</w:t>
            </w:r>
          </w:p>
        </w:tc>
      </w:tr>
      <w:tr w14:paraId="5C093A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26" w:type="pct"/>
            <w:tcBorders>
              <w:tl2br w:val="nil"/>
              <w:tr2bl w:val="nil"/>
            </w:tcBorders>
            <w:noWrap w:val="0"/>
            <w:vAlign w:val="center"/>
          </w:tcPr>
          <w:p w14:paraId="2195111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泥石流</w:t>
            </w:r>
          </w:p>
        </w:tc>
        <w:tc>
          <w:tcPr>
            <w:tcW w:w="2139" w:type="pct"/>
            <w:tcBorders>
              <w:tl2br w:val="nil"/>
              <w:tr2bl w:val="nil"/>
            </w:tcBorders>
            <w:noWrap w:val="0"/>
            <w:vAlign w:val="center"/>
          </w:tcPr>
          <w:p w14:paraId="7BA6954E">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露天采场山坡回水面大的开采境界上方未设置截排水沟</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山谷位置大量松散岩土堆积。</w:t>
            </w:r>
          </w:p>
        </w:tc>
        <w:tc>
          <w:tcPr>
            <w:tcW w:w="427" w:type="pct"/>
            <w:tcBorders>
              <w:tl2br w:val="nil"/>
              <w:tr2bl w:val="nil"/>
            </w:tcBorders>
            <w:noWrap w:val="0"/>
            <w:vAlign w:val="center"/>
          </w:tcPr>
          <w:p w14:paraId="4248E41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人员伤亡</w:t>
            </w:r>
          </w:p>
        </w:tc>
        <w:tc>
          <w:tcPr>
            <w:tcW w:w="386" w:type="pct"/>
            <w:tcBorders>
              <w:tl2br w:val="nil"/>
              <w:tr2bl w:val="nil"/>
            </w:tcBorders>
            <w:noWrap w:val="0"/>
            <w:vAlign w:val="center"/>
          </w:tcPr>
          <w:p w14:paraId="3FC80C3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Ⅲ</w:t>
            </w:r>
          </w:p>
        </w:tc>
        <w:tc>
          <w:tcPr>
            <w:tcW w:w="1520" w:type="pct"/>
            <w:tcBorders>
              <w:tl2br w:val="nil"/>
              <w:tr2bl w:val="nil"/>
            </w:tcBorders>
            <w:noWrap w:val="0"/>
            <w:vAlign w:val="center"/>
          </w:tcPr>
          <w:p w14:paraId="624846A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制定防止引发山洪泥石流的设计方案；</w:t>
            </w:r>
          </w:p>
          <w:p w14:paraId="6EF0D91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2.雨季加强检查。</w:t>
            </w:r>
          </w:p>
        </w:tc>
      </w:tr>
      <w:tr w14:paraId="761D13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26" w:type="pct"/>
            <w:tcBorders>
              <w:tl2br w:val="nil"/>
              <w:tr2bl w:val="nil"/>
            </w:tcBorders>
            <w:noWrap w:val="0"/>
            <w:vAlign w:val="center"/>
          </w:tcPr>
          <w:p w14:paraId="04AA799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触电</w:t>
            </w:r>
          </w:p>
        </w:tc>
        <w:tc>
          <w:tcPr>
            <w:tcW w:w="2139" w:type="pct"/>
            <w:tcBorders>
              <w:tl2br w:val="nil"/>
              <w:tr2bl w:val="nil"/>
            </w:tcBorders>
            <w:noWrap w:val="0"/>
            <w:vAlign w:val="center"/>
          </w:tcPr>
          <w:p w14:paraId="62A9E51B">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r>
              <w:rPr>
                <w:rFonts w:hint="eastAsia" w:ascii="宋体" w:hAnsi="宋体" w:cs="宋体"/>
                <w:color w:val="auto"/>
                <w:sz w:val="21"/>
                <w:szCs w:val="21"/>
                <w:lang w:val="en-US" w:eastAsia="zh-CN"/>
              </w:rPr>
              <w:t>抽</w:t>
            </w:r>
            <w:r>
              <w:rPr>
                <w:rFonts w:hint="eastAsia" w:ascii="宋体" w:hAnsi="宋体" w:eastAsia="宋体" w:cs="宋体"/>
                <w:color w:val="auto"/>
                <w:sz w:val="21"/>
                <w:szCs w:val="21"/>
                <w:lang w:val="en-US" w:eastAsia="zh-CN"/>
              </w:rPr>
              <w:t>水作业违章作业</w:t>
            </w:r>
            <w:r>
              <w:rPr>
                <w:rFonts w:hint="eastAsia" w:ascii="宋体" w:hAnsi="宋体" w:cs="宋体"/>
                <w:color w:val="auto"/>
                <w:sz w:val="21"/>
                <w:szCs w:val="21"/>
                <w:lang w:val="en-US" w:eastAsia="zh-CN"/>
              </w:rPr>
              <w:t>；</w:t>
            </w:r>
          </w:p>
          <w:p w14:paraId="049A2849">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2.抽、排水设备保护设施不到位。</w:t>
            </w:r>
          </w:p>
        </w:tc>
        <w:tc>
          <w:tcPr>
            <w:tcW w:w="427" w:type="pct"/>
            <w:tcBorders>
              <w:tl2br w:val="nil"/>
              <w:tr2bl w:val="nil"/>
            </w:tcBorders>
            <w:noWrap w:val="0"/>
            <w:vAlign w:val="center"/>
          </w:tcPr>
          <w:p w14:paraId="5DD3AD8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人员伤亡</w:t>
            </w:r>
          </w:p>
        </w:tc>
        <w:tc>
          <w:tcPr>
            <w:tcW w:w="386" w:type="pct"/>
            <w:tcBorders>
              <w:tl2br w:val="nil"/>
              <w:tr2bl w:val="nil"/>
            </w:tcBorders>
            <w:noWrap w:val="0"/>
            <w:vAlign w:val="center"/>
          </w:tcPr>
          <w:p w14:paraId="4F7ADD6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Ⅲ</w:t>
            </w:r>
          </w:p>
        </w:tc>
        <w:tc>
          <w:tcPr>
            <w:tcW w:w="1520" w:type="pct"/>
            <w:tcBorders>
              <w:tl2br w:val="nil"/>
              <w:tr2bl w:val="nil"/>
            </w:tcBorders>
            <w:noWrap w:val="0"/>
            <w:vAlign w:val="center"/>
          </w:tcPr>
          <w:p w14:paraId="08605FB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严格执行操作规程</w:t>
            </w:r>
            <w:r>
              <w:rPr>
                <w:rFonts w:hint="eastAsia" w:ascii="宋体" w:hAnsi="宋体" w:eastAsia="宋体" w:cs="宋体"/>
                <w:color w:val="auto"/>
                <w:sz w:val="21"/>
                <w:szCs w:val="21"/>
                <w:lang w:eastAsia="zh-CN"/>
              </w:rPr>
              <w:t>；</w:t>
            </w:r>
          </w:p>
          <w:p w14:paraId="181B10B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加强个人防护措施</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电气设备采用保护接地</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电气设备可能被人所触及的裸露带电部分，设置</w:t>
            </w:r>
            <w:r>
              <w:rPr>
                <w:rFonts w:hint="eastAsia" w:ascii="宋体" w:hAnsi="宋体" w:cs="宋体"/>
                <w:color w:val="auto"/>
                <w:sz w:val="21"/>
                <w:szCs w:val="21"/>
                <w:lang w:eastAsia="zh-CN"/>
              </w:rPr>
              <w:t>警示标志</w:t>
            </w:r>
            <w:r>
              <w:rPr>
                <w:rFonts w:hint="eastAsia" w:ascii="宋体" w:hAnsi="宋体" w:eastAsia="宋体" w:cs="宋体"/>
                <w:color w:val="auto"/>
                <w:sz w:val="21"/>
                <w:szCs w:val="21"/>
              </w:rPr>
              <w:t>。</w:t>
            </w:r>
          </w:p>
        </w:tc>
      </w:tr>
      <w:tr w14:paraId="596A10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26" w:type="pct"/>
            <w:tcBorders>
              <w:tl2br w:val="nil"/>
              <w:tr2bl w:val="nil"/>
            </w:tcBorders>
            <w:noWrap w:val="0"/>
            <w:vAlign w:val="center"/>
          </w:tcPr>
          <w:p w14:paraId="1E278CF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淹溺</w:t>
            </w:r>
          </w:p>
        </w:tc>
        <w:tc>
          <w:tcPr>
            <w:tcW w:w="2139" w:type="pct"/>
            <w:tcBorders>
              <w:tl2br w:val="nil"/>
              <w:tr2bl w:val="nil"/>
            </w:tcBorders>
            <w:noWrap w:val="0"/>
            <w:vAlign w:val="center"/>
          </w:tcPr>
          <w:p w14:paraId="242F02B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1.水池周边安全防护栏缺失；</w:t>
            </w:r>
          </w:p>
          <w:p w14:paraId="1FC10BE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2.未设置安全警示标志和警示带；</w:t>
            </w:r>
          </w:p>
          <w:p w14:paraId="35F1A032">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3.违章作业。</w:t>
            </w:r>
          </w:p>
        </w:tc>
        <w:tc>
          <w:tcPr>
            <w:tcW w:w="427" w:type="pct"/>
            <w:tcBorders>
              <w:tl2br w:val="nil"/>
              <w:tr2bl w:val="nil"/>
            </w:tcBorders>
            <w:noWrap w:val="0"/>
            <w:vAlign w:val="center"/>
          </w:tcPr>
          <w:p w14:paraId="0F188FD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人员伤亡</w:t>
            </w:r>
          </w:p>
        </w:tc>
        <w:tc>
          <w:tcPr>
            <w:tcW w:w="386" w:type="pct"/>
            <w:tcBorders>
              <w:tl2br w:val="nil"/>
              <w:tr2bl w:val="nil"/>
            </w:tcBorders>
            <w:noWrap w:val="0"/>
            <w:vAlign w:val="center"/>
          </w:tcPr>
          <w:p w14:paraId="72866445">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rPr>
              <w:t>Ⅱ</w:t>
            </w:r>
          </w:p>
        </w:tc>
        <w:tc>
          <w:tcPr>
            <w:tcW w:w="1520" w:type="pct"/>
            <w:tcBorders>
              <w:tl2br w:val="nil"/>
              <w:tr2bl w:val="nil"/>
            </w:tcBorders>
            <w:noWrap w:val="0"/>
            <w:vAlign w:val="center"/>
          </w:tcPr>
          <w:p w14:paraId="4AB04004">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1.水池四周应设置安全防护围栏；</w:t>
            </w:r>
          </w:p>
          <w:p w14:paraId="434F0E5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2.水池周围设置安全警示标志和警示带；</w:t>
            </w:r>
          </w:p>
          <w:p w14:paraId="4669F27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3.加强人员安全培训教育。</w:t>
            </w:r>
          </w:p>
        </w:tc>
      </w:tr>
    </w:tbl>
    <w:p w14:paraId="317DC384">
      <w:pPr>
        <w:adjustRightInd w:val="0"/>
        <w:snapToGrid w:val="0"/>
        <w:spacing w:before="156" w:beforeLines="50" w:line="500" w:lineRule="exact"/>
        <w:ind w:firstLine="560" w:firstLineChars="200"/>
        <w:rPr>
          <w:rFonts w:hint="default" w:ascii="宋体" w:hAnsi="宋体" w:eastAsia="宋体" w:cs="Times New Roman"/>
          <w:sz w:val="28"/>
          <w:szCs w:val="28"/>
          <w:lang w:val="en-US" w:eastAsia="zh-CN"/>
        </w:rPr>
      </w:pPr>
      <w:r>
        <w:rPr>
          <w:rFonts w:hint="eastAsia" w:ascii="宋体" w:hAnsi="宋体" w:eastAsia="宋体" w:cs="Times New Roman"/>
          <w:sz w:val="28"/>
          <w:szCs w:val="28"/>
          <w:lang w:val="en-US" w:eastAsia="zh-CN"/>
        </w:rPr>
        <w:t>通过</w:t>
      </w:r>
      <w:r>
        <w:rPr>
          <w:rFonts w:hint="eastAsia" w:ascii="宋体" w:hAnsi="宋体" w:eastAsia="宋体" w:cs="Times New Roman"/>
          <w:sz w:val="28"/>
          <w:szCs w:val="28"/>
        </w:rPr>
        <w:t>预先危险性分析表可知：泥石流、</w:t>
      </w:r>
      <w:r>
        <w:rPr>
          <w:rFonts w:hint="eastAsia" w:ascii="宋体" w:hAnsi="宋体" w:eastAsia="宋体" w:cs="Times New Roman"/>
          <w:sz w:val="28"/>
          <w:szCs w:val="28"/>
          <w:lang w:val="en-US" w:eastAsia="zh-CN"/>
        </w:rPr>
        <w:t>触电</w:t>
      </w:r>
      <w:r>
        <w:rPr>
          <w:rFonts w:hint="eastAsia" w:ascii="宋体" w:hAnsi="宋体" w:eastAsia="宋体" w:cs="Times New Roman"/>
          <w:sz w:val="28"/>
          <w:szCs w:val="28"/>
        </w:rPr>
        <w:t>危险等级为Ⅲ级，会造成人员伤亡和系统损坏，应立即采取措施进行控制。边坡台阶坍塌滑坡</w:t>
      </w:r>
      <w:r>
        <w:rPr>
          <w:rFonts w:hint="eastAsia" w:ascii="宋体" w:hAnsi="宋体" w:eastAsia="宋体" w:cs="Times New Roman"/>
          <w:sz w:val="28"/>
          <w:szCs w:val="28"/>
          <w:lang w:eastAsia="zh-CN"/>
        </w:rPr>
        <w:t>、</w:t>
      </w:r>
      <w:r>
        <w:rPr>
          <w:rFonts w:hint="eastAsia" w:ascii="宋体" w:hAnsi="宋体" w:eastAsia="宋体" w:cs="Times New Roman"/>
          <w:sz w:val="28"/>
          <w:szCs w:val="28"/>
          <w:lang w:val="en-US" w:eastAsia="zh-CN"/>
        </w:rPr>
        <w:t>淹溺</w:t>
      </w:r>
      <w:r>
        <w:rPr>
          <w:rFonts w:hint="eastAsia" w:ascii="宋体" w:hAnsi="宋体" w:eastAsia="宋体" w:cs="Times New Roman"/>
          <w:sz w:val="28"/>
          <w:szCs w:val="28"/>
        </w:rPr>
        <w:t>危险等级为Ⅱ级，处于事故的边缘状态，暂时还不至于造成人员伤亡、系统损坏或降低系统性能，应予以排除或采取控制措施。</w:t>
      </w:r>
    </w:p>
    <w:p w14:paraId="77979225">
      <w:pPr>
        <w:pStyle w:val="4"/>
        <w:bidi w:val="0"/>
      </w:pPr>
      <w:bookmarkStart w:id="203" w:name="_Toc15642"/>
      <w:r>
        <w:rPr>
          <w:rFonts w:hint="eastAsia"/>
        </w:rPr>
        <w:t>安全检查表分析评价</w:t>
      </w:r>
      <w:bookmarkEnd w:id="203"/>
    </w:p>
    <w:p w14:paraId="0CAC4F9D">
      <w:pPr>
        <w:bidi w:val="0"/>
        <w:rPr>
          <w:rFonts w:hint="eastAsia" w:ascii="宋体" w:hAnsi="宋体" w:eastAsia="宋体" w:cs="宋体"/>
          <w:lang w:val="en-US" w:eastAsia="zh-CN"/>
        </w:rPr>
      </w:pPr>
      <w:r>
        <w:rPr>
          <w:rFonts w:hint="eastAsia"/>
        </w:rPr>
        <w:t>根据</w:t>
      </w:r>
      <w:r>
        <w:rPr>
          <w:rFonts w:hint="eastAsia"/>
          <w:lang w:val="en-US" w:eastAsia="zh-CN"/>
        </w:rPr>
        <w:t>《金属非金属矿山安全规程》(GB16423-2020)、</w:t>
      </w:r>
      <w:r>
        <w:rPr>
          <w:rFonts w:hint="eastAsia" w:ascii="宋体" w:hAnsi="宋体" w:eastAsia="宋体" w:cs="宋体"/>
        </w:rPr>
        <w:t>《小型露天采石场安全管理与监督检查规定》（原国家安全监管总局令78号修正）</w:t>
      </w:r>
      <w:r>
        <w:rPr>
          <w:rFonts w:hint="eastAsia"/>
        </w:rPr>
        <w:t>中的相关内容对</w:t>
      </w:r>
      <w:r>
        <w:rPr>
          <w:rFonts w:hint="eastAsia"/>
          <w:lang w:val="en-US" w:eastAsia="zh-CN"/>
        </w:rPr>
        <w:t>防排水</w:t>
      </w:r>
      <w:r>
        <w:rPr>
          <w:rFonts w:hint="eastAsia" w:ascii="宋体" w:hAnsi="宋体" w:eastAsia="宋体" w:cs="宋体"/>
        </w:rPr>
        <w:t>单元进行</w:t>
      </w:r>
      <w:r>
        <w:rPr>
          <w:rFonts w:hint="eastAsia" w:ascii="宋体" w:hAnsi="宋体" w:eastAsia="宋体" w:cs="宋体"/>
          <w:lang w:val="en-US" w:eastAsia="zh-CN"/>
        </w:rPr>
        <w:t>符合性检查</w:t>
      </w:r>
      <w:r>
        <w:rPr>
          <w:rFonts w:hint="eastAsia" w:ascii="宋体" w:hAnsi="宋体" w:eastAsia="宋体" w:cs="宋体"/>
        </w:rPr>
        <w:t>。</w:t>
      </w:r>
    </w:p>
    <w:p w14:paraId="4E0C643A">
      <w:pPr>
        <w:pStyle w:val="11"/>
        <w:ind w:left="0" w:leftChars="0" w:firstLine="0" w:firstLineChars="0"/>
        <w:jc w:val="center"/>
        <w:rPr>
          <w:rFonts w:hint="eastAsia" w:eastAsia="宋体"/>
          <w:lang w:eastAsia="zh-CN"/>
        </w:rPr>
      </w:pPr>
      <w:r>
        <w:t xml:space="preserve">表 </w:t>
      </w:r>
      <w:r>
        <w:fldChar w:fldCharType="begin"/>
      </w:r>
      <w:r>
        <w:instrText xml:space="preserve"> STYLEREF 1 \s </w:instrText>
      </w:r>
      <w:r>
        <w:fldChar w:fldCharType="separate"/>
      </w:r>
      <w:r>
        <w:t>3</w:t>
      </w:r>
      <w:r>
        <w:fldChar w:fldCharType="end"/>
      </w:r>
      <w:r>
        <w:rPr>
          <w:rFonts w:hint="eastAsia"/>
          <w:lang w:eastAsia="zh-CN"/>
        </w:rPr>
        <w:t>-</w:t>
      </w:r>
      <w:r>
        <w:fldChar w:fldCharType="begin"/>
      </w:r>
      <w:r>
        <w:instrText xml:space="preserve"> SEQ 表 \* ARABIC \s 1 </w:instrText>
      </w:r>
      <w:r>
        <w:fldChar w:fldCharType="separate"/>
      </w:r>
      <w:r>
        <w:t>21</w:t>
      </w:r>
      <w:r>
        <w:fldChar w:fldCharType="end"/>
      </w:r>
      <w:r>
        <w:rPr>
          <w:rFonts w:hint="eastAsia"/>
          <w:lang w:eastAsia="zh-CN"/>
        </w:rPr>
        <w:t xml:space="preserve"> 防排水单元安全检查表</w:t>
      </w:r>
    </w:p>
    <w:tbl>
      <w:tblPr>
        <w:tblStyle w:val="29"/>
        <w:tblW w:w="492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40"/>
        <w:gridCol w:w="3962"/>
        <w:gridCol w:w="1901"/>
        <w:gridCol w:w="1980"/>
        <w:gridCol w:w="695"/>
      </w:tblGrid>
      <w:tr w14:paraId="1C137B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45" w:type="pct"/>
            <w:tcBorders>
              <w:tl2br w:val="nil"/>
              <w:tr2bl w:val="nil"/>
            </w:tcBorders>
            <w:noWrap w:val="0"/>
            <w:vAlign w:val="center"/>
          </w:tcPr>
          <w:p w14:paraId="34769D07">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序号</w:t>
            </w:r>
          </w:p>
        </w:tc>
        <w:tc>
          <w:tcPr>
            <w:tcW w:w="2205" w:type="pct"/>
            <w:tcBorders>
              <w:tl2br w:val="nil"/>
              <w:tr2bl w:val="nil"/>
            </w:tcBorders>
            <w:noWrap w:val="0"/>
            <w:vAlign w:val="center"/>
          </w:tcPr>
          <w:p w14:paraId="1A560949">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检查项目</w:t>
            </w:r>
          </w:p>
        </w:tc>
        <w:tc>
          <w:tcPr>
            <w:tcW w:w="1058" w:type="pct"/>
            <w:tcBorders>
              <w:tl2br w:val="nil"/>
              <w:tr2bl w:val="nil"/>
            </w:tcBorders>
            <w:noWrap w:val="0"/>
            <w:vAlign w:val="center"/>
          </w:tcPr>
          <w:p w14:paraId="69573C1E">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检查依据</w:t>
            </w:r>
          </w:p>
        </w:tc>
        <w:tc>
          <w:tcPr>
            <w:tcW w:w="1102" w:type="pct"/>
            <w:tcBorders>
              <w:tl2br w:val="nil"/>
              <w:tr2bl w:val="nil"/>
            </w:tcBorders>
            <w:noWrap w:val="0"/>
            <w:vAlign w:val="center"/>
          </w:tcPr>
          <w:p w14:paraId="6C938702">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spacing w:val="4"/>
                <w:kern w:val="10"/>
                <w:position w:val="2"/>
                <w:sz w:val="21"/>
                <w:szCs w:val="21"/>
              </w:rPr>
            </w:pPr>
            <w:r>
              <w:rPr>
                <w:rFonts w:hint="eastAsia" w:ascii="宋体" w:hAnsi="宋体" w:eastAsia="宋体" w:cs="宋体"/>
                <w:b/>
                <w:bCs/>
                <w:spacing w:val="4"/>
                <w:kern w:val="10"/>
                <w:position w:val="2"/>
                <w:sz w:val="21"/>
                <w:szCs w:val="21"/>
              </w:rPr>
              <w:t>设计检查情况</w:t>
            </w:r>
          </w:p>
        </w:tc>
        <w:tc>
          <w:tcPr>
            <w:tcW w:w="387" w:type="pct"/>
            <w:tcBorders>
              <w:tl2br w:val="nil"/>
              <w:tr2bl w:val="nil"/>
            </w:tcBorders>
            <w:noWrap w:val="0"/>
            <w:vAlign w:val="center"/>
          </w:tcPr>
          <w:p w14:paraId="2989C18D">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检查</w:t>
            </w:r>
          </w:p>
          <w:p w14:paraId="1A0CBB70">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r>
              <w:rPr>
                <w:rFonts w:hint="eastAsia" w:ascii="宋体" w:hAnsi="宋体" w:eastAsia="宋体" w:cs="宋体"/>
                <w:b/>
                <w:bCs/>
                <w:color w:val="000000"/>
                <w:sz w:val="21"/>
                <w:szCs w:val="21"/>
              </w:rPr>
              <w:t>结果</w:t>
            </w:r>
          </w:p>
        </w:tc>
      </w:tr>
      <w:tr w14:paraId="5B0A38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45" w:type="pct"/>
            <w:tcBorders>
              <w:tl2br w:val="nil"/>
              <w:tr2bl w:val="nil"/>
            </w:tcBorders>
            <w:noWrap w:val="0"/>
            <w:vAlign w:val="center"/>
          </w:tcPr>
          <w:p w14:paraId="35606D77">
            <w:pPr>
              <w:keepNext w:val="0"/>
              <w:keepLines w:val="0"/>
              <w:pageBreakBefore w:val="0"/>
              <w:widowControl w:val="0"/>
              <w:numPr>
                <w:ilvl w:val="0"/>
                <w:numId w:val="58"/>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2205" w:type="pct"/>
            <w:tcBorders>
              <w:tl2br w:val="nil"/>
              <w:tr2bl w:val="nil"/>
            </w:tcBorders>
            <w:noWrap w:val="0"/>
            <w:vAlign w:val="center"/>
          </w:tcPr>
          <w:p w14:paraId="4CD6AED3">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露天矿山应建立水文地质资料档案；有洪水或地下水威胁的应设置防、排水机构；水文地质条件复杂或有洪水淹没危险的应配备专职水文地质人员。</w:t>
            </w:r>
          </w:p>
        </w:tc>
        <w:tc>
          <w:tcPr>
            <w:tcW w:w="1058" w:type="pct"/>
            <w:tcBorders>
              <w:tl2br w:val="nil"/>
              <w:tr2bl w:val="nil"/>
            </w:tcBorders>
            <w:noWrap w:val="0"/>
            <w:vAlign w:val="center"/>
          </w:tcPr>
          <w:p w14:paraId="02694600">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《金属非金属矿山安全规程》(GB16423-2020</w:t>
            </w:r>
            <w:r>
              <w:rPr>
                <w:rFonts w:hint="eastAsia" w:ascii="宋体" w:hAnsi="宋体" w:cs="宋体"/>
                <w:b w:val="0"/>
                <w:bCs w:val="0"/>
                <w:sz w:val="21"/>
                <w:szCs w:val="21"/>
                <w:lang w:eastAsia="zh-CN"/>
              </w:rPr>
              <w:t>)</w:t>
            </w:r>
          </w:p>
          <w:p w14:paraId="4457E805">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val="0"/>
                <w:bCs w:val="0"/>
                <w:color w:val="000000"/>
                <w:sz w:val="21"/>
                <w:szCs w:val="21"/>
              </w:rPr>
            </w:pPr>
            <w:r>
              <w:rPr>
                <w:rFonts w:hint="eastAsia" w:ascii="宋体" w:hAnsi="宋体" w:eastAsia="宋体" w:cs="宋体"/>
                <w:b w:val="0"/>
                <w:bCs w:val="0"/>
                <w:sz w:val="21"/>
                <w:szCs w:val="21"/>
              </w:rPr>
              <w:t>第5.7.1</w:t>
            </w:r>
            <w:r>
              <w:rPr>
                <w:rFonts w:hint="eastAsia" w:ascii="宋体" w:hAnsi="宋体" w:eastAsia="宋体" w:cs="宋体"/>
                <w:b w:val="0"/>
                <w:bCs w:val="0"/>
                <w:sz w:val="21"/>
                <w:szCs w:val="21"/>
                <w:lang w:val="en-US" w:eastAsia="zh-CN"/>
              </w:rPr>
              <w:t>.1</w:t>
            </w:r>
            <w:r>
              <w:rPr>
                <w:rFonts w:hint="eastAsia" w:ascii="宋体" w:hAnsi="宋体" w:eastAsia="宋体" w:cs="宋体"/>
                <w:b w:val="0"/>
                <w:bCs w:val="0"/>
                <w:sz w:val="21"/>
                <w:szCs w:val="21"/>
              </w:rPr>
              <w:t>条</w:t>
            </w:r>
          </w:p>
        </w:tc>
        <w:tc>
          <w:tcPr>
            <w:tcW w:w="1102" w:type="pct"/>
            <w:tcBorders>
              <w:tl2br w:val="nil"/>
              <w:tr2bl w:val="nil"/>
            </w:tcBorders>
            <w:noWrap w:val="0"/>
            <w:vAlign w:val="center"/>
          </w:tcPr>
          <w:p w14:paraId="37338B62">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b w:val="0"/>
                <w:bCs w:val="0"/>
                <w:color w:val="000000"/>
                <w:sz w:val="21"/>
                <w:szCs w:val="21"/>
                <w:lang w:val="en-US" w:eastAsia="zh-CN"/>
              </w:rPr>
            </w:pPr>
            <w:r>
              <w:rPr>
                <w:rFonts w:hint="eastAsia" w:ascii="宋体" w:hAnsi="宋体" w:eastAsia="宋体" w:cs="宋体"/>
                <w:b w:val="0"/>
                <w:bCs w:val="0"/>
                <w:color w:val="000000"/>
                <w:sz w:val="21"/>
                <w:szCs w:val="21"/>
                <w:lang w:val="en-US" w:eastAsia="zh-CN"/>
              </w:rPr>
              <w:t>矿山提供的《</w:t>
            </w:r>
            <w:r>
              <w:rPr>
                <w:rFonts w:hint="eastAsia" w:ascii="宋体" w:hAnsi="宋体" w:eastAsia="宋体" w:cs="宋体"/>
                <w:b w:val="0"/>
                <w:bCs w:val="0"/>
                <w:color w:val="000000"/>
                <w:sz w:val="21"/>
                <w:szCs w:val="21"/>
              </w:rPr>
              <w:t>资源储量核实报告</w:t>
            </w:r>
            <w:r>
              <w:rPr>
                <w:rFonts w:hint="eastAsia" w:ascii="宋体" w:hAnsi="宋体" w:eastAsia="宋体" w:cs="宋体"/>
                <w:b w:val="0"/>
                <w:bCs w:val="0"/>
                <w:color w:val="000000"/>
                <w:sz w:val="21"/>
                <w:szCs w:val="21"/>
                <w:lang w:val="en-US" w:eastAsia="zh-CN"/>
              </w:rPr>
              <w:t>》</w:t>
            </w:r>
            <w:r>
              <w:rPr>
                <w:rFonts w:hint="eastAsia" w:ascii="宋体" w:hAnsi="宋体" w:eastAsia="宋体" w:cs="宋体"/>
                <w:b w:val="0"/>
                <w:bCs w:val="0"/>
                <w:color w:val="000000"/>
                <w:sz w:val="21"/>
                <w:szCs w:val="21"/>
              </w:rPr>
              <w:t>有水文地质资料档案，矿区水文地质条件简单。</w:t>
            </w:r>
          </w:p>
        </w:tc>
        <w:tc>
          <w:tcPr>
            <w:tcW w:w="387" w:type="pct"/>
            <w:tcBorders>
              <w:tl2br w:val="nil"/>
              <w:tr2bl w:val="nil"/>
            </w:tcBorders>
            <w:noWrap w:val="0"/>
            <w:vAlign w:val="center"/>
          </w:tcPr>
          <w:p w14:paraId="327FCB48">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val="0"/>
                <w:bCs w:val="0"/>
                <w:color w:val="000000"/>
                <w:sz w:val="21"/>
                <w:szCs w:val="21"/>
                <w:lang w:val="en-US" w:eastAsia="zh-CN"/>
              </w:rPr>
            </w:pPr>
            <w:r>
              <w:rPr>
                <w:rFonts w:hint="eastAsia" w:ascii="宋体" w:hAnsi="宋体" w:eastAsia="宋体" w:cs="宋体"/>
                <w:b w:val="0"/>
                <w:bCs w:val="0"/>
                <w:color w:val="000000"/>
                <w:sz w:val="21"/>
                <w:szCs w:val="21"/>
                <w:lang w:val="en-US" w:eastAsia="zh-CN"/>
              </w:rPr>
              <w:t>符合</w:t>
            </w:r>
          </w:p>
        </w:tc>
      </w:tr>
      <w:tr w14:paraId="1BBAC4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45" w:type="pct"/>
            <w:tcBorders>
              <w:tl2br w:val="nil"/>
              <w:tr2bl w:val="nil"/>
            </w:tcBorders>
            <w:noWrap w:val="0"/>
            <w:vAlign w:val="center"/>
          </w:tcPr>
          <w:p w14:paraId="7B43F561">
            <w:pPr>
              <w:keepNext w:val="0"/>
              <w:keepLines w:val="0"/>
              <w:pageBreakBefore w:val="0"/>
              <w:widowControl w:val="0"/>
              <w:numPr>
                <w:ilvl w:val="0"/>
                <w:numId w:val="58"/>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2205" w:type="pct"/>
            <w:tcBorders>
              <w:tl2br w:val="nil"/>
              <w:tr2bl w:val="nil"/>
            </w:tcBorders>
            <w:noWrap w:val="0"/>
            <w:vAlign w:val="center"/>
          </w:tcPr>
          <w:p w14:paraId="476DA465">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露天采场的总出入沟口、平碉口、排水口和工业场地应不受洪水威胁。</w:t>
            </w:r>
          </w:p>
        </w:tc>
        <w:tc>
          <w:tcPr>
            <w:tcW w:w="1058" w:type="pct"/>
            <w:tcBorders>
              <w:tl2br w:val="nil"/>
              <w:tr2bl w:val="nil"/>
            </w:tcBorders>
            <w:noWrap w:val="0"/>
            <w:vAlign w:val="center"/>
          </w:tcPr>
          <w:p w14:paraId="2C54C55E">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《金属非金属矿山安全规程》(GB16423-2020</w:t>
            </w:r>
            <w:r>
              <w:rPr>
                <w:rFonts w:hint="eastAsia" w:ascii="宋体" w:hAnsi="宋体" w:cs="宋体"/>
                <w:b w:val="0"/>
                <w:bCs w:val="0"/>
                <w:sz w:val="21"/>
                <w:szCs w:val="21"/>
                <w:lang w:eastAsia="zh-CN"/>
              </w:rPr>
              <w:t>)</w:t>
            </w:r>
          </w:p>
          <w:p w14:paraId="790E5C26">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val="0"/>
                <w:bCs w:val="0"/>
                <w:color w:val="000000"/>
                <w:sz w:val="21"/>
                <w:szCs w:val="21"/>
              </w:rPr>
            </w:pPr>
            <w:r>
              <w:rPr>
                <w:rFonts w:hint="eastAsia" w:ascii="宋体" w:hAnsi="宋体" w:eastAsia="宋体" w:cs="宋体"/>
                <w:b w:val="0"/>
                <w:bCs w:val="0"/>
                <w:sz w:val="21"/>
                <w:szCs w:val="21"/>
              </w:rPr>
              <w:t>第5.7.1</w:t>
            </w:r>
            <w:r>
              <w:rPr>
                <w:rFonts w:hint="eastAsia" w:ascii="宋体" w:hAnsi="宋体" w:eastAsia="宋体" w:cs="宋体"/>
                <w:b w:val="0"/>
                <w:bCs w:val="0"/>
                <w:sz w:val="21"/>
                <w:szCs w:val="21"/>
                <w:lang w:val="en-US" w:eastAsia="zh-CN"/>
              </w:rPr>
              <w:t>.2</w:t>
            </w:r>
            <w:r>
              <w:rPr>
                <w:rFonts w:hint="eastAsia" w:ascii="宋体" w:hAnsi="宋体" w:eastAsia="宋体" w:cs="宋体"/>
                <w:b w:val="0"/>
                <w:bCs w:val="0"/>
                <w:sz w:val="21"/>
                <w:szCs w:val="21"/>
              </w:rPr>
              <w:t>条</w:t>
            </w:r>
          </w:p>
        </w:tc>
        <w:tc>
          <w:tcPr>
            <w:tcW w:w="1102" w:type="pct"/>
            <w:tcBorders>
              <w:tl2br w:val="nil"/>
              <w:tr2bl w:val="nil"/>
            </w:tcBorders>
            <w:noWrap w:val="0"/>
            <w:vAlign w:val="center"/>
          </w:tcPr>
          <w:p w14:paraId="0EDD1D62">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该矿山为山坡型露天矿，最低开采标高</w:t>
            </w:r>
            <w:r>
              <w:rPr>
                <w:rFonts w:hint="eastAsia" w:ascii="宋体" w:hAnsi="宋体" w:eastAsia="宋体" w:cs="宋体"/>
                <w:b w:val="0"/>
                <w:bCs w:val="0"/>
                <w:color w:val="000000"/>
                <w:sz w:val="21"/>
                <w:szCs w:val="21"/>
                <w:lang w:val="en-US" w:eastAsia="zh-CN"/>
              </w:rPr>
              <w:t>为1035</w:t>
            </w:r>
            <w:r>
              <w:rPr>
                <w:rFonts w:hint="eastAsia" w:ascii="宋体" w:hAnsi="宋体" w:eastAsia="宋体" w:cs="宋体"/>
                <w:b w:val="0"/>
                <w:bCs w:val="0"/>
                <w:color w:val="000000"/>
                <w:sz w:val="21"/>
                <w:szCs w:val="21"/>
              </w:rPr>
              <w:t>m，高于本区最低侵蚀基准面</w:t>
            </w:r>
            <w:r>
              <w:rPr>
                <w:rFonts w:hint="default" w:ascii="宋体" w:hAnsi="宋体" w:eastAsia="宋体" w:cs="宋体"/>
                <w:b w:val="0"/>
                <w:bCs w:val="0"/>
                <w:color w:val="000000"/>
                <w:sz w:val="21"/>
                <w:szCs w:val="21"/>
              </w:rPr>
              <w:t>1028m</w:t>
            </w:r>
            <w:r>
              <w:rPr>
                <w:rFonts w:hint="eastAsia" w:ascii="宋体" w:hAnsi="宋体" w:eastAsia="宋体" w:cs="宋体"/>
                <w:b w:val="0"/>
                <w:bCs w:val="0"/>
                <w:color w:val="000000"/>
                <w:sz w:val="21"/>
                <w:szCs w:val="21"/>
              </w:rPr>
              <w:t>，不受洪水威胁。</w:t>
            </w:r>
          </w:p>
        </w:tc>
        <w:tc>
          <w:tcPr>
            <w:tcW w:w="387" w:type="pct"/>
            <w:tcBorders>
              <w:tl2br w:val="nil"/>
              <w:tr2bl w:val="nil"/>
            </w:tcBorders>
            <w:noWrap w:val="0"/>
            <w:vAlign w:val="center"/>
          </w:tcPr>
          <w:p w14:paraId="23C6CF0B">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lang w:val="en-US" w:eastAsia="zh-CN"/>
              </w:rPr>
              <w:t>符合</w:t>
            </w:r>
          </w:p>
        </w:tc>
      </w:tr>
      <w:tr w14:paraId="477D89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45" w:type="pct"/>
            <w:tcBorders>
              <w:tl2br w:val="nil"/>
              <w:tr2bl w:val="nil"/>
            </w:tcBorders>
            <w:noWrap w:val="0"/>
            <w:vAlign w:val="center"/>
          </w:tcPr>
          <w:p w14:paraId="4ED96E27">
            <w:pPr>
              <w:keepNext w:val="0"/>
              <w:keepLines w:val="0"/>
              <w:pageBreakBefore w:val="0"/>
              <w:widowControl w:val="0"/>
              <w:numPr>
                <w:ilvl w:val="0"/>
                <w:numId w:val="58"/>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2205" w:type="pct"/>
            <w:tcBorders>
              <w:tl2br w:val="nil"/>
              <w:tr2bl w:val="nil"/>
            </w:tcBorders>
            <w:noWrap w:val="0"/>
            <w:vAlign w:val="center"/>
          </w:tcPr>
          <w:p w14:paraId="6489EB81">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露天矿山应采取下列措施保证采场安全：</w:t>
            </w:r>
          </w:p>
          <w:p w14:paraId="5A8F8E6A">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在采场边坡台阶设置排水沟</w:t>
            </w:r>
          </w:p>
        </w:tc>
        <w:tc>
          <w:tcPr>
            <w:tcW w:w="1058" w:type="pct"/>
            <w:tcBorders>
              <w:tl2br w:val="nil"/>
              <w:tr2bl w:val="nil"/>
            </w:tcBorders>
            <w:noWrap w:val="0"/>
            <w:vAlign w:val="center"/>
          </w:tcPr>
          <w:p w14:paraId="38266FC4">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《金属非金属矿山安全规程》(GB16423-2020</w:t>
            </w:r>
            <w:r>
              <w:rPr>
                <w:rFonts w:hint="eastAsia" w:ascii="宋体" w:hAnsi="宋体" w:cs="宋体"/>
                <w:b w:val="0"/>
                <w:bCs w:val="0"/>
                <w:sz w:val="21"/>
                <w:szCs w:val="21"/>
                <w:lang w:eastAsia="zh-CN"/>
              </w:rPr>
              <w:t>)</w:t>
            </w:r>
          </w:p>
          <w:p w14:paraId="51D8C252">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val="0"/>
                <w:bCs w:val="0"/>
                <w:color w:val="000000"/>
                <w:sz w:val="21"/>
                <w:szCs w:val="21"/>
              </w:rPr>
            </w:pPr>
            <w:r>
              <w:rPr>
                <w:rFonts w:hint="eastAsia" w:ascii="宋体" w:hAnsi="宋体" w:eastAsia="宋体" w:cs="宋体"/>
                <w:b w:val="0"/>
                <w:bCs w:val="0"/>
                <w:sz w:val="21"/>
                <w:szCs w:val="21"/>
              </w:rPr>
              <w:t>第5.7.1</w:t>
            </w:r>
            <w:r>
              <w:rPr>
                <w:rFonts w:hint="eastAsia" w:ascii="宋体" w:hAnsi="宋体" w:eastAsia="宋体" w:cs="宋体"/>
                <w:b w:val="0"/>
                <w:bCs w:val="0"/>
                <w:sz w:val="21"/>
                <w:szCs w:val="21"/>
                <w:lang w:val="en-US" w:eastAsia="zh-CN"/>
              </w:rPr>
              <w:t>.3</w:t>
            </w:r>
            <w:r>
              <w:rPr>
                <w:rFonts w:hint="eastAsia" w:ascii="宋体" w:hAnsi="宋体" w:eastAsia="宋体" w:cs="宋体"/>
                <w:b w:val="0"/>
                <w:bCs w:val="0"/>
                <w:sz w:val="21"/>
                <w:szCs w:val="21"/>
              </w:rPr>
              <w:t>条</w:t>
            </w:r>
          </w:p>
        </w:tc>
        <w:tc>
          <w:tcPr>
            <w:tcW w:w="1102" w:type="pct"/>
            <w:tcBorders>
              <w:tl2br w:val="nil"/>
              <w:tr2bl w:val="nil"/>
            </w:tcBorders>
            <w:noWrap w:val="0"/>
            <w:vAlign w:val="center"/>
          </w:tcPr>
          <w:p w14:paraId="785C112B">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default" w:ascii="宋体" w:hAnsi="宋体" w:eastAsia="宋体" w:cs="宋体"/>
                <w:b w:val="0"/>
                <w:bCs w:val="0"/>
                <w:color w:val="000000"/>
                <w:sz w:val="21"/>
                <w:szCs w:val="21"/>
                <w:lang w:val="en-US" w:eastAsia="zh-CN"/>
              </w:rPr>
            </w:pPr>
            <w:r>
              <w:rPr>
                <w:rFonts w:hint="eastAsia" w:ascii="宋体" w:hAnsi="宋体" w:eastAsia="宋体" w:cs="宋体"/>
                <w:b w:val="0"/>
                <w:bCs w:val="0"/>
                <w:color w:val="000000"/>
                <w:sz w:val="21"/>
                <w:szCs w:val="21"/>
                <w:lang w:val="en-US" w:eastAsia="zh-CN"/>
              </w:rPr>
              <w:t>初步设计中已明确。</w:t>
            </w:r>
          </w:p>
        </w:tc>
        <w:tc>
          <w:tcPr>
            <w:tcW w:w="387" w:type="pct"/>
            <w:tcBorders>
              <w:tl2br w:val="nil"/>
              <w:tr2bl w:val="nil"/>
            </w:tcBorders>
            <w:noWrap w:val="0"/>
            <w:vAlign w:val="center"/>
          </w:tcPr>
          <w:p w14:paraId="76BD5A65">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lang w:val="en-US" w:eastAsia="zh-CN"/>
              </w:rPr>
              <w:t>符合</w:t>
            </w:r>
          </w:p>
        </w:tc>
      </w:tr>
      <w:tr w14:paraId="6DCD54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45" w:type="pct"/>
            <w:tcBorders>
              <w:tl2br w:val="nil"/>
              <w:tr2bl w:val="nil"/>
            </w:tcBorders>
            <w:noWrap w:val="0"/>
            <w:vAlign w:val="center"/>
          </w:tcPr>
          <w:p w14:paraId="5A570CC0">
            <w:pPr>
              <w:keepNext w:val="0"/>
              <w:keepLines w:val="0"/>
              <w:pageBreakBefore w:val="0"/>
              <w:widowControl w:val="0"/>
              <w:numPr>
                <w:ilvl w:val="0"/>
                <w:numId w:val="58"/>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2205" w:type="pct"/>
            <w:tcBorders>
              <w:tl2br w:val="nil"/>
              <w:tr2bl w:val="nil"/>
            </w:tcBorders>
            <w:noWrap w:val="0"/>
            <w:vAlign w:val="center"/>
          </w:tcPr>
          <w:p w14:paraId="570627A4">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rPr>
              <w:t>露天矿山应按照下列要求建立防排水系统：</w:t>
            </w:r>
          </w:p>
          <w:p w14:paraId="1B90E518">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b w:val="0"/>
                <w:bCs w:val="0"/>
                <w:color w:val="000000"/>
                <w:sz w:val="21"/>
                <w:szCs w:val="21"/>
              </w:rPr>
            </w:pPr>
            <w:r>
              <w:rPr>
                <w:rFonts w:hint="eastAsia" w:ascii="宋体" w:hAnsi="宋体" w:cs="宋体"/>
                <w:b w:val="0"/>
                <w:bCs w:val="0"/>
                <w:color w:val="000000"/>
                <w:sz w:val="21"/>
                <w:szCs w:val="21"/>
                <w:lang w:val="en-US" w:eastAsia="zh-CN"/>
              </w:rPr>
              <w:t>1）</w:t>
            </w:r>
            <w:r>
              <w:rPr>
                <w:rFonts w:hint="eastAsia" w:ascii="宋体" w:hAnsi="宋体" w:eastAsia="宋体" w:cs="宋体"/>
                <w:b w:val="0"/>
                <w:bCs w:val="0"/>
                <w:color w:val="000000"/>
                <w:sz w:val="21"/>
                <w:szCs w:val="21"/>
              </w:rPr>
              <w:t>受洪水威胁的露天</w:t>
            </w:r>
            <w:r>
              <w:rPr>
                <w:rFonts w:hint="eastAsia" w:ascii="宋体" w:hAnsi="宋体" w:cs="宋体"/>
                <w:b w:val="0"/>
                <w:bCs w:val="0"/>
                <w:color w:val="000000"/>
                <w:sz w:val="21"/>
                <w:szCs w:val="21"/>
                <w:lang w:eastAsia="zh-CN"/>
              </w:rPr>
              <w:t>采</w:t>
            </w:r>
            <w:r>
              <w:rPr>
                <w:rFonts w:hint="eastAsia" w:ascii="宋体" w:hAnsi="宋体" w:eastAsia="宋体" w:cs="宋体"/>
                <w:b w:val="0"/>
                <w:bCs w:val="0"/>
                <w:color w:val="000000"/>
                <w:sz w:val="21"/>
                <w:szCs w:val="21"/>
              </w:rPr>
              <w:t>场应设置地面防洪工程；</w:t>
            </w:r>
          </w:p>
          <w:p w14:paraId="23447A8C">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b w:val="0"/>
                <w:bCs w:val="0"/>
                <w:color w:val="000000"/>
                <w:sz w:val="21"/>
                <w:szCs w:val="21"/>
                <w:lang w:eastAsia="zh-CN"/>
              </w:rPr>
            </w:pPr>
            <w:r>
              <w:rPr>
                <w:rFonts w:hint="eastAsia" w:ascii="宋体" w:hAnsi="宋体" w:cs="宋体"/>
                <w:b w:val="0"/>
                <w:bCs w:val="0"/>
                <w:color w:val="000000"/>
                <w:sz w:val="21"/>
                <w:szCs w:val="21"/>
                <w:lang w:val="en-US" w:eastAsia="zh-CN"/>
              </w:rPr>
              <w:t>2</w:t>
            </w:r>
            <w:r>
              <w:rPr>
                <w:rFonts w:hint="eastAsia" w:ascii="宋体" w:hAnsi="宋体" w:cs="宋体"/>
                <w:color w:val="auto"/>
                <w:sz w:val="21"/>
                <w:szCs w:val="21"/>
                <w:lang w:val="en-US" w:eastAsia="zh-CN"/>
              </w:rPr>
              <w:t>）</w:t>
            </w:r>
            <w:r>
              <w:rPr>
                <w:rFonts w:hint="eastAsia" w:ascii="宋体" w:hAnsi="宋体" w:eastAsia="宋体" w:cs="宋体"/>
                <w:b w:val="0"/>
                <w:bCs w:val="0"/>
                <w:color w:val="000000"/>
                <w:sz w:val="21"/>
                <w:szCs w:val="21"/>
              </w:rPr>
              <w:t>不具备自然外排条件的山坡露天矿，境界外应设截水沟排水</w:t>
            </w:r>
            <w:r>
              <w:rPr>
                <w:rFonts w:hint="eastAsia" w:ascii="宋体" w:hAnsi="宋体" w:eastAsia="宋体" w:cs="宋体"/>
                <w:b w:val="0"/>
                <w:bCs w:val="0"/>
                <w:color w:val="000000"/>
                <w:sz w:val="21"/>
                <w:szCs w:val="21"/>
                <w:lang w:eastAsia="zh-CN"/>
              </w:rPr>
              <w:t>；</w:t>
            </w:r>
          </w:p>
          <w:p w14:paraId="1644E951">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default" w:ascii="宋体" w:hAnsi="宋体" w:eastAsia="宋体" w:cs="宋体"/>
                <w:b w:val="0"/>
                <w:bCs w:val="0"/>
                <w:color w:val="000000"/>
                <w:sz w:val="21"/>
                <w:szCs w:val="21"/>
                <w:lang w:val="en-US" w:eastAsia="zh-CN"/>
              </w:rPr>
            </w:pPr>
            <w:r>
              <w:rPr>
                <w:rFonts w:hint="eastAsia" w:ascii="宋体" w:hAnsi="宋体" w:cs="宋体"/>
                <w:b w:val="0"/>
                <w:bCs w:val="0"/>
                <w:color w:val="000000"/>
                <w:sz w:val="21"/>
                <w:szCs w:val="21"/>
                <w:lang w:val="en-US" w:eastAsia="zh-CN"/>
              </w:rPr>
              <w:t>3</w:t>
            </w:r>
            <w:r>
              <w:rPr>
                <w:rFonts w:hint="eastAsia" w:ascii="宋体" w:hAnsi="宋体" w:cs="宋体"/>
                <w:color w:val="auto"/>
                <w:sz w:val="21"/>
                <w:szCs w:val="21"/>
                <w:lang w:val="en-US" w:eastAsia="zh-CN"/>
              </w:rPr>
              <w:t>）</w:t>
            </w:r>
            <w:r>
              <w:rPr>
                <w:rFonts w:hint="eastAsia" w:ascii="宋体" w:hAnsi="宋体" w:eastAsia="宋体" w:cs="宋体"/>
                <w:b w:val="0"/>
                <w:bCs w:val="0"/>
                <w:color w:val="000000"/>
                <w:sz w:val="21"/>
                <w:szCs w:val="21"/>
                <w:lang w:val="en-US" w:eastAsia="zh-CN"/>
              </w:rPr>
              <w:t>凹陷露天坑应设机械排水或自流排水设施。</w:t>
            </w:r>
          </w:p>
        </w:tc>
        <w:tc>
          <w:tcPr>
            <w:tcW w:w="1058" w:type="pct"/>
            <w:tcBorders>
              <w:tl2br w:val="nil"/>
              <w:tr2bl w:val="nil"/>
            </w:tcBorders>
            <w:noWrap w:val="0"/>
            <w:vAlign w:val="center"/>
          </w:tcPr>
          <w:p w14:paraId="23CE30DB">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《金属非金属矿山安全规程》(GB16423-2020</w:t>
            </w:r>
            <w:r>
              <w:rPr>
                <w:rFonts w:hint="eastAsia" w:ascii="宋体" w:hAnsi="宋体" w:cs="宋体"/>
                <w:b w:val="0"/>
                <w:bCs w:val="0"/>
                <w:sz w:val="21"/>
                <w:szCs w:val="21"/>
                <w:lang w:eastAsia="zh-CN"/>
              </w:rPr>
              <w:t>)</w:t>
            </w:r>
          </w:p>
          <w:p w14:paraId="777036D8">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val="0"/>
                <w:bCs w:val="0"/>
                <w:color w:val="000000"/>
                <w:sz w:val="21"/>
                <w:szCs w:val="21"/>
              </w:rPr>
            </w:pPr>
            <w:r>
              <w:rPr>
                <w:rFonts w:hint="eastAsia" w:ascii="宋体" w:hAnsi="宋体" w:eastAsia="宋体" w:cs="宋体"/>
                <w:b w:val="0"/>
                <w:bCs w:val="0"/>
                <w:sz w:val="21"/>
                <w:szCs w:val="21"/>
              </w:rPr>
              <w:t>第5.7.1</w:t>
            </w:r>
            <w:r>
              <w:rPr>
                <w:rFonts w:hint="eastAsia" w:ascii="宋体" w:hAnsi="宋体" w:eastAsia="宋体" w:cs="宋体"/>
                <w:b w:val="0"/>
                <w:bCs w:val="0"/>
                <w:sz w:val="21"/>
                <w:szCs w:val="21"/>
                <w:lang w:val="en-US" w:eastAsia="zh-CN"/>
              </w:rPr>
              <w:t>.4</w:t>
            </w:r>
            <w:r>
              <w:rPr>
                <w:rFonts w:hint="eastAsia" w:ascii="宋体" w:hAnsi="宋体" w:eastAsia="宋体" w:cs="宋体"/>
                <w:b w:val="0"/>
                <w:bCs w:val="0"/>
                <w:sz w:val="21"/>
                <w:szCs w:val="21"/>
              </w:rPr>
              <w:t>条</w:t>
            </w:r>
          </w:p>
        </w:tc>
        <w:tc>
          <w:tcPr>
            <w:tcW w:w="1102" w:type="pct"/>
            <w:tcBorders>
              <w:tl2br w:val="nil"/>
              <w:tr2bl w:val="nil"/>
            </w:tcBorders>
            <w:noWrap w:val="0"/>
            <w:vAlign w:val="center"/>
          </w:tcPr>
          <w:p w14:paraId="7B8B1A14">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lang w:val="en-US" w:eastAsia="zh-CN"/>
              </w:rPr>
              <w:t>初步设计中已明确。</w:t>
            </w:r>
          </w:p>
        </w:tc>
        <w:tc>
          <w:tcPr>
            <w:tcW w:w="387" w:type="pct"/>
            <w:tcBorders>
              <w:tl2br w:val="nil"/>
              <w:tr2bl w:val="nil"/>
            </w:tcBorders>
            <w:noWrap w:val="0"/>
            <w:vAlign w:val="center"/>
          </w:tcPr>
          <w:p w14:paraId="6855B2DA">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lang w:val="en-US" w:eastAsia="zh-CN"/>
              </w:rPr>
              <w:t>符合</w:t>
            </w:r>
          </w:p>
        </w:tc>
      </w:tr>
      <w:tr w14:paraId="4338D6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45" w:type="pct"/>
            <w:tcBorders>
              <w:tl2br w:val="nil"/>
              <w:tr2bl w:val="nil"/>
            </w:tcBorders>
            <w:noWrap w:val="0"/>
            <w:vAlign w:val="center"/>
          </w:tcPr>
          <w:p w14:paraId="39BCE49B">
            <w:pPr>
              <w:keepNext w:val="0"/>
              <w:keepLines w:val="0"/>
              <w:pageBreakBefore w:val="0"/>
              <w:widowControl w:val="0"/>
              <w:numPr>
                <w:ilvl w:val="0"/>
                <w:numId w:val="58"/>
              </w:numPr>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bCs/>
                <w:color w:val="000000"/>
                <w:sz w:val="21"/>
                <w:szCs w:val="21"/>
              </w:rPr>
            </w:pPr>
          </w:p>
        </w:tc>
        <w:tc>
          <w:tcPr>
            <w:tcW w:w="2205" w:type="pct"/>
            <w:tcBorders>
              <w:tl2br w:val="nil"/>
              <w:tr2bl w:val="nil"/>
            </w:tcBorders>
            <w:noWrap w:val="0"/>
            <w:vAlign w:val="center"/>
          </w:tcPr>
          <w:p w14:paraId="7BE2B541">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b w:val="0"/>
                <w:bCs w:val="0"/>
                <w:color w:val="000000"/>
                <w:sz w:val="21"/>
                <w:szCs w:val="21"/>
              </w:rPr>
            </w:pPr>
            <w:r>
              <w:rPr>
                <w:rFonts w:hint="eastAsia" w:ascii="宋体" w:hAnsi="宋体" w:eastAsia="宋体" w:cs="宋体"/>
                <w:b w:val="0"/>
                <w:bCs w:val="0"/>
                <w:color w:val="000000"/>
                <w:sz w:val="21"/>
                <w:szCs w:val="21"/>
                <w:lang w:val="en-US" w:eastAsia="zh-CN"/>
              </w:rPr>
              <w:t xml:space="preserve">小型露天采石场应当制定完善的防洪措施。对开采境界上方汇水影响安全的，应当设置截水沟。 </w:t>
            </w:r>
          </w:p>
        </w:tc>
        <w:tc>
          <w:tcPr>
            <w:tcW w:w="1058" w:type="pct"/>
            <w:tcBorders>
              <w:tl2br w:val="nil"/>
              <w:tr2bl w:val="nil"/>
            </w:tcBorders>
            <w:noWrap w:val="0"/>
            <w:vAlign w:val="center"/>
          </w:tcPr>
          <w:p w14:paraId="315FDC69">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val="0"/>
                <w:bCs w:val="0"/>
                <w:color w:val="000000"/>
                <w:sz w:val="21"/>
                <w:szCs w:val="21"/>
              </w:rPr>
            </w:pPr>
            <w:r>
              <w:rPr>
                <w:rFonts w:hint="eastAsia" w:ascii="宋体" w:hAnsi="宋体" w:cs="宋体"/>
                <w:sz w:val="21"/>
                <w:szCs w:val="21"/>
              </w:rPr>
              <w:t>《小型露天采石场安全管理与监督检查规定》</w:t>
            </w:r>
          </w:p>
        </w:tc>
        <w:tc>
          <w:tcPr>
            <w:tcW w:w="1102" w:type="pct"/>
            <w:tcBorders>
              <w:tl2br w:val="nil"/>
              <w:tr2bl w:val="nil"/>
            </w:tcBorders>
            <w:noWrap w:val="0"/>
            <w:vAlign w:val="center"/>
          </w:tcPr>
          <w:p w14:paraId="3538966C">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both"/>
              <w:textAlignment w:val="auto"/>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初步设计中已明确。</w:t>
            </w:r>
          </w:p>
        </w:tc>
        <w:tc>
          <w:tcPr>
            <w:tcW w:w="387" w:type="pct"/>
            <w:tcBorders>
              <w:tl2br w:val="nil"/>
              <w:tr2bl w:val="nil"/>
            </w:tcBorders>
            <w:noWrap w:val="0"/>
            <w:vAlign w:val="center"/>
          </w:tcPr>
          <w:p w14:paraId="1A2A15CC">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宋体" w:hAnsi="宋体" w:eastAsia="宋体" w:cs="宋体"/>
                <w:b w:val="0"/>
                <w:bCs w:val="0"/>
                <w:color w:val="000000"/>
                <w:kern w:val="2"/>
                <w:sz w:val="21"/>
                <w:szCs w:val="21"/>
                <w:lang w:val="en-US" w:eastAsia="zh-CN" w:bidi="ar-SA"/>
              </w:rPr>
            </w:pPr>
            <w:r>
              <w:rPr>
                <w:rFonts w:hint="eastAsia" w:ascii="宋体" w:hAnsi="宋体" w:eastAsia="宋体" w:cs="宋体"/>
                <w:b w:val="0"/>
                <w:bCs w:val="0"/>
                <w:color w:val="000000"/>
                <w:sz w:val="21"/>
                <w:szCs w:val="21"/>
                <w:lang w:val="en-US" w:eastAsia="zh-CN"/>
              </w:rPr>
              <w:t>符合</w:t>
            </w:r>
          </w:p>
        </w:tc>
      </w:tr>
    </w:tbl>
    <w:p w14:paraId="298585F3">
      <w:pPr>
        <w:pStyle w:val="4"/>
        <w:bidi w:val="0"/>
        <w:rPr>
          <w:rFonts w:hint="eastAsia"/>
        </w:rPr>
      </w:pPr>
      <w:bookmarkStart w:id="204" w:name="_Toc25210"/>
      <w:r>
        <w:rPr>
          <w:rFonts w:hint="eastAsia"/>
        </w:rPr>
        <w:t>《</w:t>
      </w:r>
      <w:r>
        <w:rPr>
          <w:rFonts w:hint="eastAsia"/>
          <w:lang w:eastAsia="zh-CN"/>
        </w:rPr>
        <w:t>初步设计</w:t>
      </w:r>
      <w:r>
        <w:rPr>
          <w:rFonts w:hint="eastAsia"/>
        </w:rPr>
        <w:t>》评述</w:t>
      </w:r>
      <w:bookmarkEnd w:id="204"/>
    </w:p>
    <w:p w14:paraId="54E21AF6">
      <w:pPr>
        <w:bidi w:val="0"/>
        <w:rPr>
          <w:rFonts w:hint="eastAsia" w:eastAsia="宋体"/>
          <w:lang w:val="en-US" w:eastAsia="zh-CN"/>
        </w:rPr>
      </w:pPr>
      <w:r>
        <w:rPr>
          <w:rFonts w:hint="eastAsia" w:ascii="宋体" w:hAnsi="宋体"/>
          <w:color w:val="auto"/>
          <w:sz w:val="28"/>
          <w:szCs w:val="28"/>
        </w:rPr>
        <w:t>设计确定</w:t>
      </w:r>
      <w:r>
        <w:rPr>
          <w:rFonts w:hint="eastAsia" w:eastAsia="宋体"/>
          <w:lang w:val="en-US" w:eastAsia="zh-CN"/>
        </w:rPr>
        <w:t>在公路内侧修筑土质排水沟，断面为梯形，顶宽0.5m，底宽0.3m，深0.4m，将雨水排至公路以外。在生活办公区、破碎站等建（构）筑物周围也要修筑适当的排水沟。在各平台内侧设置排水沟自流排出场外。排水沟为土质沟，断面为梯形，顶宽0.5m，底宽0.3m，深0.4m，以防止采场充水及下渗，保护边坡的稳定。</w:t>
      </w:r>
    </w:p>
    <w:p w14:paraId="75A859EC">
      <w:pPr>
        <w:bidi w:val="0"/>
        <w:rPr>
          <w:rFonts w:hint="eastAsia" w:ascii="宋体" w:hAnsi="宋体" w:cs="宋体"/>
          <w:lang w:val="en-US" w:eastAsia="zh-CN"/>
        </w:rPr>
      </w:pPr>
      <w:r>
        <w:rPr>
          <w:rFonts w:hint="eastAsia" w:ascii="宋体" w:hAnsi="宋体" w:cs="宋体"/>
          <w:lang w:val="en-US" w:eastAsia="zh-CN"/>
        </w:rPr>
        <w:t>《初步设计》中未明确采场汇水面积、汇水量、水沟的复核计算等内容，下一步安全设施设计中应做详细设计说明。</w:t>
      </w:r>
    </w:p>
    <w:p w14:paraId="343C1FC3">
      <w:pPr>
        <w:bidi w:val="0"/>
        <w:rPr>
          <w:rFonts w:hint="default" w:ascii="宋体" w:hAnsi="宋体" w:cs="宋体"/>
          <w:lang w:val="en-US" w:eastAsia="zh-CN"/>
        </w:rPr>
      </w:pPr>
      <w:r>
        <w:rPr>
          <w:rFonts w:hint="eastAsia" w:ascii="宋体" w:hAnsi="宋体" w:cs="宋体"/>
          <w:lang w:val="en-US" w:eastAsia="zh-CN"/>
        </w:rPr>
        <w:t>《初步设计》中未明确露天矿用设备应配备灭火器及其型号，下一步安全设施设计中应做详细设计说明。</w:t>
      </w:r>
    </w:p>
    <w:p w14:paraId="173E7CA1">
      <w:pPr>
        <w:pStyle w:val="4"/>
        <w:bidi w:val="0"/>
        <w:rPr>
          <w:rFonts w:hint="eastAsia"/>
        </w:rPr>
      </w:pPr>
      <w:bookmarkStart w:id="205" w:name="_Toc6880"/>
      <w:bookmarkStart w:id="206" w:name="_Toc23885"/>
      <w:r>
        <w:rPr>
          <w:rFonts w:hint="eastAsia"/>
        </w:rPr>
        <w:t>单元小结</w:t>
      </w:r>
      <w:bookmarkEnd w:id="205"/>
      <w:bookmarkEnd w:id="206"/>
    </w:p>
    <w:p w14:paraId="41FB8127">
      <w:pPr>
        <w:bidi w:val="0"/>
        <w:rPr>
          <w:rFonts w:hint="eastAsia" w:ascii="宋体" w:hAnsi="宋体" w:eastAsia="宋体" w:cs="宋体"/>
        </w:rPr>
      </w:pPr>
      <w:r>
        <w:rPr>
          <w:rFonts w:hint="eastAsia" w:ascii="宋体" w:hAnsi="宋体" w:eastAsia="宋体" w:cs="宋体"/>
        </w:rPr>
        <w:t>依据本项目</w:t>
      </w:r>
      <w:r>
        <w:rPr>
          <w:rFonts w:hint="eastAsia" w:ascii="宋体" w:hAnsi="宋体" w:eastAsia="宋体" w:cs="宋体"/>
          <w:lang w:eastAsia="zh-CN"/>
        </w:rPr>
        <w:t>初步设计</w:t>
      </w:r>
      <w:r>
        <w:rPr>
          <w:rFonts w:hint="eastAsia" w:ascii="宋体" w:hAnsi="宋体" w:eastAsia="宋体" w:cs="宋体"/>
        </w:rPr>
        <w:t>，对防排水</w:t>
      </w:r>
      <w:r>
        <w:rPr>
          <w:rFonts w:hint="eastAsia" w:ascii="宋体" w:hAnsi="宋体" w:eastAsia="宋体" w:cs="宋体"/>
          <w:lang w:val="en-US" w:eastAsia="zh-CN"/>
        </w:rPr>
        <w:t>单元</w:t>
      </w:r>
      <w:r>
        <w:rPr>
          <w:rFonts w:hint="eastAsia" w:ascii="宋体" w:hAnsi="宋体" w:eastAsia="宋体" w:cs="宋体"/>
        </w:rPr>
        <w:t>进行了检查评价，</w:t>
      </w:r>
      <w:r>
        <w:rPr>
          <w:rFonts w:hint="eastAsia" w:ascii="宋体" w:hAnsi="宋体" w:eastAsia="宋体" w:cs="宋体"/>
          <w:lang w:val="en-US" w:eastAsia="zh-CN"/>
        </w:rPr>
        <w:t>总体</w:t>
      </w:r>
      <w:r>
        <w:rPr>
          <w:rFonts w:hint="eastAsia" w:ascii="宋体" w:hAnsi="宋体" w:eastAsia="宋体" w:cs="宋体"/>
        </w:rPr>
        <w:t>符合《金属非金属矿山安全规程》（GB16423-2020）</w:t>
      </w:r>
      <w:r>
        <w:rPr>
          <w:rFonts w:hint="eastAsia" w:ascii="宋体" w:hAnsi="宋体" w:eastAsia="宋体" w:cs="宋体"/>
          <w:lang w:val="en-US" w:eastAsia="zh-CN"/>
        </w:rPr>
        <w:t>相关规定。</w:t>
      </w:r>
    </w:p>
    <w:p w14:paraId="766E25C8">
      <w:pPr>
        <w:pStyle w:val="3"/>
        <w:bidi w:val="0"/>
      </w:pPr>
      <w:bookmarkStart w:id="207" w:name="_Toc8141"/>
      <w:r>
        <w:t>安全管理及其他单元</w:t>
      </w:r>
      <w:bookmarkEnd w:id="207"/>
    </w:p>
    <w:p w14:paraId="680E5B85">
      <w:pPr>
        <w:pStyle w:val="4"/>
        <w:bidi w:val="0"/>
        <w:rPr>
          <w:rFonts w:hint="eastAsia"/>
        </w:rPr>
      </w:pPr>
      <w:bookmarkStart w:id="208" w:name="_Toc20382"/>
      <w:bookmarkStart w:id="209" w:name="_Toc14198"/>
      <w:r>
        <w:t>预先危险分析</w:t>
      </w:r>
      <w:bookmarkEnd w:id="208"/>
      <w:bookmarkEnd w:id="209"/>
    </w:p>
    <w:p w14:paraId="69EB784A">
      <w:pPr>
        <w:bidi w:val="0"/>
        <w:rPr>
          <w:rFonts w:hint="eastAsia" w:asciiTheme="minorEastAsia" w:hAnsiTheme="minorEastAsia" w:eastAsiaTheme="minorEastAsia" w:cstheme="minorEastAsia"/>
        </w:rPr>
      </w:pPr>
      <w:r>
        <w:rPr>
          <w:rFonts w:hint="eastAsia" w:asciiTheme="minorEastAsia" w:hAnsiTheme="minorEastAsia" w:eastAsiaTheme="minorEastAsia" w:cstheme="minorEastAsia"/>
        </w:rPr>
        <w:t>本单元采用预先危险性预测分析法（PHA）预测分析形成事故原因、事故后果，提出预防事故对策措施。</w:t>
      </w:r>
    </w:p>
    <w:p w14:paraId="760CE179">
      <w:pPr>
        <w:pStyle w:val="11"/>
        <w:ind w:left="0" w:leftChars="0" w:firstLine="0" w:firstLineChars="0"/>
        <w:jc w:val="center"/>
        <w:rPr>
          <w:rFonts w:hint="eastAsia" w:eastAsia="宋体"/>
          <w:lang w:eastAsia="zh-CN"/>
        </w:rPr>
      </w:pPr>
      <w:r>
        <w:t xml:space="preserve">表 </w:t>
      </w:r>
      <w:r>
        <w:fldChar w:fldCharType="begin"/>
      </w:r>
      <w:r>
        <w:instrText xml:space="preserve"> STYLEREF 1 \s </w:instrText>
      </w:r>
      <w:r>
        <w:fldChar w:fldCharType="separate"/>
      </w:r>
      <w:r>
        <w:t>3</w:t>
      </w:r>
      <w:r>
        <w:fldChar w:fldCharType="end"/>
      </w:r>
      <w:r>
        <w:rPr>
          <w:rFonts w:hint="eastAsia"/>
          <w:lang w:eastAsia="zh-CN"/>
        </w:rPr>
        <w:t>-</w:t>
      </w:r>
      <w:r>
        <w:fldChar w:fldCharType="begin"/>
      </w:r>
      <w:r>
        <w:instrText xml:space="preserve"> SEQ 表 \* ARABIC \s 1 </w:instrText>
      </w:r>
      <w:r>
        <w:fldChar w:fldCharType="separate"/>
      </w:r>
      <w:r>
        <w:t>22</w:t>
      </w:r>
      <w:r>
        <w:fldChar w:fldCharType="end"/>
      </w:r>
      <w:r>
        <w:rPr>
          <w:rFonts w:hint="eastAsia"/>
          <w:lang w:eastAsia="zh-CN"/>
        </w:rPr>
        <w:t xml:space="preserve"> 安全管理预先危险分析表</w:t>
      </w:r>
    </w:p>
    <w:tbl>
      <w:tblPr>
        <w:tblStyle w:val="29"/>
        <w:tblW w:w="4842"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89"/>
        <w:gridCol w:w="1629"/>
        <w:gridCol w:w="1477"/>
        <w:gridCol w:w="1152"/>
        <w:gridCol w:w="3383"/>
      </w:tblGrid>
      <w:tr w14:paraId="156DE3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9" w:hRule="atLeast"/>
          <w:jc w:val="center"/>
        </w:trPr>
        <w:tc>
          <w:tcPr>
            <w:tcW w:w="673" w:type="pct"/>
            <w:tcBorders>
              <w:tl2br w:val="nil"/>
              <w:tr2bl w:val="nil"/>
            </w:tcBorders>
            <w:vAlign w:val="center"/>
          </w:tcPr>
          <w:p w14:paraId="122A4B87">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bCs/>
                <w:color w:val="auto"/>
                <w:kern w:val="2"/>
                <w:sz w:val="21"/>
                <w:szCs w:val="21"/>
                <w:lang w:val="en-US" w:eastAsia="zh-CN" w:bidi="ar-SA"/>
              </w:rPr>
            </w:pPr>
            <w:r>
              <w:rPr>
                <w:rFonts w:hint="eastAsia" w:ascii="宋体" w:hAnsi="宋体" w:eastAsia="宋体" w:cs="宋体"/>
                <w:b/>
                <w:color w:val="auto"/>
                <w:sz w:val="21"/>
                <w:szCs w:val="21"/>
              </w:rPr>
              <w:t>危险因素</w:t>
            </w:r>
          </w:p>
        </w:tc>
        <w:tc>
          <w:tcPr>
            <w:tcW w:w="922" w:type="pct"/>
            <w:tcBorders>
              <w:tl2br w:val="nil"/>
              <w:tr2bl w:val="nil"/>
            </w:tcBorders>
            <w:vAlign w:val="center"/>
          </w:tcPr>
          <w:p w14:paraId="4FFA773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color w:val="auto"/>
                <w:kern w:val="2"/>
                <w:sz w:val="21"/>
                <w:szCs w:val="21"/>
                <w:lang w:val="en-US" w:eastAsia="zh-CN" w:bidi="ar-SA"/>
              </w:rPr>
            </w:pPr>
            <w:r>
              <w:rPr>
                <w:rFonts w:hint="eastAsia" w:ascii="宋体" w:hAnsi="宋体" w:eastAsia="宋体" w:cs="宋体"/>
                <w:b/>
                <w:color w:val="auto"/>
                <w:sz w:val="21"/>
                <w:szCs w:val="21"/>
              </w:rPr>
              <w:t>诱发事故原因</w:t>
            </w:r>
          </w:p>
        </w:tc>
        <w:tc>
          <w:tcPr>
            <w:tcW w:w="836" w:type="pct"/>
            <w:tcBorders>
              <w:tl2br w:val="nil"/>
              <w:tr2bl w:val="nil"/>
            </w:tcBorders>
            <w:vAlign w:val="center"/>
          </w:tcPr>
          <w:p w14:paraId="038C50B6">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color w:val="auto"/>
                <w:kern w:val="2"/>
                <w:sz w:val="21"/>
                <w:szCs w:val="21"/>
                <w:lang w:val="en-US" w:eastAsia="zh-CN" w:bidi="ar-SA"/>
              </w:rPr>
            </w:pPr>
            <w:r>
              <w:rPr>
                <w:rFonts w:hint="eastAsia" w:ascii="宋体" w:hAnsi="宋体" w:eastAsia="宋体" w:cs="宋体"/>
                <w:b/>
                <w:color w:val="auto"/>
                <w:sz w:val="21"/>
                <w:szCs w:val="21"/>
              </w:rPr>
              <w:t>事故后果</w:t>
            </w:r>
          </w:p>
        </w:tc>
        <w:tc>
          <w:tcPr>
            <w:tcW w:w="652" w:type="pct"/>
            <w:tcBorders>
              <w:tl2br w:val="nil"/>
              <w:tr2bl w:val="nil"/>
            </w:tcBorders>
            <w:vAlign w:val="center"/>
          </w:tcPr>
          <w:p w14:paraId="5FE6CA11">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color w:val="auto"/>
                <w:kern w:val="2"/>
                <w:sz w:val="21"/>
                <w:szCs w:val="21"/>
                <w:lang w:val="en-US" w:eastAsia="zh-CN" w:bidi="ar-SA"/>
              </w:rPr>
            </w:pPr>
            <w:r>
              <w:rPr>
                <w:rFonts w:hint="eastAsia" w:ascii="宋体" w:hAnsi="宋体" w:eastAsia="宋体" w:cs="宋体"/>
                <w:b/>
                <w:color w:val="auto"/>
                <w:sz w:val="21"/>
                <w:szCs w:val="21"/>
              </w:rPr>
              <w:t>危险等级</w:t>
            </w:r>
          </w:p>
        </w:tc>
        <w:tc>
          <w:tcPr>
            <w:tcW w:w="1915" w:type="pct"/>
            <w:tcBorders>
              <w:tl2br w:val="nil"/>
              <w:tr2bl w:val="nil"/>
            </w:tcBorders>
            <w:vAlign w:val="center"/>
          </w:tcPr>
          <w:p w14:paraId="6B34D02D">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color w:val="auto"/>
                <w:kern w:val="2"/>
                <w:sz w:val="21"/>
                <w:szCs w:val="21"/>
                <w:lang w:val="en-US" w:eastAsia="zh-CN" w:bidi="ar-SA"/>
              </w:rPr>
            </w:pPr>
            <w:r>
              <w:rPr>
                <w:rFonts w:hint="eastAsia" w:ascii="宋体" w:hAnsi="宋体" w:eastAsia="宋体" w:cs="宋体"/>
                <w:b/>
                <w:color w:val="auto"/>
                <w:sz w:val="21"/>
                <w:szCs w:val="21"/>
              </w:rPr>
              <w:t>对策措施</w:t>
            </w:r>
          </w:p>
        </w:tc>
      </w:tr>
      <w:tr w14:paraId="52EC92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673" w:type="pct"/>
            <w:tcBorders>
              <w:tl2br w:val="nil"/>
              <w:tr2bl w:val="nil"/>
            </w:tcBorders>
            <w:vAlign w:val="center"/>
          </w:tcPr>
          <w:p w14:paraId="0C8CFC76">
            <w:pPr>
              <w:pStyle w:val="17"/>
              <w:spacing w:line="240" w:lineRule="auto"/>
              <w:ind w:firstLine="0" w:firstLineChars="0"/>
              <w:rPr>
                <w:rFonts w:hint="eastAsia" w:ascii="宋体" w:hAnsi="宋体" w:eastAsia="宋体" w:cs="宋体"/>
                <w:color w:val="000000"/>
                <w:spacing w:val="0"/>
                <w:sz w:val="21"/>
                <w:szCs w:val="21"/>
              </w:rPr>
            </w:pPr>
            <w:r>
              <w:rPr>
                <w:rFonts w:hint="eastAsia" w:hAnsi="宋体" w:cs="宋体"/>
                <w:color w:val="000000"/>
                <w:spacing w:val="0"/>
                <w:sz w:val="21"/>
                <w:szCs w:val="21"/>
                <w:lang w:val="en-US" w:eastAsia="zh-CN"/>
              </w:rPr>
              <w:t>发生</w:t>
            </w:r>
            <w:r>
              <w:rPr>
                <w:rFonts w:hint="eastAsia" w:ascii="宋体" w:hAnsi="宋体" w:eastAsia="宋体" w:cs="宋体"/>
                <w:color w:val="000000"/>
                <w:spacing w:val="0"/>
                <w:sz w:val="21"/>
                <w:szCs w:val="21"/>
              </w:rPr>
              <w:t>安全生产责任事故</w:t>
            </w:r>
          </w:p>
        </w:tc>
        <w:tc>
          <w:tcPr>
            <w:tcW w:w="922" w:type="pct"/>
            <w:tcBorders>
              <w:tl2br w:val="nil"/>
              <w:tr2bl w:val="nil"/>
            </w:tcBorders>
            <w:vAlign w:val="center"/>
          </w:tcPr>
          <w:p w14:paraId="685C398D">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安全生产责任制不健全，缺乏科学性和完整性，与矿山现行组织机构不相对应，影响执行效果。</w:t>
            </w:r>
          </w:p>
        </w:tc>
        <w:tc>
          <w:tcPr>
            <w:tcW w:w="836" w:type="pct"/>
            <w:tcBorders>
              <w:tl2br w:val="nil"/>
              <w:tr2bl w:val="nil"/>
            </w:tcBorders>
            <w:vAlign w:val="center"/>
          </w:tcPr>
          <w:p w14:paraId="41BEC5DF">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1.发生事故后，无人负责处理。</w:t>
            </w:r>
          </w:p>
          <w:p w14:paraId="5782BBF1">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2.职责不明，导致事故发生后，扑救不及时，造成重大损失。</w:t>
            </w:r>
          </w:p>
        </w:tc>
        <w:tc>
          <w:tcPr>
            <w:tcW w:w="652" w:type="pct"/>
            <w:tcBorders>
              <w:tl2br w:val="nil"/>
              <w:tr2bl w:val="nil"/>
            </w:tcBorders>
            <w:vAlign w:val="center"/>
          </w:tcPr>
          <w:p w14:paraId="36B50490">
            <w:pPr>
              <w:pStyle w:val="21"/>
              <w:spacing w:line="240" w:lineRule="auto"/>
              <w:ind w:left="0" w:leftChars="0" w:right="0" w:rightChars="0"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Ⅳ</w:t>
            </w:r>
          </w:p>
        </w:tc>
        <w:tc>
          <w:tcPr>
            <w:tcW w:w="1915" w:type="pct"/>
            <w:tcBorders>
              <w:tl2br w:val="nil"/>
              <w:tr2bl w:val="nil"/>
            </w:tcBorders>
            <w:vAlign w:val="center"/>
          </w:tcPr>
          <w:p w14:paraId="7C650DED">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1.有健全的行政领导岗位安全生产责任制；</w:t>
            </w:r>
          </w:p>
          <w:p w14:paraId="5880493D">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2.有健全的职能机构安全生产责任制；</w:t>
            </w:r>
          </w:p>
          <w:p w14:paraId="6F42D75D">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3.岗位人员的安全生产责任制。</w:t>
            </w:r>
          </w:p>
        </w:tc>
      </w:tr>
      <w:tr w14:paraId="6E1AB7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673" w:type="pct"/>
            <w:tcBorders>
              <w:tl2br w:val="nil"/>
              <w:tr2bl w:val="nil"/>
            </w:tcBorders>
            <w:vAlign w:val="center"/>
          </w:tcPr>
          <w:p w14:paraId="0ADDFA6F">
            <w:pPr>
              <w:pStyle w:val="17"/>
              <w:spacing w:line="240" w:lineRule="auto"/>
              <w:ind w:firstLine="0" w:firstLineChars="0"/>
              <w:rPr>
                <w:rFonts w:hint="eastAsia" w:ascii="宋体" w:hAnsi="宋体" w:eastAsia="宋体" w:cs="宋体"/>
                <w:color w:val="000000"/>
                <w:spacing w:val="0"/>
                <w:sz w:val="21"/>
                <w:szCs w:val="21"/>
              </w:rPr>
            </w:pPr>
            <w:r>
              <w:rPr>
                <w:rFonts w:hint="eastAsia" w:hAnsi="宋体" w:cs="宋体"/>
                <w:color w:val="000000"/>
                <w:sz w:val="21"/>
                <w:szCs w:val="21"/>
                <w:lang w:val="en-US" w:eastAsia="zh-CN"/>
              </w:rPr>
              <w:t>发生</w:t>
            </w:r>
            <w:r>
              <w:rPr>
                <w:rFonts w:hint="eastAsia" w:ascii="宋体" w:hAnsi="宋体" w:eastAsia="宋体" w:cs="宋体"/>
                <w:color w:val="000000"/>
                <w:sz w:val="21"/>
                <w:szCs w:val="21"/>
              </w:rPr>
              <w:t>重大安全责任事故</w:t>
            </w:r>
          </w:p>
        </w:tc>
        <w:tc>
          <w:tcPr>
            <w:tcW w:w="922" w:type="pct"/>
            <w:tcBorders>
              <w:tl2br w:val="nil"/>
              <w:tr2bl w:val="nil"/>
            </w:tcBorders>
            <w:vAlign w:val="center"/>
          </w:tcPr>
          <w:p w14:paraId="67DFC0C2">
            <w:pPr>
              <w:spacing w:line="240" w:lineRule="auto"/>
              <w:ind w:left="0" w:leftChars="0" w:firstLine="0" w:firstLineChars="0"/>
              <w:rPr>
                <w:rFonts w:hint="eastAsia" w:ascii="宋体" w:hAnsi="宋体" w:eastAsia="宋体" w:cs="宋体"/>
                <w:color w:val="000000"/>
                <w:sz w:val="21"/>
                <w:szCs w:val="21"/>
              </w:rPr>
            </w:pPr>
            <w:r>
              <w:rPr>
                <w:rFonts w:hint="eastAsia" w:ascii="宋体" w:hAnsi="宋体" w:eastAsia="宋体" w:cs="宋体"/>
                <w:color w:val="000000"/>
                <w:spacing w:val="0"/>
                <w:sz w:val="21"/>
                <w:szCs w:val="21"/>
              </w:rPr>
              <w:t>矿长对企业的安全生产不重视。</w:t>
            </w:r>
          </w:p>
        </w:tc>
        <w:tc>
          <w:tcPr>
            <w:tcW w:w="836" w:type="pct"/>
            <w:tcBorders>
              <w:tl2br w:val="nil"/>
              <w:tr2bl w:val="nil"/>
            </w:tcBorders>
            <w:vAlign w:val="center"/>
          </w:tcPr>
          <w:p w14:paraId="4EC06965">
            <w:pPr>
              <w:spacing w:line="240" w:lineRule="auto"/>
              <w:ind w:left="0" w:leftChars="0" w:firstLine="0" w:firstLineChars="0"/>
              <w:rPr>
                <w:rFonts w:hint="eastAsia" w:ascii="宋体" w:hAnsi="宋体" w:eastAsia="宋体" w:cs="宋体"/>
                <w:color w:val="000000"/>
                <w:sz w:val="21"/>
                <w:szCs w:val="21"/>
              </w:rPr>
            </w:pPr>
            <w:r>
              <w:rPr>
                <w:rFonts w:hint="eastAsia" w:ascii="宋体" w:hAnsi="宋体" w:eastAsia="宋体" w:cs="宋体"/>
                <w:color w:val="000000"/>
                <w:sz w:val="21"/>
                <w:szCs w:val="21"/>
              </w:rPr>
              <w:t>造成重大伤亡和损失。</w:t>
            </w:r>
          </w:p>
        </w:tc>
        <w:tc>
          <w:tcPr>
            <w:tcW w:w="652" w:type="pct"/>
            <w:tcBorders>
              <w:tl2br w:val="nil"/>
              <w:tr2bl w:val="nil"/>
            </w:tcBorders>
            <w:vAlign w:val="center"/>
          </w:tcPr>
          <w:p w14:paraId="1E3D5D24">
            <w:pPr>
              <w:spacing w:line="240" w:lineRule="auto"/>
              <w:ind w:left="0" w:leftChars="0" w:right="0" w:rightChars="0"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Ⅳ</w:t>
            </w:r>
          </w:p>
        </w:tc>
        <w:tc>
          <w:tcPr>
            <w:tcW w:w="1915" w:type="pct"/>
            <w:tcBorders>
              <w:tl2br w:val="nil"/>
              <w:tr2bl w:val="nil"/>
            </w:tcBorders>
            <w:vAlign w:val="center"/>
          </w:tcPr>
          <w:p w14:paraId="2054550D">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1.矿长必须认真贯彻执行《矿山安全法》和其他</w:t>
            </w:r>
            <w:r>
              <w:rPr>
                <w:rFonts w:hint="eastAsia" w:hAnsi="宋体" w:cs="宋体"/>
                <w:color w:val="000000"/>
                <w:spacing w:val="0"/>
                <w:sz w:val="21"/>
                <w:szCs w:val="21"/>
                <w:lang w:eastAsia="zh-CN"/>
              </w:rPr>
              <w:t>法律法规</w:t>
            </w:r>
            <w:r>
              <w:rPr>
                <w:rFonts w:hint="eastAsia" w:ascii="宋体" w:hAnsi="宋体" w:eastAsia="宋体" w:cs="宋体"/>
                <w:color w:val="000000"/>
                <w:spacing w:val="0"/>
                <w:sz w:val="21"/>
                <w:szCs w:val="21"/>
              </w:rPr>
              <w:t>中有关矿山安全生产的规定；</w:t>
            </w:r>
          </w:p>
          <w:p w14:paraId="5C027789">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2.</w:t>
            </w:r>
            <w:r>
              <w:rPr>
                <w:rFonts w:hint="eastAsia" w:hAnsi="宋体" w:cs="宋体"/>
                <w:color w:val="000000"/>
                <w:spacing w:val="0"/>
                <w:sz w:val="21"/>
                <w:szCs w:val="21"/>
                <w:lang w:eastAsia="zh-CN"/>
              </w:rPr>
              <w:t>制定</w:t>
            </w:r>
            <w:r>
              <w:rPr>
                <w:rFonts w:hint="eastAsia" w:ascii="宋体" w:hAnsi="宋体" w:eastAsia="宋体" w:cs="宋体"/>
                <w:color w:val="000000"/>
                <w:spacing w:val="0"/>
                <w:sz w:val="21"/>
                <w:szCs w:val="21"/>
              </w:rPr>
              <w:t>本企业安全生产管理制度；</w:t>
            </w:r>
          </w:p>
          <w:p w14:paraId="5C7C09A4">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3.根据需要配备合格的安全工作人员，对每个作业场所进行跟班检查；</w:t>
            </w:r>
          </w:p>
          <w:p w14:paraId="0B62F152">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4.采取有效措施，改善职工劳动条件，保证安全生产所需要的材料、设备、仪器和劳动防护用品的及时供应；</w:t>
            </w:r>
          </w:p>
          <w:p w14:paraId="688A54A0">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5.对职工进行安全教育、培训；</w:t>
            </w:r>
          </w:p>
          <w:p w14:paraId="18AEA663">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6.制定矿山灾害的预防和应急计划；</w:t>
            </w:r>
          </w:p>
          <w:p w14:paraId="5FDAC2ED">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7.及时采取措施，处理矿山存在的事故隐患；</w:t>
            </w:r>
          </w:p>
          <w:p w14:paraId="2ABB003D">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8.及时、如实向劳动行政主管部门和管理矿山企业的主管部门报告矿山事故。</w:t>
            </w:r>
          </w:p>
        </w:tc>
      </w:tr>
      <w:tr w14:paraId="452B3E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673" w:type="pct"/>
            <w:tcBorders>
              <w:tl2br w:val="nil"/>
              <w:tr2bl w:val="nil"/>
            </w:tcBorders>
            <w:vAlign w:val="center"/>
          </w:tcPr>
          <w:p w14:paraId="35823C7C">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lang w:val="en-US" w:eastAsia="zh-CN"/>
              </w:rPr>
              <w:t>培训不到位</w:t>
            </w:r>
          </w:p>
        </w:tc>
        <w:tc>
          <w:tcPr>
            <w:tcW w:w="922" w:type="pct"/>
            <w:tcBorders>
              <w:tl2br w:val="nil"/>
              <w:tr2bl w:val="nil"/>
            </w:tcBorders>
            <w:vAlign w:val="center"/>
          </w:tcPr>
          <w:p w14:paraId="3E115A13">
            <w:pPr>
              <w:spacing w:line="240" w:lineRule="auto"/>
              <w:ind w:left="0" w:leftChars="0" w:firstLine="0" w:firstLineChars="0"/>
              <w:rPr>
                <w:rFonts w:hint="eastAsia" w:ascii="宋体" w:hAnsi="宋体" w:eastAsia="宋体" w:cs="宋体"/>
                <w:color w:val="000000"/>
                <w:sz w:val="21"/>
                <w:szCs w:val="21"/>
              </w:rPr>
            </w:pPr>
            <w:r>
              <w:rPr>
                <w:rFonts w:hint="eastAsia" w:ascii="宋体" w:hAnsi="宋体" w:eastAsia="宋体" w:cs="宋体"/>
                <w:color w:val="000000"/>
                <w:sz w:val="21"/>
                <w:szCs w:val="21"/>
              </w:rPr>
              <w:t>职工对安全知识了解不完全，在作业中忽视安全防护或违反安全操作规定。</w:t>
            </w:r>
          </w:p>
        </w:tc>
        <w:tc>
          <w:tcPr>
            <w:tcW w:w="836" w:type="pct"/>
            <w:tcBorders>
              <w:tl2br w:val="nil"/>
              <w:tr2bl w:val="nil"/>
            </w:tcBorders>
            <w:vAlign w:val="center"/>
          </w:tcPr>
          <w:p w14:paraId="602F6AA7">
            <w:pPr>
              <w:spacing w:line="240" w:lineRule="auto"/>
              <w:ind w:left="0" w:leftChars="0" w:firstLine="0" w:firstLineChars="0"/>
              <w:rPr>
                <w:rFonts w:hint="eastAsia" w:ascii="宋体" w:hAnsi="宋体" w:eastAsia="宋体" w:cs="宋体"/>
                <w:color w:val="000000"/>
                <w:sz w:val="21"/>
                <w:szCs w:val="21"/>
              </w:rPr>
            </w:pPr>
            <w:r>
              <w:rPr>
                <w:rFonts w:hint="eastAsia" w:ascii="宋体" w:hAnsi="宋体" w:eastAsia="宋体" w:cs="宋体"/>
                <w:color w:val="000000"/>
                <w:sz w:val="21"/>
                <w:szCs w:val="21"/>
              </w:rPr>
              <w:t>造成职工在作业中，因不了解安全责任或安全规定，疏忽大意造成人员伤亡，设备损坏。</w:t>
            </w:r>
          </w:p>
        </w:tc>
        <w:tc>
          <w:tcPr>
            <w:tcW w:w="652" w:type="pct"/>
            <w:tcBorders>
              <w:tl2br w:val="nil"/>
              <w:tr2bl w:val="nil"/>
            </w:tcBorders>
            <w:vAlign w:val="center"/>
          </w:tcPr>
          <w:p w14:paraId="767EFF6F">
            <w:pPr>
              <w:spacing w:line="240" w:lineRule="auto"/>
              <w:ind w:left="0" w:leftChars="0" w:right="0" w:rightChars="0"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Ⅳ</w:t>
            </w:r>
          </w:p>
        </w:tc>
        <w:tc>
          <w:tcPr>
            <w:tcW w:w="1915" w:type="pct"/>
            <w:tcBorders>
              <w:tl2br w:val="nil"/>
              <w:tr2bl w:val="nil"/>
            </w:tcBorders>
            <w:vAlign w:val="center"/>
          </w:tcPr>
          <w:p w14:paraId="08612B03">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对职工的安全教育、培训，应包括下列内容：</w:t>
            </w:r>
          </w:p>
          <w:p w14:paraId="45DA4DE2">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1.《矿山安全法》及其他</w:t>
            </w:r>
            <w:r>
              <w:rPr>
                <w:rFonts w:hint="eastAsia" w:hAnsi="宋体" w:cs="宋体"/>
                <w:color w:val="000000"/>
                <w:spacing w:val="0"/>
                <w:sz w:val="21"/>
                <w:szCs w:val="21"/>
                <w:lang w:eastAsia="zh-CN"/>
              </w:rPr>
              <w:t>法律法规</w:t>
            </w:r>
            <w:r>
              <w:rPr>
                <w:rFonts w:hint="eastAsia" w:ascii="宋体" w:hAnsi="宋体" w:eastAsia="宋体" w:cs="宋体"/>
                <w:color w:val="000000"/>
                <w:spacing w:val="0"/>
                <w:sz w:val="21"/>
                <w:szCs w:val="21"/>
              </w:rPr>
              <w:t>赋予矿山职工的权利和义务；</w:t>
            </w:r>
          </w:p>
          <w:p w14:paraId="07817E3B">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2.矿山安全规程及矿山企业有关安全管理的规章制度；</w:t>
            </w:r>
          </w:p>
          <w:p w14:paraId="0943CB13">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3.与职工本职工作有关的安全知识；</w:t>
            </w:r>
          </w:p>
          <w:p w14:paraId="00C78DD6">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4.各种事故征兆的识别、发生紧急危险情况时的应急措施和撤退路线；</w:t>
            </w:r>
          </w:p>
          <w:p w14:paraId="283153BE">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5.自救装备的使用和有关急救方面的知识；</w:t>
            </w:r>
          </w:p>
          <w:p w14:paraId="673C1A61">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6.有关主管部门规定的其他内容。</w:t>
            </w:r>
          </w:p>
        </w:tc>
      </w:tr>
      <w:tr w14:paraId="0319BD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673" w:type="pct"/>
            <w:tcBorders>
              <w:tl2br w:val="nil"/>
              <w:tr2bl w:val="nil"/>
            </w:tcBorders>
            <w:vAlign w:val="center"/>
          </w:tcPr>
          <w:p w14:paraId="3CE9E871">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特种作业人员未接受专门技术培训</w:t>
            </w:r>
          </w:p>
        </w:tc>
        <w:tc>
          <w:tcPr>
            <w:tcW w:w="922" w:type="pct"/>
            <w:tcBorders>
              <w:tl2br w:val="nil"/>
              <w:tr2bl w:val="nil"/>
            </w:tcBorders>
            <w:vAlign w:val="center"/>
          </w:tcPr>
          <w:p w14:paraId="336F2AC4">
            <w:pPr>
              <w:spacing w:line="240" w:lineRule="auto"/>
              <w:ind w:left="0" w:leftChars="0" w:firstLine="0" w:firstLineChars="0"/>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不了解作业程序，引起误操作</w:t>
            </w:r>
            <w:r>
              <w:rPr>
                <w:rFonts w:hint="eastAsia" w:ascii="宋体" w:hAnsi="宋体" w:eastAsia="宋体" w:cs="宋体"/>
                <w:color w:val="000000"/>
                <w:sz w:val="21"/>
                <w:szCs w:val="21"/>
                <w:lang w:eastAsia="zh-CN"/>
              </w:rPr>
              <w:t>。</w:t>
            </w:r>
          </w:p>
        </w:tc>
        <w:tc>
          <w:tcPr>
            <w:tcW w:w="836" w:type="pct"/>
            <w:tcBorders>
              <w:tl2br w:val="nil"/>
              <w:tr2bl w:val="nil"/>
            </w:tcBorders>
            <w:vAlign w:val="center"/>
          </w:tcPr>
          <w:p w14:paraId="1D8E4A17">
            <w:pPr>
              <w:spacing w:line="240" w:lineRule="auto"/>
              <w:ind w:left="0" w:leftChars="0" w:firstLine="0" w:firstLineChars="0"/>
              <w:rPr>
                <w:rFonts w:hint="eastAsia" w:ascii="宋体" w:hAnsi="宋体" w:eastAsia="宋体" w:cs="宋体"/>
                <w:color w:val="000000"/>
                <w:sz w:val="21"/>
                <w:szCs w:val="21"/>
              </w:rPr>
            </w:pPr>
            <w:r>
              <w:rPr>
                <w:rFonts w:hint="eastAsia" w:ascii="宋体" w:hAnsi="宋体" w:eastAsia="宋体" w:cs="宋体"/>
                <w:color w:val="000000"/>
                <w:sz w:val="21"/>
                <w:szCs w:val="21"/>
              </w:rPr>
              <w:t>造成未遂事故或重大事故，使人员伤亡或设备损失。</w:t>
            </w:r>
          </w:p>
        </w:tc>
        <w:tc>
          <w:tcPr>
            <w:tcW w:w="652" w:type="pct"/>
            <w:tcBorders>
              <w:tl2br w:val="nil"/>
              <w:tr2bl w:val="nil"/>
            </w:tcBorders>
            <w:vAlign w:val="center"/>
          </w:tcPr>
          <w:p w14:paraId="1F02E3F3">
            <w:pPr>
              <w:spacing w:line="240" w:lineRule="auto"/>
              <w:ind w:left="0" w:leftChars="0" w:right="0" w:rightChars="0"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Ⅳ</w:t>
            </w:r>
          </w:p>
        </w:tc>
        <w:tc>
          <w:tcPr>
            <w:tcW w:w="1915" w:type="pct"/>
            <w:tcBorders>
              <w:tl2br w:val="nil"/>
              <w:tr2bl w:val="nil"/>
            </w:tcBorders>
            <w:vAlign w:val="center"/>
          </w:tcPr>
          <w:p w14:paraId="62B15D81">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特种作业人员必须接受专门的技术培训，经考核合格取得操作资格证书后，方可上岗作业。</w:t>
            </w:r>
          </w:p>
        </w:tc>
      </w:tr>
      <w:tr w14:paraId="4DD1F8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673" w:type="pct"/>
            <w:tcBorders>
              <w:tl2br w:val="nil"/>
              <w:tr2bl w:val="nil"/>
            </w:tcBorders>
            <w:vAlign w:val="center"/>
          </w:tcPr>
          <w:p w14:paraId="500FED02">
            <w:pPr>
              <w:pStyle w:val="17"/>
              <w:spacing w:line="240" w:lineRule="auto"/>
              <w:ind w:firstLine="0" w:firstLineChars="0"/>
              <w:rPr>
                <w:rFonts w:hint="eastAsia" w:ascii="宋体" w:hAnsi="宋体" w:eastAsia="宋体" w:cs="宋体"/>
                <w:color w:val="000000"/>
                <w:spacing w:val="0"/>
                <w:sz w:val="21"/>
                <w:szCs w:val="21"/>
              </w:rPr>
            </w:pPr>
            <w:r>
              <w:rPr>
                <w:rFonts w:hint="eastAsia" w:hAnsi="宋体" w:cs="宋体"/>
                <w:color w:val="000000"/>
                <w:sz w:val="21"/>
                <w:szCs w:val="21"/>
                <w:lang w:val="en-US" w:eastAsia="zh-CN"/>
              </w:rPr>
              <w:t>劳保用品</w:t>
            </w:r>
          </w:p>
        </w:tc>
        <w:tc>
          <w:tcPr>
            <w:tcW w:w="922" w:type="pct"/>
            <w:tcBorders>
              <w:tl2br w:val="nil"/>
              <w:tr2bl w:val="nil"/>
            </w:tcBorders>
            <w:vAlign w:val="center"/>
          </w:tcPr>
          <w:p w14:paraId="4D01DA6D">
            <w:pPr>
              <w:spacing w:line="240" w:lineRule="auto"/>
              <w:ind w:left="0" w:leftChars="0" w:firstLine="0" w:firstLineChars="0"/>
              <w:rPr>
                <w:rFonts w:hint="eastAsia" w:ascii="宋体" w:hAnsi="宋体" w:eastAsia="宋体" w:cs="宋体"/>
                <w:color w:val="000000"/>
                <w:sz w:val="21"/>
                <w:szCs w:val="21"/>
              </w:rPr>
            </w:pPr>
            <w:r>
              <w:rPr>
                <w:rFonts w:hint="eastAsia" w:ascii="宋体" w:hAnsi="宋体" w:eastAsia="宋体" w:cs="宋体"/>
                <w:color w:val="000000"/>
                <w:sz w:val="21"/>
                <w:szCs w:val="21"/>
              </w:rPr>
              <w:t>矿山向企业职工发放的劳动保护用品未经过鉴定和检验合格的产品。</w:t>
            </w:r>
          </w:p>
        </w:tc>
        <w:tc>
          <w:tcPr>
            <w:tcW w:w="836" w:type="pct"/>
            <w:tcBorders>
              <w:tl2br w:val="nil"/>
              <w:tr2bl w:val="nil"/>
            </w:tcBorders>
            <w:vAlign w:val="center"/>
          </w:tcPr>
          <w:p w14:paraId="27CEB0A2">
            <w:pPr>
              <w:spacing w:line="240" w:lineRule="auto"/>
              <w:ind w:left="0" w:leftChars="0" w:firstLine="0" w:firstLineChars="0"/>
              <w:rPr>
                <w:rFonts w:hint="eastAsia" w:ascii="宋体" w:hAnsi="宋体" w:eastAsia="宋体" w:cs="宋体"/>
                <w:color w:val="000000"/>
                <w:sz w:val="21"/>
                <w:szCs w:val="21"/>
              </w:rPr>
            </w:pPr>
            <w:r>
              <w:rPr>
                <w:rFonts w:hint="eastAsia" w:ascii="宋体" w:hAnsi="宋体" w:eastAsia="宋体" w:cs="宋体"/>
                <w:color w:val="000000"/>
                <w:sz w:val="21"/>
                <w:szCs w:val="21"/>
              </w:rPr>
              <w:t>职工由于劳动保护用品失效而造成伤害，甚至死亡。</w:t>
            </w:r>
          </w:p>
        </w:tc>
        <w:tc>
          <w:tcPr>
            <w:tcW w:w="652" w:type="pct"/>
            <w:tcBorders>
              <w:tl2br w:val="nil"/>
              <w:tr2bl w:val="nil"/>
            </w:tcBorders>
            <w:vAlign w:val="center"/>
          </w:tcPr>
          <w:p w14:paraId="72235B71">
            <w:pPr>
              <w:spacing w:line="240" w:lineRule="auto"/>
              <w:ind w:left="0" w:leftChars="0" w:right="0" w:rightChars="0" w:firstLine="0" w:firstLineChars="0"/>
              <w:jc w:val="center"/>
              <w:rPr>
                <w:rFonts w:hint="eastAsia" w:ascii="宋体" w:hAnsi="宋体" w:eastAsia="宋体" w:cs="宋体"/>
                <w:color w:val="000000"/>
                <w:sz w:val="21"/>
                <w:szCs w:val="21"/>
              </w:rPr>
            </w:pPr>
            <w:r>
              <w:rPr>
                <w:rFonts w:hint="eastAsia" w:ascii="微软雅黑" w:hAnsi="微软雅黑" w:eastAsia="微软雅黑" w:cs="微软雅黑"/>
                <w:color w:val="auto"/>
                <w:sz w:val="21"/>
                <w:szCs w:val="21"/>
              </w:rPr>
              <w:t>Ⅲ</w:t>
            </w:r>
          </w:p>
        </w:tc>
        <w:tc>
          <w:tcPr>
            <w:tcW w:w="1915" w:type="pct"/>
            <w:tcBorders>
              <w:tl2br w:val="nil"/>
              <w:tr2bl w:val="nil"/>
            </w:tcBorders>
            <w:vAlign w:val="center"/>
          </w:tcPr>
          <w:p w14:paraId="409F6DDD">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依据国务院劳动行政主管部门指定的劳动防护用品发放标准发放劳动保护用品。</w:t>
            </w:r>
          </w:p>
        </w:tc>
      </w:tr>
      <w:tr w14:paraId="430ECA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673" w:type="pct"/>
            <w:tcBorders>
              <w:tl2br w:val="nil"/>
              <w:tr2bl w:val="nil"/>
            </w:tcBorders>
            <w:vAlign w:val="center"/>
          </w:tcPr>
          <w:p w14:paraId="7B322CB9">
            <w:pPr>
              <w:pStyle w:val="17"/>
              <w:spacing w:line="240" w:lineRule="auto"/>
              <w:ind w:firstLine="0" w:firstLineChars="0"/>
              <w:rPr>
                <w:rFonts w:hint="default" w:ascii="宋体" w:hAnsi="宋体" w:eastAsia="宋体" w:cs="宋体"/>
                <w:color w:val="000000"/>
                <w:spacing w:val="0"/>
                <w:sz w:val="21"/>
                <w:szCs w:val="21"/>
                <w:lang w:val="en-US" w:eastAsia="zh-CN"/>
              </w:rPr>
            </w:pPr>
            <w:r>
              <w:rPr>
                <w:rFonts w:hint="eastAsia" w:ascii="宋体" w:hAnsi="宋体" w:eastAsia="宋体" w:cs="宋体"/>
                <w:color w:val="000000"/>
                <w:spacing w:val="0"/>
                <w:sz w:val="21"/>
                <w:szCs w:val="21"/>
                <w:lang w:val="en-US" w:eastAsia="zh-CN"/>
              </w:rPr>
              <w:t>生产安全事故应急救援预案</w:t>
            </w:r>
          </w:p>
        </w:tc>
        <w:tc>
          <w:tcPr>
            <w:tcW w:w="922" w:type="pct"/>
            <w:tcBorders>
              <w:tl2br w:val="nil"/>
              <w:tr2bl w:val="nil"/>
            </w:tcBorders>
            <w:vAlign w:val="center"/>
          </w:tcPr>
          <w:p w14:paraId="0599E66B">
            <w:pPr>
              <w:spacing w:line="240" w:lineRule="auto"/>
              <w:ind w:left="0" w:leftChars="0" w:firstLine="0" w:firstLineChars="0"/>
              <w:rPr>
                <w:rFonts w:hint="eastAsia" w:ascii="宋体" w:hAnsi="宋体" w:eastAsia="宋体" w:cs="宋体"/>
                <w:color w:val="000000"/>
                <w:sz w:val="21"/>
                <w:szCs w:val="21"/>
              </w:rPr>
            </w:pPr>
            <w:r>
              <w:rPr>
                <w:rFonts w:hint="eastAsia" w:ascii="宋体" w:hAnsi="宋体" w:eastAsia="宋体" w:cs="宋体"/>
                <w:color w:val="000000"/>
                <w:sz w:val="21"/>
                <w:szCs w:val="21"/>
              </w:rPr>
              <w:t>未编制</w:t>
            </w:r>
            <w:r>
              <w:rPr>
                <w:rFonts w:hint="eastAsia" w:ascii="宋体" w:hAnsi="宋体" w:eastAsia="宋体" w:cs="宋体"/>
                <w:color w:val="000000"/>
                <w:sz w:val="21"/>
                <w:szCs w:val="21"/>
                <w:lang w:val="en-US" w:eastAsia="zh-CN"/>
              </w:rPr>
              <w:t>生产安全事故应急救援预案</w:t>
            </w:r>
            <w:r>
              <w:rPr>
                <w:rFonts w:hint="eastAsia" w:ascii="宋体" w:hAnsi="宋体" w:eastAsia="宋体" w:cs="宋体"/>
                <w:color w:val="000000"/>
                <w:sz w:val="21"/>
                <w:szCs w:val="21"/>
              </w:rPr>
              <w:t>或编制不完全，未根据实际情况对</w:t>
            </w:r>
            <w:r>
              <w:rPr>
                <w:rFonts w:hint="eastAsia" w:ascii="宋体" w:hAnsi="宋体" w:eastAsia="宋体" w:cs="宋体"/>
                <w:color w:val="000000"/>
                <w:sz w:val="21"/>
                <w:szCs w:val="21"/>
                <w:lang w:val="en-US" w:eastAsia="zh-CN"/>
              </w:rPr>
              <w:t>预案</w:t>
            </w:r>
            <w:r>
              <w:rPr>
                <w:rFonts w:hint="eastAsia" w:ascii="宋体" w:hAnsi="宋体" w:eastAsia="宋体" w:cs="宋体"/>
                <w:color w:val="000000"/>
                <w:sz w:val="21"/>
                <w:szCs w:val="21"/>
              </w:rPr>
              <w:t>进行修</w:t>
            </w:r>
            <w:r>
              <w:rPr>
                <w:rFonts w:hint="eastAsia" w:ascii="宋体" w:hAnsi="宋体" w:eastAsia="宋体" w:cs="宋体"/>
                <w:color w:val="000000"/>
                <w:sz w:val="21"/>
                <w:szCs w:val="21"/>
                <w:lang w:val="en-US" w:eastAsia="zh-CN"/>
              </w:rPr>
              <w:t>订</w:t>
            </w:r>
            <w:r>
              <w:rPr>
                <w:rFonts w:hint="eastAsia" w:ascii="宋体" w:hAnsi="宋体" w:eastAsia="宋体" w:cs="宋体"/>
                <w:color w:val="000000"/>
                <w:sz w:val="21"/>
                <w:szCs w:val="21"/>
              </w:rPr>
              <w:t>，制定相应的措施。</w:t>
            </w:r>
          </w:p>
        </w:tc>
        <w:tc>
          <w:tcPr>
            <w:tcW w:w="836" w:type="pct"/>
            <w:tcBorders>
              <w:tl2br w:val="nil"/>
              <w:tr2bl w:val="nil"/>
            </w:tcBorders>
            <w:vAlign w:val="center"/>
          </w:tcPr>
          <w:p w14:paraId="4EB951F6">
            <w:pPr>
              <w:spacing w:line="240" w:lineRule="auto"/>
              <w:ind w:left="0" w:leftChars="0" w:firstLine="0" w:firstLineChars="0"/>
              <w:rPr>
                <w:rFonts w:hint="eastAsia" w:ascii="宋体" w:hAnsi="宋体" w:eastAsia="宋体" w:cs="宋体"/>
                <w:color w:val="000000"/>
                <w:sz w:val="21"/>
                <w:szCs w:val="21"/>
                <w:lang w:eastAsia="zh-CN"/>
              </w:rPr>
            </w:pPr>
            <w:r>
              <w:rPr>
                <w:rFonts w:hint="eastAsia" w:ascii="宋体" w:hAnsi="宋体" w:eastAsia="宋体" w:cs="宋体"/>
                <w:color w:val="000000"/>
                <w:sz w:val="21"/>
                <w:szCs w:val="21"/>
              </w:rPr>
              <w:t>在灾害和事故发生时，未能按计划有序</w:t>
            </w:r>
            <w:r>
              <w:rPr>
                <w:rFonts w:hint="eastAsia" w:ascii="宋体" w:hAnsi="宋体" w:cs="宋体"/>
                <w:color w:val="000000"/>
                <w:sz w:val="21"/>
                <w:szCs w:val="21"/>
                <w:lang w:eastAsia="zh-CN"/>
              </w:rPr>
              <w:t>有效地进行</w:t>
            </w:r>
            <w:r>
              <w:rPr>
                <w:rFonts w:hint="eastAsia" w:ascii="宋体" w:hAnsi="宋体" w:eastAsia="宋体" w:cs="宋体"/>
                <w:color w:val="000000"/>
                <w:sz w:val="21"/>
                <w:szCs w:val="21"/>
              </w:rPr>
              <w:t>抢救，造成重大损失</w:t>
            </w:r>
            <w:r>
              <w:rPr>
                <w:rFonts w:hint="eastAsia" w:ascii="宋体" w:hAnsi="宋体" w:eastAsia="宋体" w:cs="宋体"/>
                <w:color w:val="000000"/>
                <w:sz w:val="21"/>
                <w:szCs w:val="21"/>
                <w:lang w:eastAsia="zh-CN"/>
              </w:rPr>
              <w:t>。</w:t>
            </w:r>
          </w:p>
        </w:tc>
        <w:tc>
          <w:tcPr>
            <w:tcW w:w="652" w:type="pct"/>
            <w:tcBorders>
              <w:tl2br w:val="nil"/>
              <w:tr2bl w:val="nil"/>
            </w:tcBorders>
            <w:vAlign w:val="center"/>
          </w:tcPr>
          <w:p w14:paraId="3E8F00D5">
            <w:pPr>
              <w:spacing w:line="240" w:lineRule="auto"/>
              <w:ind w:left="0" w:leftChars="0" w:right="0" w:rightChars="0"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Ⅳ</w:t>
            </w:r>
          </w:p>
        </w:tc>
        <w:tc>
          <w:tcPr>
            <w:tcW w:w="1915" w:type="pct"/>
            <w:tcBorders>
              <w:tl2br w:val="nil"/>
              <w:tr2bl w:val="nil"/>
            </w:tcBorders>
            <w:vAlign w:val="center"/>
          </w:tcPr>
          <w:p w14:paraId="6D9832EA">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矿山必须编制</w:t>
            </w:r>
            <w:r>
              <w:rPr>
                <w:rFonts w:hint="eastAsia" w:ascii="宋体" w:hAnsi="宋体" w:eastAsia="宋体" w:cs="宋体"/>
                <w:color w:val="000000"/>
                <w:spacing w:val="0"/>
                <w:sz w:val="21"/>
                <w:szCs w:val="21"/>
                <w:lang w:val="en-US" w:eastAsia="zh-CN"/>
              </w:rPr>
              <w:t>生产安全事故应急救援预案</w:t>
            </w:r>
            <w:r>
              <w:rPr>
                <w:rFonts w:hint="eastAsia" w:ascii="宋体" w:hAnsi="宋体" w:eastAsia="宋体" w:cs="宋体"/>
                <w:color w:val="000000"/>
                <w:spacing w:val="0"/>
                <w:sz w:val="21"/>
                <w:szCs w:val="21"/>
              </w:rPr>
              <w:t>。每</w:t>
            </w:r>
            <w:r>
              <w:rPr>
                <w:rFonts w:hint="eastAsia" w:ascii="宋体" w:hAnsi="宋体" w:eastAsia="宋体" w:cs="宋体"/>
                <w:color w:val="000000"/>
                <w:spacing w:val="0"/>
                <w:sz w:val="21"/>
                <w:szCs w:val="21"/>
                <w:lang w:val="en-US" w:eastAsia="zh-CN"/>
              </w:rPr>
              <w:t>年度</w:t>
            </w:r>
            <w:r>
              <w:rPr>
                <w:rFonts w:hint="eastAsia" w:ascii="宋体" w:hAnsi="宋体" w:eastAsia="宋体" w:cs="宋体"/>
                <w:color w:val="000000"/>
                <w:spacing w:val="0"/>
                <w:sz w:val="21"/>
                <w:szCs w:val="21"/>
              </w:rPr>
              <w:t>根据实际情况对</w:t>
            </w:r>
            <w:r>
              <w:rPr>
                <w:rFonts w:hint="eastAsia" w:ascii="宋体" w:hAnsi="宋体" w:eastAsia="宋体" w:cs="宋体"/>
                <w:color w:val="000000"/>
                <w:spacing w:val="0"/>
                <w:sz w:val="21"/>
                <w:szCs w:val="21"/>
                <w:lang w:val="en-US" w:eastAsia="zh-CN"/>
              </w:rPr>
              <w:t>应急预案</w:t>
            </w:r>
            <w:r>
              <w:rPr>
                <w:rFonts w:hint="eastAsia" w:ascii="宋体" w:hAnsi="宋体" w:eastAsia="宋体" w:cs="宋体"/>
                <w:color w:val="000000"/>
                <w:spacing w:val="0"/>
                <w:sz w:val="21"/>
                <w:szCs w:val="21"/>
              </w:rPr>
              <w:t>及时修</w:t>
            </w:r>
            <w:r>
              <w:rPr>
                <w:rFonts w:hint="eastAsia" w:ascii="宋体" w:hAnsi="宋体" w:eastAsia="宋体" w:cs="宋体"/>
                <w:color w:val="000000"/>
                <w:spacing w:val="0"/>
                <w:sz w:val="21"/>
                <w:szCs w:val="21"/>
                <w:lang w:val="en-US" w:eastAsia="zh-CN"/>
              </w:rPr>
              <w:t>订</w:t>
            </w:r>
            <w:r>
              <w:rPr>
                <w:rFonts w:hint="eastAsia" w:ascii="宋体" w:hAnsi="宋体" w:eastAsia="宋体" w:cs="宋体"/>
                <w:color w:val="000000"/>
                <w:spacing w:val="0"/>
                <w:sz w:val="21"/>
                <w:szCs w:val="21"/>
              </w:rPr>
              <w:t>，制定相应的措施。</w:t>
            </w:r>
          </w:p>
        </w:tc>
      </w:tr>
      <w:tr w14:paraId="32B974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673" w:type="pct"/>
            <w:tcBorders>
              <w:tl2br w:val="nil"/>
              <w:tr2bl w:val="nil"/>
            </w:tcBorders>
            <w:vAlign w:val="center"/>
          </w:tcPr>
          <w:p w14:paraId="68CA92F0">
            <w:pPr>
              <w:pStyle w:val="17"/>
              <w:spacing w:line="240" w:lineRule="auto"/>
              <w:ind w:firstLine="0" w:firstLineChars="0"/>
              <w:rPr>
                <w:rFonts w:hint="default" w:ascii="宋体" w:hAnsi="宋体" w:eastAsia="宋体" w:cs="宋体"/>
                <w:color w:val="000000"/>
                <w:spacing w:val="0"/>
                <w:sz w:val="21"/>
                <w:szCs w:val="21"/>
                <w:lang w:val="en-US" w:eastAsia="zh-CN"/>
              </w:rPr>
            </w:pPr>
            <w:r>
              <w:rPr>
                <w:rFonts w:hint="eastAsia" w:ascii="宋体" w:hAnsi="宋体" w:eastAsia="宋体" w:cs="宋体"/>
                <w:color w:val="000000"/>
                <w:spacing w:val="0"/>
                <w:sz w:val="21"/>
                <w:szCs w:val="21"/>
                <w:lang w:val="en-US" w:eastAsia="zh-CN"/>
              </w:rPr>
              <w:t>生产安全事故应急救援预案</w:t>
            </w:r>
            <w:r>
              <w:rPr>
                <w:rFonts w:hint="eastAsia" w:hAnsi="宋体" w:cs="宋体"/>
                <w:color w:val="000000"/>
                <w:spacing w:val="0"/>
                <w:sz w:val="21"/>
                <w:szCs w:val="21"/>
                <w:lang w:val="en-US" w:eastAsia="zh-CN"/>
              </w:rPr>
              <w:t>演练</w:t>
            </w:r>
          </w:p>
        </w:tc>
        <w:tc>
          <w:tcPr>
            <w:tcW w:w="922" w:type="pct"/>
            <w:tcBorders>
              <w:tl2br w:val="nil"/>
              <w:tr2bl w:val="nil"/>
            </w:tcBorders>
            <w:vAlign w:val="center"/>
          </w:tcPr>
          <w:p w14:paraId="102B62C6">
            <w:pPr>
              <w:spacing w:line="240" w:lineRule="auto"/>
              <w:ind w:left="0" w:leftChars="0" w:firstLine="0" w:firstLineChars="0"/>
              <w:rPr>
                <w:rFonts w:hint="eastAsia" w:ascii="宋体" w:hAnsi="宋体" w:eastAsia="宋体" w:cs="宋体"/>
                <w:color w:val="000000"/>
                <w:sz w:val="21"/>
                <w:szCs w:val="21"/>
              </w:rPr>
            </w:pPr>
            <w:r>
              <w:rPr>
                <w:rFonts w:hint="eastAsia" w:ascii="宋体" w:hAnsi="宋体" w:eastAsia="宋体" w:cs="宋体"/>
                <w:color w:val="000000"/>
                <w:sz w:val="21"/>
                <w:szCs w:val="21"/>
              </w:rPr>
              <w:t>矿山职工</w:t>
            </w:r>
            <w:r>
              <w:rPr>
                <w:rFonts w:hint="eastAsia" w:ascii="宋体" w:hAnsi="宋体" w:eastAsia="宋体" w:cs="宋体"/>
                <w:color w:val="000000"/>
                <w:sz w:val="21"/>
                <w:szCs w:val="21"/>
                <w:lang w:val="en-US" w:eastAsia="zh-CN"/>
              </w:rPr>
              <w:t>不</w:t>
            </w:r>
            <w:r>
              <w:rPr>
                <w:rFonts w:hint="eastAsia" w:ascii="宋体" w:hAnsi="宋体" w:eastAsia="宋体" w:cs="宋体"/>
                <w:color w:val="000000"/>
                <w:sz w:val="21"/>
                <w:szCs w:val="21"/>
              </w:rPr>
              <w:t>熟悉</w:t>
            </w:r>
            <w:r>
              <w:rPr>
                <w:rFonts w:hint="eastAsia" w:ascii="宋体" w:hAnsi="宋体" w:eastAsia="宋体" w:cs="宋体"/>
                <w:color w:val="000000"/>
                <w:sz w:val="21"/>
                <w:szCs w:val="21"/>
                <w:lang w:val="en-US" w:eastAsia="zh-CN"/>
              </w:rPr>
              <w:t>生产安全事故应急救援程序</w:t>
            </w:r>
            <w:r>
              <w:rPr>
                <w:rFonts w:hint="eastAsia" w:ascii="宋体" w:hAnsi="宋体" w:eastAsia="宋体" w:cs="宋体"/>
                <w:color w:val="000000"/>
                <w:sz w:val="21"/>
                <w:szCs w:val="21"/>
              </w:rPr>
              <w:t>，</w:t>
            </w:r>
            <w:r>
              <w:rPr>
                <w:rFonts w:hint="eastAsia" w:ascii="宋体" w:hAnsi="宋体" w:eastAsia="宋体" w:cs="宋体"/>
                <w:color w:val="000000"/>
                <w:sz w:val="21"/>
                <w:szCs w:val="21"/>
                <w:lang w:val="en-US" w:eastAsia="zh-CN"/>
              </w:rPr>
              <w:t>未按要求开展</w:t>
            </w:r>
            <w:r>
              <w:rPr>
                <w:rFonts w:hint="eastAsia" w:ascii="宋体" w:hAnsi="宋体" w:eastAsia="宋体" w:cs="宋体"/>
                <w:color w:val="000000"/>
                <w:sz w:val="21"/>
                <w:szCs w:val="21"/>
              </w:rPr>
              <w:t>矿山</w:t>
            </w:r>
            <w:r>
              <w:rPr>
                <w:rFonts w:hint="eastAsia" w:ascii="宋体" w:hAnsi="宋体" w:eastAsia="宋体" w:cs="宋体"/>
                <w:color w:val="000000"/>
                <w:sz w:val="21"/>
                <w:szCs w:val="21"/>
                <w:lang w:val="en-US" w:eastAsia="zh-CN"/>
              </w:rPr>
              <w:t>应急救援演练</w:t>
            </w:r>
            <w:r>
              <w:rPr>
                <w:rFonts w:hint="eastAsia" w:ascii="宋体" w:hAnsi="宋体" w:eastAsia="宋体" w:cs="宋体"/>
                <w:color w:val="000000"/>
                <w:sz w:val="21"/>
                <w:szCs w:val="21"/>
              </w:rPr>
              <w:t>。</w:t>
            </w:r>
          </w:p>
        </w:tc>
        <w:tc>
          <w:tcPr>
            <w:tcW w:w="836" w:type="pct"/>
            <w:tcBorders>
              <w:tl2br w:val="nil"/>
              <w:tr2bl w:val="nil"/>
            </w:tcBorders>
            <w:vAlign w:val="center"/>
          </w:tcPr>
          <w:p w14:paraId="6CE58C5E">
            <w:pPr>
              <w:spacing w:line="240" w:lineRule="auto"/>
              <w:ind w:left="0" w:leftChars="0" w:firstLine="0" w:firstLineChars="0"/>
              <w:rPr>
                <w:rFonts w:hint="eastAsia" w:ascii="宋体" w:hAnsi="宋体" w:eastAsia="宋体" w:cs="宋体"/>
                <w:color w:val="000000"/>
                <w:sz w:val="21"/>
                <w:szCs w:val="21"/>
                <w:lang w:eastAsia="zh-CN"/>
              </w:rPr>
            </w:pPr>
            <w:r>
              <w:rPr>
                <w:rFonts w:hint="eastAsia" w:ascii="宋体" w:hAnsi="宋体" w:eastAsia="宋体" w:cs="宋体"/>
                <w:color w:val="000000"/>
                <w:sz w:val="21"/>
                <w:szCs w:val="21"/>
              </w:rPr>
              <w:t>职工由于不了解</w:t>
            </w:r>
            <w:r>
              <w:rPr>
                <w:rFonts w:hint="eastAsia" w:ascii="宋体" w:hAnsi="宋体" w:eastAsia="宋体" w:cs="宋体"/>
                <w:color w:val="000000"/>
                <w:sz w:val="21"/>
                <w:szCs w:val="21"/>
                <w:lang w:val="en-US" w:eastAsia="zh-CN"/>
              </w:rPr>
              <w:t>应急程序和紧急处置措施</w:t>
            </w:r>
            <w:r>
              <w:rPr>
                <w:rFonts w:hint="eastAsia" w:ascii="宋体" w:hAnsi="宋体" w:eastAsia="宋体" w:cs="宋体"/>
                <w:color w:val="000000"/>
                <w:sz w:val="21"/>
                <w:szCs w:val="21"/>
              </w:rPr>
              <w:t>，不能及时避灾或自救，造成伤亡</w:t>
            </w:r>
            <w:r>
              <w:rPr>
                <w:rFonts w:hint="eastAsia" w:ascii="宋体" w:hAnsi="宋体" w:eastAsia="宋体" w:cs="宋体"/>
                <w:color w:val="000000"/>
                <w:sz w:val="21"/>
                <w:szCs w:val="21"/>
                <w:lang w:eastAsia="zh-CN"/>
              </w:rPr>
              <w:t>。</w:t>
            </w:r>
          </w:p>
        </w:tc>
        <w:tc>
          <w:tcPr>
            <w:tcW w:w="652" w:type="pct"/>
            <w:tcBorders>
              <w:tl2br w:val="nil"/>
              <w:tr2bl w:val="nil"/>
            </w:tcBorders>
            <w:vAlign w:val="center"/>
          </w:tcPr>
          <w:p w14:paraId="4DB97A6E">
            <w:pPr>
              <w:spacing w:line="240" w:lineRule="auto"/>
              <w:ind w:left="0" w:leftChars="0" w:right="0" w:rightChars="0" w:firstLine="0" w:firstLineChars="0"/>
              <w:jc w:val="center"/>
              <w:rPr>
                <w:rFonts w:hint="eastAsia" w:ascii="宋体" w:hAnsi="宋体" w:eastAsia="宋体" w:cs="宋体"/>
                <w:color w:val="000000"/>
                <w:sz w:val="21"/>
                <w:szCs w:val="21"/>
              </w:rPr>
            </w:pPr>
            <w:r>
              <w:rPr>
                <w:rFonts w:hint="eastAsia" w:ascii="微软雅黑" w:hAnsi="微软雅黑" w:eastAsia="微软雅黑" w:cs="微软雅黑"/>
                <w:color w:val="auto"/>
                <w:sz w:val="21"/>
                <w:szCs w:val="21"/>
              </w:rPr>
              <w:t>Ⅲ</w:t>
            </w:r>
          </w:p>
        </w:tc>
        <w:tc>
          <w:tcPr>
            <w:tcW w:w="1915" w:type="pct"/>
            <w:tcBorders>
              <w:tl2br w:val="nil"/>
              <w:tr2bl w:val="nil"/>
            </w:tcBorders>
            <w:vAlign w:val="center"/>
          </w:tcPr>
          <w:p w14:paraId="785524B5">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矿山必须使每一个职工熟悉矿山灾害预防和应急计划，并每年至少</w:t>
            </w:r>
            <w:r>
              <w:rPr>
                <w:rFonts w:hint="eastAsia" w:hAnsi="宋体" w:cs="宋体"/>
                <w:color w:val="000000"/>
                <w:spacing w:val="0"/>
                <w:sz w:val="21"/>
                <w:szCs w:val="21"/>
                <w:lang w:val="en-US" w:eastAsia="zh-CN"/>
              </w:rPr>
              <w:t>组织开展</w:t>
            </w:r>
            <w:r>
              <w:rPr>
                <w:rFonts w:hint="eastAsia" w:ascii="宋体" w:hAnsi="宋体" w:eastAsia="宋体" w:cs="宋体"/>
                <w:color w:val="000000"/>
                <w:spacing w:val="0"/>
                <w:sz w:val="21"/>
                <w:szCs w:val="21"/>
              </w:rPr>
              <w:t>一次的矿山</w:t>
            </w:r>
            <w:r>
              <w:rPr>
                <w:rFonts w:hint="eastAsia" w:hAnsi="宋体" w:cs="宋体"/>
                <w:color w:val="000000"/>
                <w:spacing w:val="0"/>
                <w:sz w:val="21"/>
                <w:szCs w:val="21"/>
                <w:lang w:val="en-US" w:eastAsia="zh-CN"/>
              </w:rPr>
              <w:t>综合应急演练，且每半年至少组织开展一次现场处置方案演练</w:t>
            </w:r>
            <w:r>
              <w:rPr>
                <w:rFonts w:hint="eastAsia" w:ascii="宋体" w:hAnsi="宋体" w:eastAsia="宋体" w:cs="宋体"/>
                <w:color w:val="000000"/>
                <w:spacing w:val="0"/>
                <w:sz w:val="21"/>
                <w:szCs w:val="21"/>
              </w:rPr>
              <w:t>。</w:t>
            </w:r>
          </w:p>
        </w:tc>
      </w:tr>
      <w:tr w14:paraId="6AAFC2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673" w:type="pct"/>
            <w:tcBorders>
              <w:tl2br w:val="nil"/>
              <w:tr2bl w:val="nil"/>
            </w:tcBorders>
            <w:vAlign w:val="center"/>
          </w:tcPr>
          <w:p w14:paraId="107B83D0">
            <w:pPr>
              <w:pStyle w:val="17"/>
              <w:spacing w:line="240" w:lineRule="auto"/>
              <w:ind w:firstLine="0" w:firstLineChars="0"/>
              <w:rPr>
                <w:rFonts w:hint="default" w:ascii="宋体" w:hAnsi="宋体" w:eastAsia="宋体" w:cs="宋体"/>
                <w:color w:val="000000"/>
                <w:spacing w:val="0"/>
                <w:sz w:val="21"/>
                <w:szCs w:val="21"/>
                <w:lang w:val="en-US" w:eastAsia="zh-CN"/>
              </w:rPr>
            </w:pPr>
            <w:r>
              <w:rPr>
                <w:rFonts w:hint="eastAsia" w:ascii="宋体" w:hAnsi="宋体" w:eastAsia="宋体" w:cs="宋体"/>
                <w:color w:val="000000"/>
                <w:spacing w:val="0"/>
                <w:sz w:val="21"/>
                <w:szCs w:val="21"/>
              </w:rPr>
              <w:t>安全</w:t>
            </w:r>
            <w:r>
              <w:rPr>
                <w:rFonts w:hint="eastAsia" w:hAnsi="宋体" w:cs="宋体"/>
                <w:color w:val="000000"/>
                <w:spacing w:val="0"/>
                <w:sz w:val="21"/>
                <w:szCs w:val="21"/>
                <w:lang w:val="en-US" w:eastAsia="zh-CN"/>
              </w:rPr>
              <w:t>警示标识</w:t>
            </w:r>
          </w:p>
        </w:tc>
        <w:tc>
          <w:tcPr>
            <w:tcW w:w="922" w:type="pct"/>
            <w:tcBorders>
              <w:tl2br w:val="nil"/>
              <w:tr2bl w:val="nil"/>
            </w:tcBorders>
            <w:vAlign w:val="center"/>
          </w:tcPr>
          <w:p w14:paraId="1AE26E90">
            <w:pPr>
              <w:spacing w:line="240" w:lineRule="auto"/>
              <w:ind w:left="0" w:leftChars="0" w:firstLine="0" w:firstLineChars="0"/>
              <w:rPr>
                <w:rFonts w:hint="eastAsia" w:ascii="宋体" w:hAnsi="宋体" w:eastAsia="宋体" w:cs="宋体"/>
                <w:color w:val="000000"/>
                <w:sz w:val="21"/>
                <w:szCs w:val="21"/>
              </w:rPr>
            </w:pPr>
            <w:r>
              <w:rPr>
                <w:rFonts w:hint="eastAsia" w:ascii="宋体" w:hAnsi="宋体" w:eastAsia="宋体" w:cs="宋体"/>
                <w:color w:val="000000"/>
                <w:sz w:val="21"/>
                <w:szCs w:val="21"/>
              </w:rPr>
              <w:t>在不同的作业场所未按要求设置矿山安全</w:t>
            </w:r>
            <w:r>
              <w:rPr>
                <w:rFonts w:hint="eastAsia" w:ascii="宋体" w:hAnsi="宋体" w:eastAsia="宋体" w:cs="宋体"/>
                <w:color w:val="000000"/>
                <w:sz w:val="21"/>
                <w:szCs w:val="21"/>
                <w:lang w:val="en-US" w:eastAsia="zh-CN"/>
              </w:rPr>
              <w:t>警示</w:t>
            </w:r>
            <w:r>
              <w:rPr>
                <w:rFonts w:hint="eastAsia" w:ascii="宋体" w:hAnsi="宋体" w:eastAsia="宋体" w:cs="宋体"/>
                <w:color w:val="000000"/>
                <w:sz w:val="21"/>
                <w:szCs w:val="21"/>
              </w:rPr>
              <w:t>标志。</w:t>
            </w:r>
          </w:p>
        </w:tc>
        <w:tc>
          <w:tcPr>
            <w:tcW w:w="836" w:type="pct"/>
            <w:tcBorders>
              <w:tl2br w:val="nil"/>
              <w:tr2bl w:val="nil"/>
            </w:tcBorders>
            <w:vAlign w:val="center"/>
          </w:tcPr>
          <w:p w14:paraId="2E49A5EE">
            <w:pPr>
              <w:spacing w:line="240" w:lineRule="auto"/>
              <w:ind w:left="0" w:leftChars="0" w:firstLine="0" w:firstLineChars="0"/>
              <w:rPr>
                <w:rFonts w:hint="eastAsia" w:ascii="宋体" w:hAnsi="宋体" w:eastAsia="宋体" w:cs="宋体"/>
                <w:color w:val="000000"/>
                <w:sz w:val="21"/>
                <w:szCs w:val="21"/>
              </w:rPr>
            </w:pPr>
            <w:r>
              <w:rPr>
                <w:rFonts w:hint="eastAsia" w:ascii="宋体" w:hAnsi="宋体" w:eastAsia="宋体" w:cs="宋体"/>
                <w:color w:val="000000"/>
                <w:sz w:val="21"/>
                <w:szCs w:val="21"/>
              </w:rPr>
              <w:t>由于标志不清或无标志造成人身伤亡</w:t>
            </w:r>
          </w:p>
        </w:tc>
        <w:tc>
          <w:tcPr>
            <w:tcW w:w="652" w:type="pct"/>
            <w:tcBorders>
              <w:tl2br w:val="nil"/>
              <w:tr2bl w:val="nil"/>
            </w:tcBorders>
            <w:vAlign w:val="center"/>
          </w:tcPr>
          <w:p w14:paraId="74D36197">
            <w:pPr>
              <w:spacing w:line="240" w:lineRule="auto"/>
              <w:ind w:left="0" w:leftChars="0" w:right="0" w:rightChars="0"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Ⅳ</w:t>
            </w:r>
          </w:p>
        </w:tc>
        <w:tc>
          <w:tcPr>
            <w:tcW w:w="1915" w:type="pct"/>
            <w:tcBorders>
              <w:tl2br w:val="nil"/>
              <w:tr2bl w:val="nil"/>
            </w:tcBorders>
            <w:vAlign w:val="center"/>
          </w:tcPr>
          <w:p w14:paraId="70191357">
            <w:pPr>
              <w:pStyle w:val="17"/>
              <w:spacing w:line="240" w:lineRule="auto"/>
              <w:ind w:firstLine="0" w:firstLineChars="0"/>
              <w:rPr>
                <w:rFonts w:hint="eastAsia" w:ascii="宋体" w:hAnsi="宋体" w:eastAsia="宋体" w:cs="宋体"/>
                <w:color w:val="000000"/>
                <w:spacing w:val="0"/>
                <w:sz w:val="21"/>
                <w:szCs w:val="21"/>
                <w:lang w:eastAsia="zh-CN"/>
              </w:rPr>
            </w:pPr>
            <w:r>
              <w:rPr>
                <w:rFonts w:hint="eastAsia" w:ascii="宋体" w:hAnsi="宋体" w:eastAsia="宋体" w:cs="宋体"/>
                <w:color w:val="000000"/>
                <w:spacing w:val="0"/>
                <w:sz w:val="21"/>
                <w:szCs w:val="21"/>
              </w:rPr>
              <w:t>在不同的作业场所必须按规定设置矿山安全标志</w:t>
            </w:r>
            <w:r>
              <w:rPr>
                <w:rFonts w:hint="eastAsia" w:ascii="宋体" w:hAnsi="宋体" w:eastAsia="宋体" w:cs="宋体"/>
                <w:color w:val="000000"/>
                <w:spacing w:val="0"/>
                <w:sz w:val="21"/>
                <w:szCs w:val="21"/>
                <w:lang w:eastAsia="zh-CN"/>
              </w:rPr>
              <w:t>。</w:t>
            </w:r>
          </w:p>
        </w:tc>
      </w:tr>
      <w:tr w14:paraId="7E8385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673" w:type="pct"/>
            <w:tcBorders>
              <w:tl2br w:val="nil"/>
              <w:tr2bl w:val="nil"/>
            </w:tcBorders>
            <w:vAlign w:val="center"/>
          </w:tcPr>
          <w:p w14:paraId="67AF361A">
            <w:pPr>
              <w:pStyle w:val="17"/>
              <w:spacing w:line="240" w:lineRule="auto"/>
              <w:ind w:left="0" w:leftChars="0" w:firstLine="0" w:firstLineChars="0"/>
              <w:rPr>
                <w:rFonts w:hint="eastAsia" w:ascii="宋体" w:hAnsi="宋体" w:eastAsia="宋体" w:cs="宋体"/>
                <w:color w:val="000000"/>
                <w:spacing w:val="0"/>
                <w:sz w:val="21"/>
                <w:szCs w:val="21"/>
                <w:lang w:eastAsia="zh-CN"/>
              </w:rPr>
            </w:pPr>
            <w:r>
              <w:rPr>
                <w:rFonts w:hint="eastAsia" w:ascii="宋体" w:hAnsi="宋体" w:eastAsia="宋体" w:cs="宋体"/>
                <w:color w:val="000000"/>
                <w:spacing w:val="0"/>
                <w:sz w:val="21"/>
                <w:szCs w:val="21"/>
                <w:lang w:val="en-US" w:eastAsia="zh-CN"/>
              </w:rPr>
              <w:t>医疗救护</w:t>
            </w:r>
          </w:p>
        </w:tc>
        <w:tc>
          <w:tcPr>
            <w:tcW w:w="922" w:type="pct"/>
            <w:tcBorders>
              <w:tl2br w:val="nil"/>
              <w:tr2bl w:val="nil"/>
            </w:tcBorders>
            <w:vAlign w:val="center"/>
          </w:tcPr>
          <w:p w14:paraId="56321AEF">
            <w:pPr>
              <w:spacing w:line="240" w:lineRule="auto"/>
              <w:ind w:left="0" w:leftChars="0" w:firstLine="0" w:firstLineChars="0"/>
              <w:rPr>
                <w:rFonts w:hint="eastAsia" w:ascii="宋体" w:hAnsi="宋体" w:eastAsia="宋体" w:cs="宋体"/>
                <w:color w:val="000000"/>
                <w:sz w:val="21"/>
                <w:szCs w:val="21"/>
              </w:rPr>
            </w:pPr>
            <w:r>
              <w:rPr>
                <w:rFonts w:hint="eastAsia" w:ascii="宋体" w:hAnsi="宋体" w:eastAsia="宋体" w:cs="宋体"/>
                <w:color w:val="000000"/>
                <w:sz w:val="21"/>
                <w:szCs w:val="21"/>
              </w:rPr>
              <w:t>矿山未建立专职或兼职的人员组成矿山医疗救护组织。</w:t>
            </w:r>
          </w:p>
          <w:p w14:paraId="5E86AEDA">
            <w:pPr>
              <w:spacing w:line="240" w:lineRule="auto"/>
              <w:ind w:left="0" w:leftChars="0" w:firstLine="0" w:firstLineChars="0"/>
              <w:rPr>
                <w:rFonts w:hint="eastAsia" w:ascii="宋体" w:hAnsi="宋体" w:eastAsia="宋体" w:cs="宋体"/>
                <w:color w:val="000000"/>
                <w:sz w:val="21"/>
                <w:szCs w:val="21"/>
              </w:rPr>
            </w:pPr>
          </w:p>
        </w:tc>
        <w:tc>
          <w:tcPr>
            <w:tcW w:w="836" w:type="pct"/>
            <w:tcBorders>
              <w:tl2br w:val="nil"/>
              <w:tr2bl w:val="nil"/>
            </w:tcBorders>
            <w:vAlign w:val="center"/>
          </w:tcPr>
          <w:p w14:paraId="2A7C9F5C">
            <w:pPr>
              <w:spacing w:line="240" w:lineRule="auto"/>
              <w:ind w:left="0" w:leftChars="0" w:firstLine="0" w:firstLineChars="0"/>
              <w:rPr>
                <w:rFonts w:hint="eastAsia" w:ascii="宋体" w:hAnsi="宋体" w:eastAsia="宋体" w:cs="宋体"/>
                <w:color w:val="000000"/>
                <w:sz w:val="21"/>
                <w:szCs w:val="21"/>
              </w:rPr>
            </w:pPr>
            <w:r>
              <w:rPr>
                <w:rFonts w:hint="eastAsia" w:ascii="宋体" w:hAnsi="宋体" w:eastAsia="宋体" w:cs="宋体"/>
                <w:color w:val="000000"/>
                <w:sz w:val="21"/>
                <w:szCs w:val="21"/>
              </w:rPr>
              <w:t>不能及时进行抢救，造成伤亡。</w:t>
            </w:r>
          </w:p>
        </w:tc>
        <w:tc>
          <w:tcPr>
            <w:tcW w:w="652" w:type="pct"/>
            <w:tcBorders>
              <w:tl2br w:val="nil"/>
              <w:tr2bl w:val="nil"/>
            </w:tcBorders>
            <w:vAlign w:val="center"/>
          </w:tcPr>
          <w:p w14:paraId="6BB822A0">
            <w:pPr>
              <w:spacing w:line="240" w:lineRule="auto"/>
              <w:ind w:left="0" w:leftChars="0" w:right="0" w:rightChars="0" w:firstLine="0" w:firstLineChars="0"/>
              <w:jc w:val="center"/>
              <w:rPr>
                <w:rFonts w:hint="eastAsia" w:ascii="宋体" w:hAnsi="宋体" w:eastAsia="宋体" w:cs="宋体"/>
                <w:color w:val="000000"/>
                <w:sz w:val="21"/>
                <w:szCs w:val="21"/>
              </w:rPr>
            </w:pPr>
            <w:r>
              <w:rPr>
                <w:rFonts w:hint="eastAsia" w:ascii="宋体" w:hAnsi="宋体" w:eastAsia="宋体" w:cs="宋体"/>
                <w:color w:val="000000"/>
                <w:sz w:val="21"/>
                <w:szCs w:val="21"/>
              </w:rPr>
              <w:t>Ⅳ</w:t>
            </w:r>
          </w:p>
        </w:tc>
        <w:tc>
          <w:tcPr>
            <w:tcW w:w="1915" w:type="pct"/>
            <w:tcBorders>
              <w:tl2br w:val="nil"/>
              <w:tr2bl w:val="nil"/>
            </w:tcBorders>
            <w:vAlign w:val="center"/>
          </w:tcPr>
          <w:p w14:paraId="0D55165B">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矿山必须建立由专职或者兼职的人员组成的矿山救护和医疗组织。不具备单独建立专业救护和医疗急救组织的小型矿山企业，除应当建立兼职的救护和医疗急救组织外，还应当与邻近的有专业的救护和医疗急救组织的矿山企业签订救护和急救协议，或者与邻近的矿山企业联合建立专业救护和医疗急救组织。</w:t>
            </w:r>
          </w:p>
        </w:tc>
      </w:tr>
      <w:tr w14:paraId="777CD0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673" w:type="pct"/>
            <w:tcBorders>
              <w:tl2br w:val="nil"/>
              <w:tr2bl w:val="nil"/>
            </w:tcBorders>
            <w:vAlign w:val="center"/>
          </w:tcPr>
          <w:p w14:paraId="2EC74C18">
            <w:pPr>
              <w:pStyle w:val="17"/>
              <w:spacing w:line="240" w:lineRule="auto"/>
              <w:ind w:left="0" w:leftChars="0"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lang w:val="en-US" w:eastAsia="zh-CN"/>
              </w:rPr>
              <w:t>安全投入</w:t>
            </w:r>
          </w:p>
        </w:tc>
        <w:tc>
          <w:tcPr>
            <w:tcW w:w="922" w:type="pct"/>
            <w:tcBorders>
              <w:tl2br w:val="nil"/>
              <w:tr2bl w:val="nil"/>
            </w:tcBorders>
            <w:vAlign w:val="center"/>
          </w:tcPr>
          <w:p w14:paraId="6E050DC1">
            <w:pPr>
              <w:spacing w:line="240" w:lineRule="auto"/>
              <w:ind w:left="0" w:leftChars="0" w:firstLine="0" w:firstLineChars="0"/>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由于安全隐患无资金投入不能及时消除，造成安全生产事故</w:t>
            </w:r>
          </w:p>
        </w:tc>
        <w:tc>
          <w:tcPr>
            <w:tcW w:w="836" w:type="pct"/>
            <w:tcBorders>
              <w:tl2br w:val="nil"/>
              <w:tr2bl w:val="nil"/>
            </w:tcBorders>
            <w:vAlign w:val="center"/>
          </w:tcPr>
          <w:p w14:paraId="453BFFBA">
            <w:pPr>
              <w:pStyle w:val="19"/>
              <w:spacing w:line="240" w:lineRule="auto"/>
              <w:ind w:left="0" w:leftChars="0" w:firstLine="0" w:firstLineChars="0"/>
              <w:rPr>
                <w:rFonts w:hint="eastAsia" w:ascii="宋体" w:hAnsi="宋体" w:eastAsia="宋体" w:cs="宋体"/>
                <w:color w:val="000000"/>
                <w:sz w:val="21"/>
                <w:szCs w:val="21"/>
              </w:rPr>
            </w:pPr>
            <w:r>
              <w:rPr>
                <w:rFonts w:hint="eastAsia" w:ascii="宋体" w:hAnsi="宋体" w:eastAsia="宋体" w:cs="宋体"/>
                <w:color w:val="000000"/>
                <w:sz w:val="21"/>
                <w:szCs w:val="21"/>
              </w:rPr>
              <w:t>造成人员伤亡，设备损坏。</w:t>
            </w:r>
          </w:p>
        </w:tc>
        <w:tc>
          <w:tcPr>
            <w:tcW w:w="652" w:type="pct"/>
            <w:tcBorders>
              <w:tl2br w:val="nil"/>
              <w:tr2bl w:val="nil"/>
            </w:tcBorders>
            <w:vAlign w:val="center"/>
          </w:tcPr>
          <w:p w14:paraId="7C7F1F05">
            <w:pPr>
              <w:spacing w:line="240" w:lineRule="auto"/>
              <w:ind w:left="0" w:leftChars="0" w:right="0" w:rightChars="0" w:firstLine="0" w:firstLineChars="0"/>
              <w:jc w:val="center"/>
              <w:rPr>
                <w:rFonts w:hint="eastAsia" w:ascii="宋体" w:hAnsi="宋体" w:eastAsia="宋体" w:cs="宋体"/>
                <w:color w:val="000000"/>
                <w:sz w:val="21"/>
                <w:szCs w:val="21"/>
              </w:rPr>
            </w:pPr>
            <w:r>
              <w:rPr>
                <w:rFonts w:hint="eastAsia" w:ascii="微软雅黑" w:hAnsi="微软雅黑" w:eastAsia="微软雅黑" w:cs="微软雅黑"/>
                <w:color w:val="auto"/>
                <w:sz w:val="21"/>
                <w:szCs w:val="21"/>
              </w:rPr>
              <w:t>Ⅲ</w:t>
            </w:r>
          </w:p>
        </w:tc>
        <w:tc>
          <w:tcPr>
            <w:tcW w:w="1915" w:type="pct"/>
            <w:tcBorders>
              <w:tl2br w:val="nil"/>
              <w:tr2bl w:val="nil"/>
            </w:tcBorders>
            <w:vAlign w:val="center"/>
          </w:tcPr>
          <w:p w14:paraId="21590129">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矿山企业必须按照国家规定的安全条件进行生产，并安排一部分资金，用于下列改善矿山安全生产条件的项目：</w:t>
            </w:r>
          </w:p>
          <w:p w14:paraId="17F0A8B7">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1.预防矿山事故的安全技术措施；</w:t>
            </w:r>
          </w:p>
          <w:p w14:paraId="401CAA07">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2.预防职业危害的劳动卫生技术措施；</w:t>
            </w:r>
          </w:p>
          <w:p w14:paraId="0CA47998">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3.职工的安全培训；</w:t>
            </w:r>
          </w:p>
          <w:p w14:paraId="235D426D">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4.改善矿山安全生产条件的其他技术措施。</w:t>
            </w:r>
          </w:p>
        </w:tc>
      </w:tr>
      <w:tr w14:paraId="167AC1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673" w:type="pct"/>
            <w:tcBorders>
              <w:tl2br w:val="nil"/>
              <w:tr2bl w:val="nil"/>
            </w:tcBorders>
            <w:vAlign w:val="center"/>
          </w:tcPr>
          <w:p w14:paraId="6CB281E4">
            <w:pPr>
              <w:pStyle w:val="17"/>
              <w:spacing w:line="240" w:lineRule="auto"/>
              <w:ind w:left="0" w:leftChars="0" w:right="0" w:rightChars="0" w:firstLine="0" w:firstLineChars="0"/>
              <w:jc w:val="center"/>
              <w:rPr>
                <w:rFonts w:hint="default" w:ascii="宋体" w:hAnsi="宋体" w:eastAsia="宋体" w:cs="宋体"/>
                <w:color w:val="000000"/>
                <w:spacing w:val="0"/>
                <w:sz w:val="21"/>
                <w:szCs w:val="21"/>
                <w:lang w:val="en-US"/>
              </w:rPr>
            </w:pPr>
            <w:r>
              <w:rPr>
                <w:rFonts w:hint="eastAsia" w:ascii="宋体" w:hAnsi="宋体" w:eastAsia="宋体" w:cs="宋体"/>
                <w:color w:val="000000"/>
                <w:spacing w:val="0"/>
                <w:sz w:val="21"/>
                <w:szCs w:val="21"/>
                <w:lang w:val="en-US" w:eastAsia="zh-CN"/>
              </w:rPr>
              <w:t>安全设施</w:t>
            </w:r>
          </w:p>
        </w:tc>
        <w:tc>
          <w:tcPr>
            <w:tcW w:w="922" w:type="pct"/>
            <w:tcBorders>
              <w:tl2br w:val="nil"/>
              <w:tr2bl w:val="nil"/>
            </w:tcBorders>
            <w:vAlign w:val="center"/>
          </w:tcPr>
          <w:p w14:paraId="5F0B2CFD">
            <w:pPr>
              <w:spacing w:line="240" w:lineRule="auto"/>
              <w:ind w:left="0" w:leftChars="0" w:firstLine="0" w:firstLineChars="0"/>
              <w:rPr>
                <w:rFonts w:hint="eastAsia" w:ascii="宋体" w:hAnsi="宋体" w:eastAsia="宋体" w:cs="宋体"/>
                <w:color w:val="000000"/>
                <w:sz w:val="21"/>
                <w:szCs w:val="21"/>
                <w:lang w:val="en-US" w:eastAsia="zh-CN"/>
              </w:rPr>
            </w:pPr>
          </w:p>
          <w:p w14:paraId="70947BFC">
            <w:pPr>
              <w:spacing w:line="240" w:lineRule="auto"/>
              <w:ind w:left="0" w:leftChars="0" w:firstLine="0" w:firstLineChars="0"/>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安全设施技术水平低</w:t>
            </w:r>
          </w:p>
        </w:tc>
        <w:tc>
          <w:tcPr>
            <w:tcW w:w="836" w:type="pct"/>
            <w:tcBorders>
              <w:tl2br w:val="nil"/>
              <w:tr2bl w:val="nil"/>
            </w:tcBorders>
            <w:vAlign w:val="center"/>
          </w:tcPr>
          <w:p w14:paraId="3F56CF81">
            <w:pPr>
              <w:spacing w:line="240" w:lineRule="auto"/>
              <w:ind w:left="0" w:leftChars="0" w:firstLine="0" w:firstLineChars="0"/>
              <w:rPr>
                <w:rFonts w:hint="eastAsia" w:ascii="宋体" w:hAnsi="宋体" w:eastAsia="宋体" w:cs="宋体"/>
                <w:color w:val="000000"/>
                <w:sz w:val="21"/>
                <w:szCs w:val="21"/>
              </w:rPr>
            </w:pPr>
            <w:r>
              <w:rPr>
                <w:rFonts w:hint="eastAsia" w:ascii="宋体" w:hAnsi="宋体" w:eastAsia="宋体" w:cs="宋体"/>
                <w:color w:val="000000"/>
                <w:sz w:val="21"/>
                <w:szCs w:val="21"/>
              </w:rPr>
              <w:t>发生事故时，不能及时发挥安全装备的效用，致使事故损失增大。</w:t>
            </w:r>
          </w:p>
        </w:tc>
        <w:tc>
          <w:tcPr>
            <w:tcW w:w="652" w:type="pct"/>
            <w:tcBorders>
              <w:tl2br w:val="nil"/>
              <w:tr2bl w:val="nil"/>
            </w:tcBorders>
            <w:vAlign w:val="center"/>
          </w:tcPr>
          <w:p w14:paraId="50728857">
            <w:pPr>
              <w:spacing w:line="240" w:lineRule="auto"/>
              <w:ind w:left="0" w:leftChars="0" w:right="0" w:rightChars="0" w:firstLine="0" w:firstLineChars="0"/>
              <w:jc w:val="center"/>
              <w:rPr>
                <w:rFonts w:hint="eastAsia" w:ascii="宋体" w:hAnsi="宋体" w:eastAsia="宋体" w:cs="宋体"/>
                <w:color w:val="000000"/>
                <w:sz w:val="21"/>
                <w:szCs w:val="21"/>
              </w:rPr>
            </w:pPr>
            <w:r>
              <w:rPr>
                <w:rFonts w:hint="eastAsia" w:ascii="微软雅黑" w:hAnsi="微软雅黑" w:eastAsia="微软雅黑" w:cs="微软雅黑"/>
                <w:color w:val="auto"/>
                <w:sz w:val="21"/>
                <w:szCs w:val="21"/>
              </w:rPr>
              <w:t>Ⅲ</w:t>
            </w:r>
          </w:p>
        </w:tc>
        <w:tc>
          <w:tcPr>
            <w:tcW w:w="1915" w:type="pct"/>
            <w:tcBorders>
              <w:tl2br w:val="nil"/>
              <w:tr2bl w:val="nil"/>
            </w:tcBorders>
            <w:vAlign w:val="center"/>
          </w:tcPr>
          <w:p w14:paraId="3DC78CF8">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1.矿山必须每年对现有安全装备进行维护、更新。</w:t>
            </w:r>
          </w:p>
          <w:p w14:paraId="29F4AE18">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2.矿山必须每年对易损耗的安全装备进行补充。</w:t>
            </w:r>
          </w:p>
          <w:p w14:paraId="39BE26C7">
            <w:pPr>
              <w:pStyle w:val="17"/>
              <w:spacing w:line="240" w:lineRule="auto"/>
              <w:ind w:firstLine="0" w:firstLineChars="0"/>
              <w:rPr>
                <w:rFonts w:hint="eastAsia" w:ascii="宋体" w:hAnsi="宋体" w:eastAsia="宋体" w:cs="宋体"/>
                <w:color w:val="000000"/>
                <w:spacing w:val="0"/>
                <w:sz w:val="21"/>
                <w:szCs w:val="21"/>
              </w:rPr>
            </w:pPr>
            <w:r>
              <w:rPr>
                <w:rFonts w:hint="eastAsia" w:ascii="宋体" w:hAnsi="宋体" w:eastAsia="宋体" w:cs="宋体"/>
                <w:color w:val="000000"/>
                <w:spacing w:val="0"/>
                <w:sz w:val="21"/>
                <w:szCs w:val="21"/>
              </w:rPr>
              <w:t>3.采用技术水平较高</w:t>
            </w:r>
            <w:r>
              <w:rPr>
                <w:rFonts w:hint="eastAsia" w:hAnsi="宋体" w:cs="宋体"/>
                <w:color w:val="000000"/>
                <w:spacing w:val="0"/>
                <w:sz w:val="21"/>
                <w:szCs w:val="21"/>
                <w:lang w:eastAsia="zh-CN"/>
              </w:rPr>
              <w:t>且</w:t>
            </w:r>
            <w:r>
              <w:rPr>
                <w:rFonts w:hint="eastAsia" w:ascii="宋体" w:hAnsi="宋体" w:eastAsia="宋体" w:cs="宋体"/>
                <w:color w:val="000000"/>
                <w:spacing w:val="0"/>
                <w:sz w:val="21"/>
                <w:szCs w:val="21"/>
              </w:rPr>
              <w:t>与矿山经济实力相当的装备。</w:t>
            </w:r>
          </w:p>
        </w:tc>
      </w:tr>
    </w:tbl>
    <w:p w14:paraId="088EDDA3">
      <w:pPr>
        <w:bidi w:val="0"/>
        <w:rPr>
          <w:rFonts w:hint="eastAsia"/>
        </w:rPr>
      </w:pPr>
      <w:bookmarkStart w:id="210" w:name="_Toc14620"/>
      <w:r>
        <w:rPr>
          <w:rFonts w:hint="eastAsia"/>
          <w:lang w:val="en-US" w:eastAsia="zh-CN"/>
        </w:rPr>
        <w:t>通过预先危险性分析看出，该项目安全管理可能存在的危险有害因素中，劳保用品、生产安全事故应急救援预案演练、安全投入、安全设施等危险因素</w:t>
      </w:r>
      <w:r>
        <w:rPr>
          <w:rFonts w:hint="eastAsia"/>
        </w:rPr>
        <w:t>为Ⅲ级，</w:t>
      </w:r>
      <w:r>
        <w:rPr>
          <w:rFonts w:hint="eastAsia"/>
          <w:lang w:val="en-US" w:eastAsia="zh-CN"/>
        </w:rPr>
        <w:t>其他危险因素均</w:t>
      </w:r>
      <w:r>
        <w:rPr>
          <w:rFonts w:hint="eastAsia"/>
        </w:rPr>
        <w:t>为Ⅳ级。</w:t>
      </w:r>
      <w:r>
        <w:rPr>
          <w:rFonts w:hint="eastAsia"/>
          <w:lang w:val="en-US" w:eastAsia="zh-CN"/>
        </w:rPr>
        <w:t>应夯实安全管理基础，</w:t>
      </w:r>
      <w:r>
        <w:rPr>
          <w:rFonts w:hint="eastAsia"/>
        </w:rPr>
        <w:t>采取切实有效的安全</w:t>
      </w:r>
      <w:r>
        <w:rPr>
          <w:rFonts w:hint="eastAsia"/>
          <w:lang w:val="en-US" w:eastAsia="zh-CN"/>
        </w:rPr>
        <w:t>管控</w:t>
      </w:r>
      <w:r>
        <w:rPr>
          <w:rFonts w:hint="eastAsia"/>
        </w:rPr>
        <w:t>措施，</w:t>
      </w:r>
      <w:r>
        <w:rPr>
          <w:rFonts w:hint="eastAsia"/>
          <w:lang w:val="en-US" w:eastAsia="zh-CN"/>
        </w:rPr>
        <w:t>遏制事故风险，将</w:t>
      </w:r>
      <w:r>
        <w:rPr>
          <w:rFonts w:hint="eastAsia"/>
        </w:rPr>
        <w:t>其危险、危害程度控制在可接受范围之内</w:t>
      </w:r>
      <w:r>
        <w:rPr>
          <w:rFonts w:hint="eastAsia"/>
          <w:lang w:eastAsia="zh-CN"/>
        </w:rPr>
        <w:t>，</w:t>
      </w:r>
      <w:r>
        <w:rPr>
          <w:rFonts w:hint="eastAsia"/>
          <w:lang w:val="en-US" w:eastAsia="zh-CN"/>
        </w:rPr>
        <w:t>以实现本质安全</w:t>
      </w:r>
      <w:r>
        <w:rPr>
          <w:rFonts w:hint="eastAsia"/>
        </w:rPr>
        <w:t>。</w:t>
      </w:r>
    </w:p>
    <w:p w14:paraId="0A2D04DD">
      <w:pPr>
        <w:pStyle w:val="4"/>
        <w:bidi w:val="0"/>
      </w:pPr>
      <w:bookmarkStart w:id="211" w:name="_Toc27028"/>
      <w:r>
        <w:t>安全检查表分析</w:t>
      </w:r>
      <w:bookmarkEnd w:id="210"/>
      <w:bookmarkEnd w:id="211"/>
    </w:p>
    <w:p w14:paraId="0206A182">
      <w:pPr>
        <w:spacing w:line="500" w:lineRule="exact"/>
        <w:ind w:firstLine="560" w:firstLineChars="200"/>
        <w:rPr>
          <w:rFonts w:hint="eastAsia" w:ascii="宋体" w:hAnsi="宋体" w:cs="宋体"/>
          <w:b/>
          <w:color w:val="000000"/>
          <w:sz w:val="28"/>
          <w:szCs w:val="28"/>
          <w:lang w:bidi="zh-TW"/>
        </w:rPr>
      </w:pPr>
      <w:r>
        <w:rPr>
          <w:rFonts w:hint="eastAsia" w:ascii="宋体" w:hAnsi="宋体" w:eastAsia="宋体" w:cs="宋体"/>
        </w:rPr>
        <w:t>依据</w:t>
      </w:r>
      <w:r>
        <w:rPr>
          <w:rFonts w:hint="eastAsia" w:ascii="宋体" w:hAnsi="宋体" w:eastAsia="宋体" w:cs="宋体"/>
          <w:lang w:eastAsia="zh-CN"/>
        </w:rPr>
        <w:t>《</w:t>
      </w:r>
      <w:r>
        <w:rPr>
          <w:rFonts w:hint="eastAsia" w:ascii="宋体" w:hAnsi="宋体" w:cs="宋体"/>
          <w:lang w:val="en-US" w:eastAsia="zh-CN"/>
        </w:rPr>
        <w:t>中华人民共和国</w:t>
      </w:r>
      <w:r>
        <w:rPr>
          <w:rFonts w:hint="eastAsia" w:ascii="宋体" w:hAnsi="宋体" w:eastAsia="宋体" w:cs="宋体"/>
          <w:lang w:val="en-US" w:eastAsia="zh-CN"/>
        </w:rPr>
        <w:t>安全生产法</w:t>
      </w:r>
      <w:r>
        <w:rPr>
          <w:rFonts w:hint="eastAsia" w:ascii="宋体" w:hAnsi="宋体" w:eastAsia="宋体" w:cs="宋体"/>
          <w:lang w:eastAsia="zh-CN"/>
        </w:rPr>
        <w:t>》</w:t>
      </w:r>
      <w:r>
        <w:rPr>
          <w:rFonts w:hint="eastAsia" w:ascii="宋体" w:hAnsi="宋体" w:eastAsia="宋体" w:cs="宋体"/>
          <w:lang w:val="en-US" w:eastAsia="zh-CN"/>
        </w:rPr>
        <w:t>《小型露天采石场安全管理与监督检查规定》</w:t>
      </w:r>
      <w:r>
        <w:rPr>
          <w:rFonts w:hint="eastAsia" w:ascii="宋体" w:hAnsi="宋体" w:eastAsia="宋体" w:cs="宋体"/>
        </w:rPr>
        <w:t>（原国家安全监管总局令78号修正）</w:t>
      </w:r>
      <w:r>
        <w:rPr>
          <w:rFonts w:ascii="宋体" w:hAnsi="宋体"/>
          <w:sz w:val="28"/>
          <w:szCs w:val="28"/>
        </w:rPr>
        <w:t>等</w:t>
      </w:r>
      <w:r>
        <w:rPr>
          <w:sz w:val="28"/>
          <w:szCs w:val="28"/>
        </w:rPr>
        <w:t>现行</w:t>
      </w:r>
      <w:r>
        <w:rPr>
          <w:rFonts w:hint="eastAsia"/>
          <w:sz w:val="28"/>
          <w:szCs w:val="28"/>
          <w:lang w:eastAsia="zh-CN"/>
        </w:rPr>
        <w:t>法律法规</w:t>
      </w:r>
      <w:r>
        <w:rPr>
          <w:sz w:val="28"/>
          <w:szCs w:val="28"/>
        </w:rPr>
        <w:t>、标准及规范中有关安全生产管理的要求和规定，对</w:t>
      </w:r>
      <w:r>
        <w:rPr>
          <w:rFonts w:hint="eastAsia"/>
          <w:sz w:val="28"/>
          <w:szCs w:val="28"/>
          <w:lang w:eastAsia="zh-CN"/>
        </w:rPr>
        <w:t>《初步设计》</w:t>
      </w:r>
      <w:r>
        <w:rPr>
          <w:sz w:val="28"/>
          <w:szCs w:val="28"/>
        </w:rPr>
        <w:t>的安全生产管理进行</w:t>
      </w:r>
      <w:r>
        <w:rPr>
          <w:rFonts w:hint="eastAsia"/>
          <w:sz w:val="28"/>
          <w:szCs w:val="28"/>
        </w:rPr>
        <w:t>检查</w:t>
      </w:r>
      <w:r>
        <w:rPr>
          <w:sz w:val="28"/>
          <w:szCs w:val="28"/>
        </w:rPr>
        <w:t>评</w:t>
      </w:r>
      <w:r>
        <w:rPr>
          <w:rFonts w:hint="eastAsia"/>
          <w:sz w:val="28"/>
          <w:szCs w:val="28"/>
        </w:rPr>
        <w:t>价</w:t>
      </w:r>
      <w:r>
        <w:rPr>
          <w:sz w:val="28"/>
          <w:szCs w:val="28"/>
        </w:rPr>
        <w:t>。</w:t>
      </w:r>
    </w:p>
    <w:p w14:paraId="6C656944">
      <w:pPr>
        <w:pStyle w:val="11"/>
        <w:ind w:left="0" w:leftChars="0" w:firstLine="0" w:firstLineChars="0"/>
        <w:jc w:val="center"/>
        <w:rPr>
          <w:rFonts w:hint="eastAsia" w:eastAsia="宋体"/>
          <w:lang w:eastAsia="zh-CN"/>
        </w:rPr>
      </w:pPr>
      <w:r>
        <w:t xml:space="preserve">表 </w:t>
      </w:r>
      <w:r>
        <w:fldChar w:fldCharType="begin"/>
      </w:r>
      <w:r>
        <w:instrText xml:space="preserve"> STYLEREF 1 \s </w:instrText>
      </w:r>
      <w:r>
        <w:fldChar w:fldCharType="separate"/>
      </w:r>
      <w:r>
        <w:t>3</w:t>
      </w:r>
      <w:r>
        <w:fldChar w:fldCharType="end"/>
      </w:r>
      <w:r>
        <w:rPr>
          <w:rFonts w:hint="eastAsia"/>
          <w:lang w:eastAsia="zh-CN"/>
        </w:rPr>
        <w:t>-</w:t>
      </w:r>
      <w:r>
        <w:fldChar w:fldCharType="begin"/>
      </w:r>
      <w:r>
        <w:instrText xml:space="preserve"> SEQ 表 \* ARABIC \s 1 </w:instrText>
      </w:r>
      <w:r>
        <w:fldChar w:fldCharType="separate"/>
      </w:r>
      <w:r>
        <w:t>23</w:t>
      </w:r>
      <w:r>
        <w:fldChar w:fldCharType="end"/>
      </w:r>
      <w:r>
        <w:rPr>
          <w:rFonts w:hint="eastAsia"/>
          <w:lang w:eastAsia="zh-CN"/>
        </w:rPr>
        <w:t xml:space="preserve"> 安全管理单元安全检查表</w:t>
      </w:r>
    </w:p>
    <w:tbl>
      <w:tblPr>
        <w:tblStyle w:val="29"/>
        <w:tblW w:w="4997"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94"/>
        <w:gridCol w:w="3805"/>
        <w:gridCol w:w="1727"/>
        <w:gridCol w:w="1605"/>
        <w:gridCol w:w="1482"/>
      </w:tblGrid>
      <w:tr w14:paraId="60A29A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71" w:type="pct"/>
            <w:tcBorders>
              <w:tl2br w:val="nil"/>
              <w:tr2bl w:val="nil"/>
            </w:tcBorders>
            <w:vAlign w:val="center"/>
          </w:tcPr>
          <w:p w14:paraId="4F53B3DE">
            <w:pPr>
              <w:spacing w:line="240" w:lineRule="auto"/>
              <w:ind w:left="0" w:leftChars="0" w:right="0" w:rightChars="0" w:firstLine="0" w:firstLineChars="0"/>
              <w:jc w:val="center"/>
              <w:rPr>
                <w:rFonts w:hint="eastAsia" w:asciiTheme="minorEastAsia" w:hAnsiTheme="minorEastAsia" w:eastAsiaTheme="minorEastAsia" w:cstheme="minorEastAsia"/>
                <w:b/>
                <w:bCs/>
                <w:color w:val="000000"/>
                <w:sz w:val="21"/>
                <w:szCs w:val="21"/>
                <w:lang w:val="en-US" w:eastAsia="zh-CN"/>
              </w:rPr>
            </w:pPr>
            <w:r>
              <w:rPr>
                <w:rFonts w:hint="eastAsia" w:asciiTheme="minorEastAsia" w:hAnsiTheme="minorEastAsia" w:eastAsiaTheme="minorEastAsia" w:cstheme="minorEastAsia"/>
                <w:b/>
                <w:bCs/>
                <w:color w:val="000000"/>
                <w:sz w:val="21"/>
                <w:szCs w:val="21"/>
                <w:lang w:val="en-US" w:eastAsia="zh-CN"/>
              </w:rPr>
              <w:t>序号</w:t>
            </w:r>
          </w:p>
        </w:tc>
        <w:tc>
          <w:tcPr>
            <w:tcW w:w="2087" w:type="pct"/>
            <w:tcBorders>
              <w:tl2br w:val="nil"/>
              <w:tr2bl w:val="nil"/>
            </w:tcBorders>
            <w:vAlign w:val="center"/>
          </w:tcPr>
          <w:p w14:paraId="42D152D2">
            <w:pPr>
              <w:spacing w:line="240" w:lineRule="auto"/>
              <w:ind w:left="0" w:leftChars="0" w:right="0" w:rightChars="0" w:firstLine="0" w:firstLineChars="0"/>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检查内容</w:t>
            </w:r>
          </w:p>
        </w:tc>
        <w:tc>
          <w:tcPr>
            <w:tcW w:w="947" w:type="pct"/>
            <w:tcBorders>
              <w:tl2br w:val="nil"/>
              <w:tr2bl w:val="nil"/>
            </w:tcBorders>
            <w:vAlign w:val="center"/>
          </w:tcPr>
          <w:p w14:paraId="4249D26C">
            <w:pPr>
              <w:spacing w:line="240" w:lineRule="auto"/>
              <w:ind w:left="0" w:leftChars="0" w:right="0" w:rightChars="0" w:firstLine="0" w:firstLineChars="0"/>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检查依据</w:t>
            </w:r>
          </w:p>
        </w:tc>
        <w:tc>
          <w:tcPr>
            <w:tcW w:w="880" w:type="pct"/>
            <w:tcBorders>
              <w:tl2br w:val="nil"/>
              <w:tr2bl w:val="nil"/>
            </w:tcBorders>
            <w:vAlign w:val="center"/>
          </w:tcPr>
          <w:p w14:paraId="350A0F4E">
            <w:pPr>
              <w:spacing w:line="240" w:lineRule="auto"/>
              <w:ind w:left="0" w:leftChars="0" w:right="0" w:rightChars="0" w:firstLine="0" w:firstLineChars="0"/>
              <w:jc w:val="center"/>
              <w:rPr>
                <w:rFonts w:hint="eastAsia" w:asciiTheme="minorEastAsia" w:hAnsiTheme="minorEastAsia" w:eastAsiaTheme="minorEastAsia" w:cstheme="minorEastAsia"/>
                <w:b/>
                <w:bCs/>
                <w:color w:val="000000"/>
                <w:sz w:val="21"/>
                <w:szCs w:val="21"/>
                <w:lang w:val="en-US" w:eastAsia="zh-CN"/>
              </w:rPr>
            </w:pPr>
            <w:r>
              <w:rPr>
                <w:rFonts w:hint="eastAsia" w:asciiTheme="minorEastAsia" w:hAnsiTheme="minorEastAsia" w:eastAsiaTheme="minorEastAsia" w:cstheme="minorEastAsia"/>
                <w:b/>
                <w:bCs/>
                <w:color w:val="000000"/>
                <w:sz w:val="21"/>
                <w:szCs w:val="21"/>
                <w:lang w:val="en-US" w:eastAsia="zh-CN"/>
              </w:rPr>
              <w:t>检查情况</w:t>
            </w:r>
          </w:p>
        </w:tc>
        <w:tc>
          <w:tcPr>
            <w:tcW w:w="813" w:type="pct"/>
            <w:tcBorders>
              <w:tl2br w:val="nil"/>
              <w:tr2bl w:val="nil"/>
            </w:tcBorders>
            <w:vAlign w:val="center"/>
          </w:tcPr>
          <w:p w14:paraId="0D0E19DB">
            <w:pPr>
              <w:spacing w:line="240" w:lineRule="auto"/>
              <w:ind w:left="0" w:leftChars="0" w:right="0" w:rightChars="0" w:firstLine="0" w:firstLineChars="0"/>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检查结果</w:t>
            </w:r>
          </w:p>
        </w:tc>
      </w:tr>
      <w:tr w14:paraId="322036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41" w:hRule="atLeast"/>
        </w:trPr>
        <w:tc>
          <w:tcPr>
            <w:tcW w:w="271" w:type="pct"/>
            <w:tcBorders>
              <w:tl2br w:val="nil"/>
              <w:tr2bl w:val="nil"/>
            </w:tcBorders>
            <w:vAlign w:val="center"/>
          </w:tcPr>
          <w:p w14:paraId="488DE92C">
            <w:pPr>
              <w:numPr>
                <w:ilvl w:val="0"/>
                <w:numId w:val="59"/>
              </w:numPr>
              <w:spacing w:line="240" w:lineRule="auto"/>
              <w:ind w:left="0" w:leftChars="0" w:right="0" w:rightChars="0" w:firstLine="0" w:firstLineChars="0"/>
              <w:jc w:val="center"/>
              <w:rPr>
                <w:rFonts w:hint="eastAsia" w:asciiTheme="minorEastAsia" w:hAnsiTheme="minorEastAsia" w:eastAsiaTheme="minorEastAsia" w:cstheme="minorEastAsia"/>
                <w:b/>
                <w:bCs/>
                <w:color w:val="000000"/>
                <w:sz w:val="21"/>
                <w:szCs w:val="21"/>
                <w:lang w:val="en-US" w:eastAsia="zh-CN"/>
              </w:rPr>
            </w:pPr>
            <w:bookmarkStart w:id="212" w:name="_Toc8285"/>
          </w:p>
        </w:tc>
        <w:tc>
          <w:tcPr>
            <w:tcW w:w="2087" w:type="pct"/>
            <w:tcBorders>
              <w:tl2br w:val="nil"/>
              <w:tr2bl w:val="nil"/>
            </w:tcBorders>
            <w:vAlign w:val="center"/>
          </w:tcPr>
          <w:p w14:paraId="45B31EAD">
            <w:pPr>
              <w:spacing w:line="240" w:lineRule="auto"/>
              <w:ind w:left="0" w:leftChars="0" w:right="0" w:rightChars="0" w:firstLine="0" w:firstLineChars="0"/>
              <w:jc w:val="both"/>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生产经营单位必须遵守本法和其他有关安全生产的法律法规，加强安全生产管理，建立健全全员安全生产责任制和安全生产规章制度。</w:t>
            </w:r>
          </w:p>
        </w:tc>
        <w:tc>
          <w:tcPr>
            <w:tcW w:w="947" w:type="pct"/>
            <w:tcBorders>
              <w:tl2br w:val="nil"/>
              <w:tr2bl w:val="nil"/>
            </w:tcBorders>
            <w:vAlign w:val="center"/>
          </w:tcPr>
          <w:p w14:paraId="55299815">
            <w:pPr>
              <w:spacing w:line="240" w:lineRule="auto"/>
              <w:ind w:left="0" w:leftChars="0" w:right="0" w:rightChars="0" w:firstLine="0" w:firstLineChars="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《中华人民共和国安全生产法》</w:t>
            </w:r>
          </w:p>
          <w:p w14:paraId="7FB2C65F">
            <w:pPr>
              <w:spacing w:line="240" w:lineRule="auto"/>
              <w:ind w:left="0" w:leftChars="0" w:right="0" w:rightChars="0" w:firstLine="0" w:firstLineChars="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第四条</w:t>
            </w:r>
          </w:p>
        </w:tc>
        <w:tc>
          <w:tcPr>
            <w:tcW w:w="880" w:type="pct"/>
            <w:tcBorders>
              <w:tl2br w:val="nil"/>
              <w:tr2bl w:val="nil"/>
            </w:tcBorders>
            <w:vAlign w:val="center"/>
          </w:tcPr>
          <w:p w14:paraId="2BEF6F36">
            <w:pPr>
              <w:spacing w:line="240" w:lineRule="auto"/>
              <w:ind w:left="0" w:leftChars="0" w:firstLine="0" w:firstLineChars="0"/>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初步设计</w:t>
            </w:r>
            <w:r>
              <w:rPr>
                <w:rFonts w:hint="eastAsia" w:ascii="宋体" w:hAnsi="宋体" w:eastAsia="宋体" w:cs="宋体"/>
                <w:color w:val="auto"/>
                <w:sz w:val="21"/>
                <w:szCs w:val="21"/>
              </w:rPr>
              <w:t>中</w:t>
            </w:r>
            <w:r>
              <w:rPr>
                <w:rFonts w:hint="eastAsia" w:ascii="宋体" w:hAnsi="宋体" w:cs="宋体"/>
                <w:color w:val="auto"/>
                <w:sz w:val="21"/>
                <w:szCs w:val="21"/>
                <w:lang w:val="en-US" w:eastAsia="zh-CN"/>
              </w:rPr>
              <w:t>未作具体说明</w:t>
            </w:r>
            <w:r>
              <w:rPr>
                <w:rFonts w:hint="eastAsia" w:ascii="宋体" w:hAnsi="宋体" w:eastAsia="宋体" w:cs="宋体"/>
                <w:color w:val="auto"/>
                <w:sz w:val="21"/>
                <w:szCs w:val="21"/>
              </w:rPr>
              <w:t>。</w:t>
            </w:r>
          </w:p>
        </w:tc>
        <w:tc>
          <w:tcPr>
            <w:tcW w:w="813" w:type="pct"/>
            <w:tcBorders>
              <w:tl2br w:val="nil"/>
              <w:tr2bl w:val="nil"/>
            </w:tcBorders>
            <w:vAlign w:val="center"/>
          </w:tcPr>
          <w:p w14:paraId="71DC5F84">
            <w:pPr>
              <w:spacing w:line="240" w:lineRule="auto"/>
              <w:ind w:left="0" w:leftChars="0" w:right="0" w:rightChars="0" w:firstLine="0" w:firstLineChars="0"/>
              <w:jc w:val="center"/>
              <w:rPr>
                <w:rFonts w:hint="eastAsia" w:ascii="宋体" w:hAnsi="宋体" w:eastAsia="宋体" w:cs="宋体"/>
                <w:color w:val="auto"/>
                <w:kern w:val="2"/>
                <w:sz w:val="21"/>
                <w:szCs w:val="21"/>
                <w:lang w:val="en-US" w:eastAsia="zh-CN" w:bidi="ar-SA"/>
              </w:rPr>
            </w:pPr>
            <w:r>
              <w:rPr>
                <w:rFonts w:hint="eastAsia" w:eastAsia="宋体" w:cs="宋体"/>
                <w:caps w:val="0"/>
                <w:color w:val="auto"/>
                <w:sz w:val="21"/>
                <w:szCs w:val="21"/>
                <w:shd w:val="clear" w:color="auto" w:fill="auto"/>
                <w:lang w:val="en-US" w:eastAsia="zh-CN"/>
              </w:rPr>
              <w:t>不符合</w:t>
            </w:r>
          </w:p>
        </w:tc>
      </w:tr>
      <w:tr w14:paraId="050D55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41" w:hRule="atLeast"/>
        </w:trPr>
        <w:tc>
          <w:tcPr>
            <w:tcW w:w="271" w:type="pct"/>
            <w:tcBorders>
              <w:tl2br w:val="nil"/>
              <w:tr2bl w:val="nil"/>
            </w:tcBorders>
            <w:vAlign w:val="center"/>
          </w:tcPr>
          <w:p w14:paraId="444081F2">
            <w:pPr>
              <w:numPr>
                <w:ilvl w:val="0"/>
                <w:numId w:val="59"/>
              </w:numPr>
              <w:spacing w:line="240" w:lineRule="auto"/>
              <w:ind w:left="0" w:leftChars="0" w:right="0" w:rightChars="0" w:firstLine="0" w:firstLineChars="0"/>
              <w:jc w:val="center"/>
              <w:rPr>
                <w:rFonts w:hint="eastAsia" w:asciiTheme="minorEastAsia" w:hAnsiTheme="minorEastAsia" w:eastAsiaTheme="minorEastAsia" w:cstheme="minorEastAsia"/>
                <w:b/>
                <w:bCs/>
                <w:color w:val="000000"/>
                <w:sz w:val="21"/>
                <w:szCs w:val="21"/>
                <w:lang w:val="en-US" w:eastAsia="zh-CN"/>
              </w:rPr>
            </w:pPr>
          </w:p>
        </w:tc>
        <w:tc>
          <w:tcPr>
            <w:tcW w:w="2087" w:type="pct"/>
            <w:tcBorders>
              <w:tl2br w:val="nil"/>
              <w:tr2bl w:val="nil"/>
            </w:tcBorders>
            <w:vAlign w:val="center"/>
          </w:tcPr>
          <w:p w14:paraId="704CC55C">
            <w:pPr>
              <w:spacing w:line="240" w:lineRule="auto"/>
              <w:ind w:left="0" w:leftChars="0" w:right="0" w:rightChars="0" w:firstLine="0" w:firstLineChars="0"/>
              <w:jc w:val="both"/>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生产经营单位的主要负责人是本单位安全生产第一责任人，对本单位的安全生产工作全面负责。其他负责人对职责范围内的安全生产工作负责。</w:t>
            </w:r>
          </w:p>
        </w:tc>
        <w:tc>
          <w:tcPr>
            <w:tcW w:w="947" w:type="pct"/>
            <w:tcBorders>
              <w:tl2br w:val="nil"/>
              <w:tr2bl w:val="nil"/>
            </w:tcBorders>
            <w:vAlign w:val="center"/>
          </w:tcPr>
          <w:p w14:paraId="28BC1EAA">
            <w:pPr>
              <w:spacing w:line="240" w:lineRule="auto"/>
              <w:ind w:left="0" w:leftChars="0" w:right="0" w:rightChars="0" w:firstLine="0" w:firstLineChars="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《中华人民共和国安全生产法》</w:t>
            </w:r>
          </w:p>
          <w:p w14:paraId="1AF323DA">
            <w:pPr>
              <w:spacing w:line="240" w:lineRule="auto"/>
              <w:ind w:left="0" w:leftChars="0" w:right="0" w:rightChars="0" w:firstLine="0" w:firstLineChars="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第五条</w:t>
            </w:r>
          </w:p>
        </w:tc>
        <w:tc>
          <w:tcPr>
            <w:tcW w:w="880" w:type="pct"/>
            <w:tcBorders>
              <w:tl2br w:val="nil"/>
              <w:tr2bl w:val="nil"/>
            </w:tcBorders>
            <w:vAlign w:val="center"/>
          </w:tcPr>
          <w:p w14:paraId="5A34E596">
            <w:pPr>
              <w:spacing w:line="240" w:lineRule="auto"/>
              <w:ind w:left="0" w:leftChars="0" w:firstLine="0" w:firstLineChars="0"/>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初步设计</w:t>
            </w:r>
            <w:r>
              <w:rPr>
                <w:rFonts w:hint="eastAsia" w:ascii="宋体" w:hAnsi="宋体" w:eastAsia="宋体" w:cs="宋体"/>
                <w:color w:val="auto"/>
                <w:sz w:val="21"/>
                <w:szCs w:val="21"/>
              </w:rPr>
              <w:t>中</w:t>
            </w:r>
            <w:r>
              <w:rPr>
                <w:rFonts w:hint="eastAsia" w:ascii="宋体" w:hAnsi="宋体" w:cs="宋体"/>
                <w:color w:val="auto"/>
                <w:sz w:val="21"/>
                <w:szCs w:val="21"/>
                <w:lang w:val="en-US" w:eastAsia="zh-CN"/>
              </w:rPr>
              <w:t>未作具体说明</w:t>
            </w:r>
            <w:r>
              <w:rPr>
                <w:rFonts w:hint="eastAsia" w:ascii="宋体" w:hAnsi="宋体" w:eastAsia="宋体" w:cs="宋体"/>
                <w:color w:val="auto"/>
                <w:sz w:val="21"/>
                <w:szCs w:val="21"/>
              </w:rPr>
              <w:t>。</w:t>
            </w:r>
          </w:p>
        </w:tc>
        <w:tc>
          <w:tcPr>
            <w:tcW w:w="813" w:type="pct"/>
            <w:tcBorders>
              <w:tl2br w:val="nil"/>
              <w:tr2bl w:val="nil"/>
            </w:tcBorders>
            <w:vAlign w:val="center"/>
          </w:tcPr>
          <w:p w14:paraId="5F9C544D">
            <w:pPr>
              <w:spacing w:line="240" w:lineRule="auto"/>
              <w:ind w:left="0" w:leftChars="0" w:right="0" w:rightChars="0" w:firstLine="0" w:firstLineChars="0"/>
              <w:jc w:val="center"/>
              <w:rPr>
                <w:rFonts w:hint="eastAsia" w:ascii="宋体" w:hAnsi="宋体" w:eastAsia="宋体" w:cs="宋体"/>
                <w:color w:val="auto"/>
                <w:kern w:val="2"/>
                <w:sz w:val="21"/>
                <w:szCs w:val="21"/>
                <w:lang w:val="en-US" w:eastAsia="zh-CN" w:bidi="ar-SA"/>
              </w:rPr>
            </w:pPr>
            <w:r>
              <w:rPr>
                <w:rFonts w:hint="eastAsia" w:eastAsia="宋体" w:cs="宋体"/>
                <w:caps w:val="0"/>
                <w:color w:val="auto"/>
                <w:sz w:val="21"/>
                <w:szCs w:val="21"/>
                <w:shd w:val="clear" w:color="auto" w:fill="auto"/>
                <w:lang w:val="en-US" w:eastAsia="zh-CN"/>
              </w:rPr>
              <w:t>不符合</w:t>
            </w:r>
          </w:p>
        </w:tc>
      </w:tr>
      <w:tr w14:paraId="1D7250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271" w:type="pct"/>
            <w:tcBorders>
              <w:tl2br w:val="nil"/>
              <w:tr2bl w:val="nil"/>
            </w:tcBorders>
            <w:vAlign w:val="center"/>
          </w:tcPr>
          <w:p w14:paraId="4B26A29A">
            <w:pPr>
              <w:numPr>
                <w:ilvl w:val="0"/>
                <w:numId w:val="59"/>
              </w:numPr>
              <w:spacing w:line="240" w:lineRule="auto"/>
              <w:ind w:left="0" w:leftChars="0" w:right="0" w:rightChars="0" w:firstLine="0" w:firstLineChars="0"/>
              <w:jc w:val="center"/>
              <w:rPr>
                <w:rFonts w:hint="eastAsia" w:asciiTheme="minorEastAsia" w:hAnsiTheme="minorEastAsia" w:eastAsiaTheme="minorEastAsia" w:cstheme="minorEastAsia"/>
                <w:b/>
                <w:bCs/>
                <w:color w:val="000000"/>
                <w:sz w:val="21"/>
                <w:szCs w:val="21"/>
                <w:lang w:val="en-US" w:eastAsia="zh-CN"/>
              </w:rPr>
            </w:pPr>
          </w:p>
        </w:tc>
        <w:tc>
          <w:tcPr>
            <w:tcW w:w="2087" w:type="pct"/>
            <w:tcBorders>
              <w:tl2br w:val="nil"/>
              <w:tr2bl w:val="nil"/>
            </w:tcBorders>
            <w:vAlign w:val="center"/>
          </w:tcPr>
          <w:p w14:paraId="1C8158C5">
            <w:pPr>
              <w:spacing w:line="240" w:lineRule="auto"/>
              <w:ind w:left="0" w:leftChars="0" w:right="0" w:rightChars="0" w:firstLine="0" w:firstLineChars="0"/>
              <w:jc w:val="both"/>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生产经营单位的主要负责人对本单位安全生产工作负有下列职责：</w:t>
            </w:r>
          </w:p>
          <w:p w14:paraId="31BDD9FB">
            <w:pPr>
              <w:spacing w:line="240" w:lineRule="auto"/>
              <w:ind w:left="0" w:leftChars="0" w:right="0" w:rightChars="0" w:firstLine="0" w:firstLineChars="0"/>
              <w:jc w:val="both"/>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w:t>
            </w:r>
            <w:r>
              <w:rPr>
                <w:rFonts w:hint="eastAsia" w:ascii="宋体" w:hAnsi="宋体" w:cs="宋体"/>
                <w:color w:val="auto"/>
                <w:sz w:val="21"/>
                <w:szCs w:val="21"/>
                <w:lang w:val="en-US" w:eastAsia="zh-CN"/>
              </w:rPr>
              <w:t>）</w:t>
            </w:r>
            <w:r>
              <w:rPr>
                <w:rFonts w:hint="eastAsia" w:asciiTheme="minorEastAsia" w:hAnsiTheme="minorEastAsia" w:eastAsiaTheme="minorEastAsia" w:cstheme="minorEastAsia"/>
                <w:color w:val="auto"/>
                <w:sz w:val="21"/>
                <w:szCs w:val="21"/>
                <w:lang w:val="en-US" w:eastAsia="zh-CN"/>
              </w:rPr>
              <w:t>建立健全并落实本单位全员安全生产责任制，加强安全生产标准化建设；</w:t>
            </w:r>
          </w:p>
          <w:p w14:paraId="4D657FD5">
            <w:pPr>
              <w:spacing w:line="240" w:lineRule="auto"/>
              <w:ind w:left="0" w:leftChars="0" w:right="0" w:rightChars="0" w:firstLine="0" w:firstLineChars="0"/>
              <w:jc w:val="both"/>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2</w:t>
            </w:r>
            <w:r>
              <w:rPr>
                <w:rFonts w:hint="eastAsia" w:ascii="宋体" w:hAnsi="宋体" w:cs="宋体"/>
                <w:color w:val="auto"/>
                <w:sz w:val="21"/>
                <w:szCs w:val="21"/>
                <w:lang w:val="en-US" w:eastAsia="zh-CN"/>
              </w:rPr>
              <w:t>）</w:t>
            </w:r>
            <w:r>
              <w:rPr>
                <w:rFonts w:hint="eastAsia" w:asciiTheme="minorEastAsia" w:hAnsiTheme="minorEastAsia" w:eastAsiaTheme="minorEastAsia" w:cstheme="minorEastAsia"/>
                <w:color w:val="auto"/>
                <w:sz w:val="21"/>
                <w:szCs w:val="21"/>
                <w:lang w:val="en-US" w:eastAsia="zh-CN"/>
              </w:rPr>
              <w:t>组织制定并实施本单位安全生产规章制度和操作规程；</w:t>
            </w:r>
          </w:p>
          <w:p w14:paraId="7095D877">
            <w:pPr>
              <w:spacing w:line="240" w:lineRule="auto"/>
              <w:ind w:left="0" w:leftChars="0" w:right="0" w:rightChars="0" w:firstLine="0" w:firstLineChars="0"/>
              <w:jc w:val="both"/>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3</w:t>
            </w:r>
            <w:r>
              <w:rPr>
                <w:rFonts w:hint="eastAsia" w:ascii="宋体" w:hAnsi="宋体" w:cs="宋体"/>
                <w:color w:val="auto"/>
                <w:sz w:val="21"/>
                <w:szCs w:val="21"/>
                <w:lang w:val="en-US" w:eastAsia="zh-CN"/>
              </w:rPr>
              <w:t>）</w:t>
            </w:r>
            <w:r>
              <w:rPr>
                <w:rFonts w:hint="eastAsia" w:asciiTheme="minorEastAsia" w:hAnsiTheme="minorEastAsia" w:eastAsiaTheme="minorEastAsia" w:cstheme="minorEastAsia"/>
                <w:color w:val="auto"/>
                <w:sz w:val="21"/>
                <w:szCs w:val="21"/>
                <w:lang w:val="en-US" w:eastAsia="zh-CN"/>
              </w:rPr>
              <w:t>组织制定并实施本单位安全生产教育和培训计划；</w:t>
            </w:r>
          </w:p>
          <w:p w14:paraId="5ECC2B4A">
            <w:pPr>
              <w:spacing w:line="240" w:lineRule="auto"/>
              <w:ind w:left="0" w:leftChars="0" w:right="0" w:rightChars="0" w:firstLine="0" w:firstLineChars="0"/>
              <w:jc w:val="both"/>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4</w:t>
            </w:r>
            <w:r>
              <w:rPr>
                <w:rFonts w:hint="eastAsia" w:ascii="宋体" w:hAnsi="宋体" w:cs="宋体"/>
                <w:color w:val="auto"/>
                <w:sz w:val="21"/>
                <w:szCs w:val="21"/>
                <w:lang w:val="en-US" w:eastAsia="zh-CN"/>
              </w:rPr>
              <w:t>）</w:t>
            </w:r>
            <w:r>
              <w:rPr>
                <w:rFonts w:hint="eastAsia" w:asciiTheme="minorEastAsia" w:hAnsiTheme="minorEastAsia" w:eastAsiaTheme="minorEastAsia" w:cstheme="minorEastAsia"/>
                <w:color w:val="auto"/>
                <w:sz w:val="21"/>
                <w:szCs w:val="21"/>
                <w:lang w:val="en-US" w:eastAsia="zh-CN"/>
              </w:rPr>
              <w:t>保证本单位安全生产投入的有效实施；</w:t>
            </w:r>
          </w:p>
          <w:p w14:paraId="6D25F76E">
            <w:pPr>
              <w:spacing w:line="240" w:lineRule="auto"/>
              <w:ind w:left="0" w:leftChars="0" w:right="0" w:rightChars="0" w:firstLine="0" w:firstLineChars="0"/>
              <w:jc w:val="both"/>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5</w:t>
            </w:r>
            <w:r>
              <w:rPr>
                <w:rFonts w:hint="eastAsia" w:ascii="宋体" w:hAnsi="宋体" w:cs="宋体"/>
                <w:color w:val="auto"/>
                <w:sz w:val="21"/>
                <w:szCs w:val="21"/>
                <w:lang w:val="en-US" w:eastAsia="zh-CN"/>
              </w:rPr>
              <w:t>）</w:t>
            </w:r>
            <w:r>
              <w:rPr>
                <w:rFonts w:hint="eastAsia" w:asciiTheme="minorEastAsia" w:hAnsiTheme="minorEastAsia" w:eastAsiaTheme="minorEastAsia" w:cstheme="minorEastAsia"/>
                <w:color w:val="auto"/>
                <w:sz w:val="21"/>
                <w:szCs w:val="21"/>
                <w:lang w:val="en-US" w:eastAsia="zh-CN"/>
              </w:rPr>
              <w:t>组织建立并落实安全风险分级管控和隐患排查治理双重预防工作机制，督促、检查本单位的安全生产工作，及时消除生产安全事故隐患；</w:t>
            </w:r>
          </w:p>
          <w:p w14:paraId="638A180E">
            <w:pPr>
              <w:spacing w:line="240" w:lineRule="auto"/>
              <w:ind w:left="0" w:leftChars="0" w:right="0" w:rightChars="0" w:firstLine="0" w:firstLineChars="0"/>
              <w:jc w:val="both"/>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6</w:t>
            </w:r>
            <w:r>
              <w:rPr>
                <w:rFonts w:hint="eastAsia" w:ascii="宋体" w:hAnsi="宋体" w:cs="宋体"/>
                <w:color w:val="auto"/>
                <w:sz w:val="21"/>
                <w:szCs w:val="21"/>
                <w:lang w:val="en-US" w:eastAsia="zh-CN"/>
              </w:rPr>
              <w:t>）</w:t>
            </w:r>
            <w:r>
              <w:rPr>
                <w:rFonts w:hint="eastAsia" w:asciiTheme="minorEastAsia" w:hAnsiTheme="minorEastAsia" w:eastAsiaTheme="minorEastAsia" w:cstheme="minorEastAsia"/>
                <w:color w:val="auto"/>
                <w:sz w:val="21"/>
                <w:szCs w:val="21"/>
                <w:lang w:val="en-US" w:eastAsia="zh-CN"/>
              </w:rPr>
              <w:t>组织制定并实施本单位的生产安全事故应急救援预案；</w:t>
            </w:r>
          </w:p>
          <w:p w14:paraId="06C20BD3">
            <w:pPr>
              <w:spacing w:line="240" w:lineRule="auto"/>
              <w:ind w:left="0" w:leftChars="0" w:right="0" w:rightChars="0" w:firstLine="0" w:firstLineChars="0"/>
              <w:jc w:val="both"/>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7</w:t>
            </w:r>
            <w:r>
              <w:rPr>
                <w:rFonts w:hint="eastAsia" w:ascii="宋体" w:hAnsi="宋体" w:cs="宋体"/>
                <w:color w:val="auto"/>
                <w:sz w:val="21"/>
                <w:szCs w:val="21"/>
                <w:lang w:val="en-US" w:eastAsia="zh-CN"/>
              </w:rPr>
              <w:t>）</w:t>
            </w:r>
            <w:r>
              <w:rPr>
                <w:rFonts w:hint="eastAsia" w:asciiTheme="minorEastAsia" w:hAnsiTheme="minorEastAsia" w:eastAsiaTheme="minorEastAsia" w:cstheme="minorEastAsia"/>
                <w:color w:val="auto"/>
                <w:sz w:val="21"/>
                <w:szCs w:val="21"/>
                <w:lang w:val="en-US" w:eastAsia="zh-CN"/>
              </w:rPr>
              <w:t>及时、如实报告生产安全事故。</w:t>
            </w:r>
          </w:p>
        </w:tc>
        <w:tc>
          <w:tcPr>
            <w:tcW w:w="947" w:type="pct"/>
            <w:tcBorders>
              <w:tl2br w:val="nil"/>
              <w:tr2bl w:val="nil"/>
            </w:tcBorders>
            <w:vAlign w:val="center"/>
          </w:tcPr>
          <w:p w14:paraId="2FF71BC2">
            <w:pPr>
              <w:spacing w:line="240" w:lineRule="auto"/>
              <w:ind w:left="0" w:leftChars="0" w:right="0" w:rightChars="0" w:firstLine="0" w:firstLineChars="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《中华人民共和国安全生产法》</w:t>
            </w:r>
          </w:p>
          <w:p w14:paraId="07D9B69F">
            <w:pPr>
              <w:spacing w:line="240" w:lineRule="auto"/>
              <w:ind w:left="0" w:leftChars="0" w:right="0" w:rightChars="0" w:firstLine="0" w:firstLineChars="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第二十一条</w:t>
            </w:r>
          </w:p>
        </w:tc>
        <w:tc>
          <w:tcPr>
            <w:tcW w:w="880" w:type="pct"/>
            <w:tcBorders>
              <w:tl2br w:val="nil"/>
              <w:tr2bl w:val="nil"/>
            </w:tcBorders>
            <w:vAlign w:val="center"/>
          </w:tcPr>
          <w:p w14:paraId="3908882A">
            <w:pPr>
              <w:spacing w:line="240" w:lineRule="auto"/>
              <w:ind w:left="0" w:leftChars="0" w:firstLine="0" w:firstLineChars="0"/>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初步设计</w:t>
            </w:r>
            <w:r>
              <w:rPr>
                <w:rFonts w:hint="eastAsia" w:ascii="宋体" w:hAnsi="宋体" w:eastAsia="宋体" w:cs="宋体"/>
                <w:color w:val="auto"/>
                <w:sz w:val="21"/>
                <w:szCs w:val="21"/>
              </w:rPr>
              <w:t>中</w:t>
            </w:r>
            <w:r>
              <w:rPr>
                <w:rFonts w:hint="eastAsia" w:ascii="宋体" w:hAnsi="宋体" w:cs="宋体"/>
                <w:color w:val="auto"/>
                <w:sz w:val="21"/>
                <w:szCs w:val="21"/>
                <w:lang w:val="en-US" w:eastAsia="zh-CN"/>
              </w:rPr>
              <w:t>未作具体说明</w:t>
            </w:r>
            <w:r>
              <w:rPr>
                <w:rFonts w:hint="eastAsia" w:ascii="宋体" w:hAnsi="宋体" w:eastAsia="宋体" w:cs="宋体"/>
                <w:color w:val="auto"/>
                <w:sz w:val="21"/>
                <w:szCs w:val="21"/>
              </w:rPr>
              <w:t>。</w:t>
            </w:r>
          </w:p>
        </w:tc>
        <w:tc>
          <w:tcPr>
            <w:tcW w:w="813" w:type="pct"/>
            <w:tcBorders>
              <w:tl2br w:val="nil"/>
              <w:tr2bl w:val="nil"/>
            </w:tcBorders>
            <w:vAlign w:val="center"/>
          </w:tcPr>
          <w:p w14:paraId="2BD191A1">
            <w:pPr>
              <w:spacing w:line="240" w:lineRule="auto"/>
              <w:ind w:left="0" w:leftChars="0" w:right="0" w:rightChars="0" w:firstLine="0" w:firstLineChars="0"/>
              <w:jc w:val="center"/>
              <w:rPr>
                <w:rFonts w:hint="eastAsia" w:ascii="宋体" w:hAnsi="宋体" w:eastAsia="宋体" w:cs="宋体"/>
                <w:color w:val="auto"/>
                <w:kern w:val="2"/>
                <w:sz w:val="21"/>
                <w:szCs w:val="21"/>
                <w:lang w:val="en-US" w:eastAsia="zh-CN" w:bidi="ar-SA"/>
              </w:rPr>
            </w:pPr>
            <w:r>
              <w:rPr>
                <w:rFonts w:hint="eastAsia" w:eastAsia="宋体" w:cs="宋体"/>
                <w:caps w:val="0"/>
                <w:color w:val="auto"/>
                <w:sz w:val="21"/>
                <w:szCs w:val="21"/>
                <w:shd w:val="clear" w:color="auto" w:fill="auto"/>
                <w:lang w:val="en-US" w:eastAsia="zh-CN"/>
              </w:rPr>
              <w:t>不符合</w:t>
            </w:r>
          </w:p>
        </w:tc>
      </w:tr>
      <w:tr w14:paraId="23F77F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271" w:type="pct"/>
            <w:tcBorders>
              <w:tl2br w:val="nil"/>
              <w:tr2bl w:val="nil"/>
            </w:tcBorders>
            <w:vAlign w:val="center"/>
          </w:tcPr>
          <w:p w14:paraId="00C44CE3">
            <w:pPr>
              <w:numPr>
                <w:ilvl w:val="0"/>
                <w:numId w:val="59"/>
              </w:numPr>
              <w:spacing w:line="240" w:lineRule="auto"/>
              <w:ind w:left="0" w:leftChars="0" w:right="0" w:rightChars="0" w:firstLine="0" w:firstLineChars="0"/>
              <w:jc w:val="center"/>
              <w:rPr>
                <w:rFonts w:hint="eastAsia" w:asciiTheme="minorEastAsia" w:hAnsiTheme="minorEastAsia" w:eastAsiaTheme="minorEastAsia" w:cstheme="minorEastAsia"/>
                <w:b/>
                <w:bCs/>
                <w:color w:val="000000"/>
                <w:sz w:val="21"/>
                <w:szCs w:val="21"/>
                <w:lang w:val="en-US" w:eastAsia="zh-CN"/>
              </w:rPr>
            </w:pPr>
          </w:p>
        </w:tc>
        <w:tc>
          <w:tcPr>
            <w:tcW w:w="2087" w:type="pct"/>
            <w:tcBorders>
              <w:tl2br w:val="nil"/>
              <w:tr2bl w:val="nil"/>
            </w:tcBorders>
            <w:vAlign w:val="center"/>
          </w:tcPr>
          <w:p w14:paraId="6F3C63E1">
            <w:pPr>
              <w:spacing w:line="240" w:lineRule="auto"/>
              <w:ind w:left="0" w:leftChars="0" w:right="0" w:rightChars="0" w:firstLine="0" w:firstLineChars="0"/>
              <w:jc w:val="both"/>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生产经营单位应当具备的安全生产条件所必需的资金投入，由生产经营单位的决策机构、主要负责人或者个人经营的投资人予以保证，并对由于安全生产所必需的资金投入不足导致的后果承担责任。</w:t>
            </w:r>
          </w:p>
          <w:p w14:paraId="1999E4B4">
            <w:pPr>
              <w:spacing w:line="240" w:lineRule="auto"/>
              <w:ind w:left="0" w:leftChars="0" w:right="0" w:rightChars="0" w:firstLine="0" w:firstLineChars="0"/>
              <w:jc w:val="both"/>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有关生产经营单位应当按照规定提取和使用安全生产费用，专门用于改善安全生产条件。安全生产费用在成本中据实列支。安全生产费用提取、使用和监督管理的具体办法由国务院财政部门会同国务院应急管理部门征求国务院有关部门意见后制定。</w:t>
            </w:r>
          </w:p>
        </w:tc>
        <w:tc>
          <w:tcPr>
            <w:tcW w:w="947" w:type="pct"/>
            <w:tcBorders>
              <w:tl2br w:val="nil"/>
              <w:tr2bl w:val="nil"/>
            </w:tcBorders>
            <w:vAlign w:val="center"/>
          </w:tcPr>
          <w:p w14:paraId="2C8DC3BD">
            <w:pPr>
              <w:spacing w:line="240" w:lineRule="auto"/>
              <w:ind w:left="0" w:leftChars="0" w:right="0" w:rightChars="0" w:firstLine="0" w:firstLineChars="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《中华人民共和国安全生产法》</w:t>
            </w:r>
          </w:p>
          <w:p w14:paraId="2572D3BF">
            <w:pPr>
              <w:spacing w:line="240" w:lineRule="auto"/>
              <w:ind w:left="0" w:leftChars="0" w:right="0" w:rightChars="0" w:firstLine="0" w:firstLineChars="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第二十三条</w:t>
            </w:r>
          </w:p>
        </w:tc>
        <w:tc>
          <w:tcPr>
            <w:tcW w:w="880" w:type="pct"/>
            <w:tcBorders>
              <w:tl2br w:val="nil"/>
              <w:tr2bl w:val="nil"/>
            </w:tcBorders>
            <w:vAlign w:val="center"/>
          </w:tcPr>
          <w:p w14:paraId="6C336048">
            <w:pPr>
              <w:spacing w:line="240" w:lineRule="auto"/>
              <w:ind w:left="0" w:leftChars="0" w:firstLine="0" w:firstLineChars="0"/>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初步设计</w:t>
            </w:r>
            <w:r>
              <w:rPr>
                <w:rFonts w:hint="eastAsia" w:ascii="宋体" w:hAnsi="宋体" w:eastAsia="宋体" w:cs="宋体"/>
                <w:color w:val="auto"/>
                <w:sz w:val="21"/>
                <w:szCs w:val="21"/>
              </w:rPr>
              <w:t>中</w:t>
            </w:r>
            <w:r>
              <w:rPr>
                <w:rFonts w:hint="eastAsia" w:ascii="宋体" w:hAnsi="宋体" w:cs="宋体"/>
                <w:color w:val="auto"/>
                <w:sz w:val="21"/>
                <w:szCs w:val="21"/>
                <w:lang w:val="en-US" w:eastAsia="zh-CN"/>
              </w:rPr>
              <w:t>未作具体说明</w:t>
            </w:r>
            <w:r>
              <w:rPr>
                <w:rFonts w:hint="eastAsia" w:ascii="宋体" w:hAnsi="宋体" w:eastAsia="宋体" w:cs="宋体"/>
                <w:color w:val="auto"/>
                <w:sz w:val="21"/>
                <w:szCs w:val="21"/>
              </w:rPr>
              <w:t>。</w:t>
            </w:r>
          </w:p>
        </w:tc>
        <w:tc>
          <w:tcPr>
            <w:tcW w:w="813" w:type="pct"/>
            <w:tcBorders>
              <w:tl2br w:val="nil"/>
              <w:tr2bl w:val="nil"/>
            </w:tcBorders>
            <w:vAlign w:val="center"/>
          </w:tcPr>
          <w:p w14:paraId="62B95D0E">
            <w:pPr>
              <w:spacing w:line="240" w:lineRule="auto"/>
              <w:ind w:left="0" w:leftChars="0" w:right="0" w:rightChars="0" w:firstLine="0" w:firstLineChars="0"/>
              <w:jc w:val="center"/>
              <w:rPr>
                <w:rFonts w:hint="default" w:ascii="宋体" w:hAnsi="宋体" w:eastAsia="宋体" w:cs="宋体"/>
                <w:color w:val="auto"/>
                <w:kern w:val="2"/>
                <w:sz w:val="21"/>
                <w:szCs w:val="21"/>
                <w:lang w:val="en-US" w:eastAsia="zh-CN" w:bidi="ar-SA"/>
              </w:rPr>
            </w:pPr>
            <w:r>
              <w:rPr>
                <w:rFonts w:hint="eastAsia" w:eastAsia="宋体" w:cs="宋体"/>
                <w:caps w:val="0"/>
                <w:color w:val="auto"/>
                <w:sz w:val="21"/>
                <w:szCs w:val="21"/>
                <w:shd w:val="clear" w:color="auto" w:fill="auto"/>
                <w:lang w:val="en-US" w:eastAsia="zh-CN"/>
              </w:rPr>
              <w:t>不符合</w:t>
            </w:r>
          </w:p>
        </w:tc>
      </w:tr>
      <w:tr w14:paraId="0615E6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271" w:type="pct"/>
            <w:tcBorders>
              <w:tl2br w:val="nil"/>
              <w:tr2bl w:val="nil"/>
            </w:tcBorders>
            <w:vAlign w:val="center"/>
          </w:tcPr>
          <w:p w14:paraId="729BD593">
            <w:pPr>
              <w:numPr>
                <w:ilvl w:val="0"/>
                <w:numId w:val="59"/>
              </w:numPr>
              <w:spacing w:line="240" w:lineRule="auto"/>
              <w:ind w:left="0" w:leftChars="0" w:right="0" w:rightChars="0" w:firstLine="0" w:firstLineChars="0"/>
              <w:jc w:val="center"/>
              <w:rPr>
                <w:rFonts w:hint="eastAsia" w:asciiTheme="minorEastAsia" w:hAnsiTheme="minorEastAsia" w:eastAsiaTheme="minorEastAsia" w:cstheme="minorEastAsia"/>
                <w:b/>
                <w:bCs/>
                <w:color w:val="000000"/>
                <w:sz w:val="21"/>
                <w:szCs w:val="21"/>
                <w:lang w:val="en-US" w:eastAsia="zh-CN"/>
              </w:rPr>
            </w:pPr>
          </w:p>
        </w:tc>
        <w:tc>
          <w:tcPr>
            <w:tcW w:w="2087" w:type="pct"/>
            <w:tcBorders>
              <w:tl2br w:val="nil"/>
              <w:tr2bl w:val="nil"/>
            </w:tcBorders>
            <w:vAlign w:val="center"/>
          </w:tcPr>
          <w:p w14:paraId="465F4779">
            <w:pPr>
              <w:spacing w:line="240" w:lineRule="auto"/>
              <w:ind w:left="0" w:leftChars="0" w:right="0" w:rightChars="0" w:firstLine="0" w:firstLineChars="0"/>
              <w:jc w:val="both"/>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矿山、金属冶炼、建筑施工、运输单位和危险物品的生产、经营、储存、装卸单位，应当设置安全生产管理机构或者配备专职安全生产管理人员。</w:t>
            </w:r>
          </w:p>
        </w:tc>
        <w:tc>
          <w:tcPr>
            <w:tcW w:w="947" w:type="pct"/>
            <w:tcBorders>
              <w:tl2br w:val="nil"/>
              <w:tr2bl w:val="nil"/>
            </w:tcBorders>
            <w:vAlign w:val="center"/>
          </w:tcPr>
          <w:p w14:paraId="267BF8BF">
            <w:pPr>
              <w:spacing w:line="240" w:lineRule="auto"/>
              <w:ind w:left="0" w:leftChars="0" w:right="0" w:rightChars="0" w:firstLine="0" w:firstLineChars="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《中华人民共和国安全生产法》</w:t>
            </w:r>
          </w:p>
          <w:p w14:paraId="715C0167">
            <w:pPr>
              <w:spacing w:line="240" w:lineRule="auto"/>
              <w:ind w:left="0" w:leftChars="0" w:right="0" w:rightChars="0" w:firstLine="0" w:firstLineChars="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第二十四条</w:t>
            </w:r>
          </w:p>
        </w:tc>
        <w:tc>
          <w:tcPr>
            <w:tcW w:w="880" w:type="pct"/>
            <w:tcBorders>
              <w:tl2br w:val="nil"/>
              <w:tr2bl w:val="nil"/>
            </w:tcBorders>
            <w:vAlign w:val="center"/>
          </w:tcPr>
          <w:p w14:paraId="06E331EA">
            <w:pPr>
              <w:spacing w:line="240" w:lineRule="auto"/>
              <w:ind w:left="0" w:leftChars="0" w:firstLine="0" w:firstLineChars="0"/>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初步设计</w:t>
            </w:r>
            <w:r>
              <w:rPr>
                <w:rFonts w:hint="eastAsia" w:ascii="宋体" w:hAnsi="宋体" w:eastAsia="宋体" w:cs="宋体"/>
                <w:color w:val="auto"/>
                <w:sz w:val="21"/>
                <w:szCs w:val="21"/>
              </w:rPr>
              <w:t>中</w:t>
            </w:r>
            <w:r>
              <w:rPr>
                <w:rFonts w:hint="eastAsia" w:ascii="宋体" w:hAnsi="宋体" w:cs="宋体"/>
                <w:color w:val="auto"/>
                <w:sz w:val="21"/>
                <w:szCs w:val="21"/>
                <w:lang w:val="en-US" w:eastAsia="zh-CN"/>
              </w:rPr>
              <w:t>未作具体说明</w:t>
            </w:r>
            <w:r>
              <w:rPr>
                <w:rFonts w:hint="eastAsia" w:ascii="宋体" w:hAnsi="宋体" w:eastAsia="宋体" w:cs="宋体"/>
                <w:color w:val="auto"/>
                <w:sz w:val="21"/>
                <w:szCs w:val="21"/>
              </w:rPr>
              <w:t>。</w:t>
            </w:r>
          </w:p>
        </w:tc>
        <w:tc>
          <w:tcPr>
            <w:tcW w:w="813" w:type="pct"/>
            <w:tcBorders>
              <w:tl2br w:val="nil"/>
              <w:tr2bl w:val="nil"/>
            </w:tcBorders>
            <w:vAlign w:val="center"/>
          </w:tcPr>
          <w:p w14:paraId="02E5B2C4">
            <w:pPr>
              <w:spacing w:line="240" w:lineRule="auto"/>
              <w:ind w:left="0" w:leftChars="0" w:right="0" w:rightChars="0" w:firstLine="0" w:firstLineChars="0"/>
              <w:jc w:val="center"/>
              <w:rPr>
                <w:rFonts w:hint="eastAsia" w:ascii="宋体" w:hAnsi="宋体" w:eastAsia="宋体" w:cs="宋体"/>
                <w:color w:val="auto"/>
                <w:kern w:val="2"/>
                <w:sz w:val="21"/>
                <w:szCs w:val="21"/>
                <w:lang w:val="en-US" w:eastAsia="zh-CN" w:bidi="ar-SA"/>
              </w:rPr>
            </w:pPr>
            <w:r>
              <w:rPr>
                <w:rFonts w:hint="eastAsia" w:eastAsia="宋体" w:cs="宋体"/>
                <w:caps w:val="0"/>
                <w:color w:val="auto"/>
                <w:sz w:val="21"/>
                <w:szCs w:val="21"/>
                <w:shd w:val="clear" w:color="auto" w:fill="auto"/>
                <w:lang w:val="en-US" w:eastAsia="zh-CN"/>
              </w:rPr>
              <w:t>不符合</w:t>
            </w:r>
          </w:p>
        </w:tc>
      </w:tr>
      <w:tr w14:paraId="1FCD20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271" w:type="pct"/>
            <w:tcBorders>
              <w:tl2br w:val="nil"/>
              <w:tr2bl w:val="nil"/>
            </w:tcBorders>
            <w:vAlign w:val="center"/>
          </w:tcPr>
          <w:p w14:paraId="67497D3B">
            <w:pPr>
              <w:numPr>
                <w:ilvl w:val="0"/>
                <w:numId w:val="59"/>
              </w:numPr>
              <w:spacing w:line="240" w:lineRule="auto"/>
              <w:ind w:left="0" w:leftChars="0" w:right="0" w:rightChars="0" w:firstLine="0" w:firstLineChars="0"/>
              <w:jc w:val="center"/>
              <w:rPr>
                <w:rFonts w:hint="eastAsia" w:asciiTheme="minorEastAsia" w:hAnsiTheme="minorEastAsia" w:eastAsiaTheme="minorEastAsia" w:cstheme="minorEastAsia"/>
                <w:b/>
                <w:bCs/>
                <w:color w:val="000000"/>
                <w:sz w:val="21"/>
                <w:szCs w:val="21"/>
                <w:lang w:val="en-US" w:eastAsia="zh-CN"/>
              </w:rPr>
            </w:pPr>
          </w:p>
        </w:tc>
        <w:tc>
          <w:tcPr>
            <w:tcW w:w="2087" w:type="pct"/>
            <w:tcBorders>
              <w:tl2br w:val="nil"/>
              <w:tr2bl w:val="nil"/>
            </w:tcBorders>
            <w:vAlign w:val="center"/>
          </w:tcPr>
          <w:p w14:paraId="51466798">
            <w:pPr>
              <w:spacing w:line="240" w:lineRule="auto"/>
              <w:ind w:left="0" w:leftChars="0" w:right="0" w:rightChars="0" w:firstLine="0" w:firstLineChars="0"/>
              <w:jc w:val="both"/>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生产经营单位的安全生产管理机构以及安全生产管理人员应当恪尽职守，依法履行职责。</w:t>
            </w:r>
          </w:p>
        </w:tc>
        <w:tc>
          <w:tcPr>
            <w:tcW w:w="947" w:type="pct"/>
            <w:tcBorders>
              <w:tl2br w:val="nil"/>
              <w:tr2bl w:val="nil"/>
            </w:tcBorders>
            <w:vAlign w:val="center"/>
          </w:tcPr>
          <w:p w14:paraId="4C9EBAF6">
            <w:pPr>
              <w:spacing w:line="240" w:lineRule="auto"/>
              <w:ind w:left="0" w:leftChars="0" w:right="0" w:rightChars="0" w:firstLine="0" w:firstLineChars="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《中华人民共和国安全生产法》</w:t>
            </w:r>
          </w:p>
          <w:p w14:paraId="78FE1AA3">
            <w:pPr>
              <w:spacing w:line="240" w:lineRule="auto"/>
              <w:ind w:left="0" w:leftChars="0" w:right="0" w:rightChars="0" w:firstLine="0" w:firstLineChars="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第二十六条</w:t>
            </w:r>
          </w:p>
        </w:tc>
        <w:tc>
          <w:tcPr>
            <w:tcW w:w="880" w:type="pct"/>
            <w:tcBorders>
              <w:tl2br w:val="nil"/>
              <w:tr2bl w:val="nil"/>
            </w:tcBorders>
            <w:vAlign w:val="center"/>
          </w:tcPr>
          <w:p w14:paraId="01186898">
            <w:pPr>
              <w:spacing w:line="240" w:lineRule="auto"/>
              <w:ind w:left="0" w:leftChars="0" w:firstLine="0" w:firstLineChars="0"/>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初步设计</w:t>
            </w:r>
            <w:r>
              <w:rPr>
                <w:rFonts w:hint="eastAsia" w:ascii="宋体" w:hAnsi="宋体" w:eastAsia="宋体" w:cs="宋体"/>
                <w:color w:val="auto"/>
                <w:sz w:val="21"/>
                <w:szCs w:val="21"/>
              </w:rPr>
              <w:t>中</w:t>
            </w:r>
            <w:r>
              <w:rPr>
                <w:rFonts w:hint="eastAsia" w:ascii="宋体" w:hAnsi="宋体" w:cs="宋体"/>
                <w:color w:val="auto"/>
                <w:sz w:val="21"/>
                <w:szCs w:val="21"/>
                <w:lang w:val="en-US" w:eastAsia="zh-CN"/>
              </w:rPr>
              <w:t>未作具体说明</w:t>
            </w:r>
            <w:r>
              <w:rPr>
                <w:rFonts w:hint="eastAsia" w:ascii="宋体" w:hAnsi="宋体" w:eastAsia="宋体" w:cs="宋体"/>
                <w:color w:val="auto"/>
                <w:sz w:val="21"/>
                <w:szCs w:val="21"/>
              </w:rPr>
              <w:t>。</w:t>
            </w:r>
          </w:p>
        </w:tc>
        <w:tc>
          <w:tcPr>
            <w:tcW w:w="813" w:type="pct"/>
            <w:tcBorders>
              <w:tl2br w:val="nil"/>
              <w:tr2bl w:val="nil"/>
            </w:tcBorders>
            <w:vAlign w:val="center"/>
          </w:tcPr>
          <w:p w14:paraId="45FD2E2C">
            <w:pPr>
              <w:spacing w:line="240" w:lineRule="auto"/>
              <w:ind w:left="0" w:leftChars="0" w:right="0" w:rightChars="0" w:firstLine="0" w:firstLineChars="0"/>
              <w:jc w:val="center"/>
              <w:rPr>
                <w:rFonts w:hint="eastAsia" w:ascii="宋体" w:hAnsi="宋体" w:eastAsia="宋体" w:cs="宋体"/>
                <w:color w:val="auto"/>
                <w:kern w:val="2"/>
                <w:sz w:val="21"/>
                <w:szCs w:val="21"/>
                <w:lang w:val="en-US" w:eastAsia="zh-CN" w:bidi="ar-SA"/>
              </w:rPr>
            </w:pPr>
            <w:r>
              <w:rPr>
                <w:rFonts w:hint="eastAsia" w:eastAsia="宋体" w:cs="宋体"/>
                <w:caps w:val="0"/>
                <w:color w:val="auto"/>
                <w:sz w:val="21"/>
                <w:szCs w:val="21"/>
                <w:shd w:val="clear" w:color="auto" w:fill="auto"/>
                <w:lang w:val="en-US" w:eastAsia="zh-CN"/>
              </w:rPr>
              <w:t>不符合</w:t>
            </w:r>
          </w:p>
        </w:tc>
      </w:tr>
      <w:tr w14:paraId="5D10AF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271" w:type="pct"/>
            <w:tcBorders>
              <w:tl2br w:val="nil"/>
              <w:tr2bl w:val="nil"/>
            </w:tcBorders>
            <w:vAlign w:val="center"/>
          </w:tcPr>
          <w:p w14:paraId="7E465124">
            <w:pPr>
              <w:numPr>
                <w:ilvl w:val="0"/>
                <w:numId w:val="59"/>
              </w:numPr>
              <w:spacing w:line="240" w:lineRule="auto"/>
              <w:ind w:left="0" w:leftChars="0" w:right="0" w:rightChars="0" w:firstLine="0" w:firstLineChars="0"/>
              <w:jc w:val="center"/>
              <w:rPr>
                <w:rFonts w:hint="eastAsia" w:asciiTheme="minorEastAsia" w:hAnsiTheme="minorEastAsia" w:eastAsiaTheme="minorEastAsia" w:cstheme="minorEastAsia"/>
                <w:b/>
                <w:bCs/>
                <w:color w:val="000000"/>
                <w:sz w:val="21"/>
                <w:szCs w:val="21"/>
                <w:lang w:val="en-US" w:eastAsia="zh-CN"/>
              </w:rPr>
            </w:pPr>
          </w:p>
        </w:tc>
        <w:tc>
          <w:tcPr>
            <w:tcW w:w="2087" w:type="pct"/>
            <w:tcBorders>
              <w:tl2br w:val="nil"/>
              <w:tr2bl w:val="nil"/>
            </w:tcBorders>
            <w:vAlign w:val="center"/>
          </w:tcPr>
          <w:p w14:paraId="1471D8AC">
            <w:pPr>
              <w:spacing w:line="240" w:lineRule="auto"/>
              <w:ind w:left="0" w:leftChars="0" w:right="0" w:rightChars="0" w:firstLine="0" w:firstLineChars="0"/>
              <w:jc w:val="both"/>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生产经营单位的主要负责人和安全生产管理人员必须具备与本单位所从事的生产经营活动相应的安全生产知识和管理能力。</w:t>
            </w:r>
          </w:p>
        </w:tc>
        <w:tc>
          <w:tcPr>
            <w:tcW w:w="947" w:type="pct"/>
            <w:tcBorders>
              <w:tl2br w:val="nil"/>
              <w:tr2bl w:val="nil"/>
            </w:tcBorders>
            <w:vAlign w:val="center"/>
          </w:tcPr>
          <w:p w14:paraId="71471A05">
            <w:pPr>
              <w:spacing w:line="240" w:lineRule="auto"/>
              <w:ind w:left="0" w:leftChars="0" w:right="0" w:rightChars="0" w:firstLine="0" w:firstLineChars="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《中华人民共和国安全生产法》</w:t>
            </w:r>
          </w:p>
          <w:p w14:paraId="256E9C31">
            <w:pPr>
              <w:spacing w:line="240" w:lineRule="auto"/>
              <w:ind w:left="0" w:leftChars="0" w:right="0" w:rightChars="0" w:firstLine="0" w:firstLineChars="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第二十七条</w:t>
            </w:r>
          </w:p>
        </w:tc>
        <w:tc>
          <w:tcPr>
            <w:tcW w:w="880" w:type="pct"/>
            <w:tcBorders>
              <w:tl2br w:val="nil"/>
              <w:tr2bl w:val="nil"/>
            </w:tcBorders>
            <w:vAlign w:val="center"/>
          </w:tcPr>
          <w:p w14:paraId="46702609">
            <w:pPr>
              <w:spacing w:line="240" w:lineRule="auto"/>
              <w:ind w:left="0" w:leftChars="0" w:firstLine="0" w:firstLineChars="0"/>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初步设计</w:t>
            </w:r>
            <w:r>
              <w:rPr>
                <w:rFonts w:hint="eastAsia" w:ascii="宋体" w:hAnsi="宋体" w:eastAsia="宋体" w:cs="宋体"/>
                <w:color w:val="auto"/>
                <w:sz w:val="21"/>
                <w:szCs w:val="21"/>
              </w:rPr>
              <w:t>中</w:t>
            </w:r>
            <w:r>
              <w:rPr>
                <w:rFonts w:hint="eastAsia" w:ascii="宋体" w:hAnsi="宋体" w:cs="宋体"/>
                <w:color w:val="auto"/>
                <w:sz w:val="21"/>
                <w:szCs w:val="21"/>
                <w:lang w:val="en-US" w:eastAsia="zh-CN"/>
              </w:rPr>
              <w:t>未作具体说明</w:t>
            </w:r>
            <w:r>
              <w:rPr>
                <w:rFonts w:hint="eastAsia" w:ascii="宋体" w:hAnsi="宋体" w:eastAsia="宋体" w:cs="宋体"/>
                <w:color w:val="auto"/>
                <w:sz w:val="21"/>
                <w:szCs w:val="21"/>
              </w:rPr>
              <w:t>。</w:t>
            </w:r>
          </w:p>
        </w:tc>
        <w:tc>
          <w:tcPr>
            <w:tcW w:w="813" w:type="pct"/>
            <w:tcBorders>
              <w:tl2br w:val="nil"/>
              <w:tr2bl w:val="nil"/>
            </w:tcBorders>
            <w:vAlign w:val="center"/>
          </w:tcPr>
          <w:p w14:paraId="15A9548F">
            <w:pPr>
              <w:spacing w:line="240" w:lineRule="auto"/>
              <w:ind w:left="0" w:leftChars="0" w:right="0" w:rightChars="0" w:firstLine="0" w:firstLineChars="0"/>
              <w:jc w:val="center"/>
              <w:rPr>
                <w:rFonts w:hint="eastAsia" w:ascii="宋体" w:hAnsi="宋体" w:eastAsia="宋体" w:cs="宋体"/>
                <w:color w:val="auto"/>
                <w:kern w:val="2"/>
                <w:sz w:val="21"/>
                <w:szCs w:val="21"/>
                <w:lang w:val="en-US" w:eastAsia="zh-CN" w:bidi="ar-SA"/>
              </w:rPr>
            </w:pPr>
            <w:r>
              <w:rPr>
                <w:rFonts w:hint="eastAsia" w:eastAsia="宋体" w:cs="宋体"/>
                <w:caps w:val="0"/>
                <w:color w:val="auto"/>
                <w:sz w:val="21"/>
                <w:szCs w:val="21"/>
                <w:shd w:val="clear" w:color="auto" w:fill="auto"/>
                <w:lang w:val="en-US" w:eastAsia="zh-CN"/>
              </w:rPr>
              <w:t>不符合</w:t>
            </w:r>
          </w:p>
        </w:tc>
      </w:tr>
      <w:tr w14:paraId="00ED57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271" w:type="pct"/>
            <w:tcBorders>
              <w:tl2br w:val="nil"/>
              <w:tr2bl w:val="nil"/>
            </w:tcBorders>
            <w:vAlign w:val="center"/>
          </w:tcPr>
          <w:p w14:paraId="5C44DECE">
            <w:pPr>
              <w:numPr>
                <w:ilvl w:val="0"/>
                <w:numId w:val="59"/>
              </w:numPr>
              <w:spacing w:line="240" w:lineRule="auto"/>
              <w:ind w:left="0" w:leftChars="0" w:right="0" w:rightChars="0" w:firstLine="0" w:firstLineChars="0"/>
              <w:jc w:val="center"/>
              <w:rPr>
                <w:rFonts w:hint="eastAsia" w:asciiTheme="minorEastAsia" w:hAnsiTheme="minorEastAsia" w:eastAsiaTheme="minorEastAsia" w:cstheme="minorEastAsia"/>
                <w:b/>
                <w:bCs/>
                <w:color w:val="000000"/>
                <w:sz w:val="21"/>
                <w:szCs w:val="21"/>
                <w:lang w:val="en-US" w:eastAsia="zh-CN"/>
              </w:rPr>
            </w:pPr>
          </w:p>
        </w:tc>
        <w:tc>
          <w:tcPr>
            <w:tcW w:w="2087" w:type="pct"/>
            <w:tcBorders>
              <w:tl2br w:val="nil"/>
              <w:tr2bl w:val="nil"/>
            </w:tcBorders>
            <w:vAlign w:val="center"/>
          </w:tcPr>
          <w:p w14:paraId="0086FB60">
            <w:pPr>
              <w:spacing w:line="240" w:lineRule="auto"/>
              <w:ind w:left="0" w:leftChars="0" w:right="0" w:rightChars="0" w:firstLine="0" w:firstLineChars="0"/>
              <w:jc w:val="both"/>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tc>
        <w:tc>
          <w:tcPr>
            <w:tcW w:w="947" w:type="pct"/>
            <w:tcBorders>
              <w:tl2br w:val="nil"/>
              <w:tr2bl w:val="nil"/>
            </w:tcBorders>
            <w:vAlign w:val="center"/>
          </w:tcPr>
          <w:p w14:paraId="4DB158ED">
            <w:pPr>
              <w:spacing w:line="240" w:lineRule="auto"/>
              <w:ind w:left="0" w:leftChars="0" w:right="0" w:rightChars="0" w:firstLine="0" w:firstLineChars="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《中华人民共和国安全生产法》第二十八条</w:t>
            </w:r>
          </w:p>
        </w:tc>
        <w:tc>
          <w:tcPr>
            <w:tcW w:w="880" w:type="pct"/>
            <w:tcBorders>
              <w:tl2br w:val="nil"/>
              <w:tr2bl w:val="nil"/>
            </w:tcBorders>
            <w:vAlign w:val="center"/>
          </w:tcPr>
          <w:p w14:paraId="6A5C547B">
            <w:pPr>
              <w:spacing w:line="240" w:lineRule="auto"/>
              <w:ind w:left="0" w:leftChars="0" w:firstLine="0" w:firstLineChars="0"/>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初步设计</w:t>
            </w:r>
            <w:r>
              <w:rPr>
                <w:rFonts w:hint="eastAsia" w:ascii="宋体" w:hAnsi="宋体" w:eastAsia="宋体" w:cs="宋体"/>
                <w:color w:val="auto"/>
                <w:sz w:val="21"/>
                <w:szCs w:val="21"/>
              </w:rPr>
              <w:t>中</w:t>
            </w:r>
            <w:r>
              <w:rPr>
                <w:rFonts w:hint="eastAsia" w:ascii="宋体" w:hAnsi="宋体" w:cs="宋体"/>
                <w:color w:val="auto"/>
                <w:sz w:val="21"/>
                <w:szCs w:val="21"/>
                <w:lang w:val="en-US" w:eastAsia="zh-CN"/>
              </w:rPr>
              <w:t>未作具体说明</w:t>
            </w:r>
            <w:r>
              <w:rPr>
                <w:rFonts w:hint="eastAsia" w:ascii="宋体" w:hAnsi="宋体" w:eastAsia="宋体" w:cs="宋体"/>
                <w:color w:val="auto"/>
                <w:sz w:val="21"/>
                <w:szCs w:val="21"/>
              </w:rPr>
              <w:t>。</w:t>
            </w:r>
          </w:p>
        </w:tc>
        <w:tc>
          <w:tcPr>
            <w:tcW w:w="813" w:type="pct"/>
            <w:tcBorders>
              <w:tl2br w:val="nil"/>
              <w:tr2bl w:val="nil"/>
            </w:tcBorders>
            <w:vAlign w:val="center"/>
          </w:tcPr>
          <w:p w14:paraId="05D6AA46">
            <w:pPr>
              <w:spacing w:line="240" w:lineRule="auto"/>
              <w:ind w:left="0" w:leftChars="0" w:right="0" w:rightChars="0" w:firstLine="0" w:firstLineChars="0"/>
              <w:jc w:val="center"/>
              <w:rPr>
                <w:rFonts w:hint="eastAsia" w:ascii="宋体" w:hAnsi="宋体" w:eastAsia="宋体" w:cs="宋体"/>
                <w:color w:val="auto"/>
                <w:kern w:val="2"/>
                <w:sz w:val="21"/>
                <w:szCs w:val="21"/>
                <w:lang w:val="en-US" w:eastAsia="zh-CN" w:bidi="ar-SA"/>
              </w:rPr>
            </w:pPr>
            <w:r>
              <w:rPr>
                <w:rFonts w:hint="eastAsia" w:eastAsia="宋体" w:cs="宋体"/>
                <w:caps w:val="0"/>
                <w:color w:val="auto"/>
                <w:sz w:val="21"/>
                <w:szCs w:val="21"/>
                <w:shd w:val="clear" w:color="auto" w:fill="auto"/>
                <w:lang w:val="en-US" w:eastAsia="zh-CN"/>
              </w:rPr>
              <w:t>不符合</w:t>
            </w:r>
          </w:p>
        </w:tc>
      </w:tr>
      <w:tr w14:paraId="7DFE7F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271" w:type="pct"/>
            <w:tcBorders>
              <w:tl2br w:val="nil"/>
              <w:tr2bl w:val="nil"/>
            </w:tcBorders>
            <w:vAlign w:val="center"/>
          </w:tcPr>
          <w:p w14:paraId="08B7530A">
            <w:pPr>
              <w:numPr>
                <w:ilvl w:val="0"/>
                <w:numId w:val="59"/>
              </w:numPr>
              <w:spacing w:line="240" w:lineRule="auto"/>
              <w:ind w:left="0" w:leftChars="0" w:right="0" w:rightChars="0" w:firstLine="0" w:firstLineChars="0"/>
              <w:jc w:val="center"/>
              <w:rPr>
                <w:rFonts w:hint="eastAsia" w:asciiTheme="minorEastAsia" w:hAnsiTheme="minorEastAsia" w:eastAsiaTheme="minorEastAsia" w:cstheme="minorEastAsia"/>
                <w:b/>
                <w:bCs/>
                <w:color w:val="000000"/>
                <w:sz w:val="21"/>
                <w:szCs w:val="21"/>
                <w:lang w:val="en-US" w:eastAsia="zh-CN"/>
              </w:rPr>
            </w:pPr>
          </w:p>
        </w:tc>
        <w:tc>
          <w:tcPr>
            <w:tcW w:w="2087" w:type="pct"/>
            <w:tcBorders>
              <w:tl2br w:val="nil"/>
              <w:tr2bl w:val="nil"/>
            </w:tcBorders>
            <w:vAlign w:val="center"/>
          </w:tcPr>
          <w:p w14:paraId="4A6E2BC2">
            <w:pPr>
              <w:spacing w:line="240" w:lineRule="auto"/>
              <w:ind w:left="0" w:leftChars="0" w:right="0" w:rightChars="0" w:firstLine="0" w:firstLineChars="0"/>
              <w:jc w:val="both"/>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生产经营单位的特种作业人员必须按照国家有关规定经专门的安全作业培训，取得相应资格，方可上岗作业。</w:t>
            </w:r>
          </w:p>
        </w:tc>
        <w:tc>
          <w:tcPr>
            <w:tcW w:w="947" w:type="pct"/>
            <w:tcBorders>
              <w:tl2br w:val="nil"/>
              <w:tr2bl w:val="nil"/>
            </w:tcBorders>
            <w:vAlign w:val="center"/>
          </w:tcPr>
          <w:p w14:paraId="6E1D25E6">
            <w:pPr>
              <w:spacing w:line="240" w:lineRule="auto"/>
              <w:ind w:left="0" w:leftChars="0" w:right="0" w:rightChars="0" w:firstLine="0" w:firstLineChars="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《中华人民共和国安全生产法》</w:t>
            </w:r>
          </w:p>
          <w:p w14:paraId="7B8859C7">
            <w:pPr>
              <w:spacing w:line="240" w:lineRule="auto"/>
              <w:ind w:left="0" w:leftChars="0" w:right="0" w:rightChars="0" w:firstLine="0" w:firstLineChars="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第三十条</w:t>
            </w:r>
          </w:p>
        </w:tc>
        <w:tc>
          <w:tcPr>
            <w:tcW w:w="880" w:type="pct"/>
            <w:tcBorders>
              <w:tl2br w:val="nil"/>
              <w:tr2bl w:val="nil"/>
            </w:tcBorders>
            <w:vAlign w:val="center"/>
          </w:tcPr>
          <w:p w14:paraId="0F3D915C">
            <w:pPr>
              <w:spacing w:line="240" w:lineRule="auto"/>
              <w:ind w:left="0" w:leftChars="0" w:firstLine="0" w:firstLineChars="0"/>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初步设计</w:t>
            </w:r>
            <w:r>
              <w:rPr>
                <w:rFonts w:hint="eastAsia" w:ascii="宋体" w:hAnsi="宋体" w:eastAsia="宋体" w:cs="宋体"/>
                <w:color w:val="auto"/>
                <w:sz w:val="21"/>
                <w:szCs w:val="21"/>
              </w:rPr>
              <w:t>中</w:t>
            </w:r>
            <w:r>
              <w:rPr>
                <w:rFonts w:hint="eastAsia" w:ascii="宋体" w:hAnsi="宋体" w:cs="宋体"/>
                <w:color w:val="auto"/>
                <w:sz w:val="21"/>
                <w:szCs w:val="21"/>
                <w:lang w:val="en-US" w:eastAsia="zh-CN"/>
              </w:rPr>
              <w:t>未作具体说明</w:t>
            </w:r>
            <w:r>
              <w:rPr>
                <w:rFonts w:hint="eastAsia" w:ascii="宋体" w:hAnsi="宋体" w:eastAsia="宋体" w:cs="宋体"/>
                <w:color w:val="auto"/>
                <w:sz w:val="21"/>
                <w:szCs w:val="21"/>
              </w:rPr>
              <w:t>。</w:t>
            </w:r>
          </w:p>
        </w:tc>
        <w:tc>
          <w:tcPr>
            <w:tcW w:w="813" w:type="pct"/>
            <w:tcBorders>
              <w:tl2br w:val="nil"/>
              <w:tr2bl w:val="nil"/>
            </w:tcBorders>
            <w:vAlign w:val="center"/>
          </w:tcPr>
          <w:p w14:paraId="278411E3">
            <w:pPr>
              <w:spacing w:line="240" w:lineRule="auto"/>
              <w:ind w:left="0" w:leftChars="0" w:right="0" w:rightChars="0" w:firstLine="0" w:firstLineChars="0"/>
              <w:jc w:val="center"/>
              <w:rPr>
                <w:rFonts w:hint="eastAsia" w:ascii="宋体" w:hAnsi="宋体" w:eastAsia="宋体" w:cs="宋体"/>
                <w:color w:val="auto"/>
                <w:kern w:val="2"/>
                <w:sz w:val="21"/>
                <w:szCs w:val="21"/>
                <w:lang w:val="en-US" w:eastAsia="zh-CN" w:bidi="ar-SA"/>
              </w:rPr>
            </w:pPr>
            <w:r>
              <w:rPr>
                <w:rFonts w:hint="eastAsia" w:eastAsia="宋体" w:cs="宋体"/>
                <w:caps w:val="0"/>
                <w:color w:val="auto"/>
                <w:sz w:val="21"/>
                <w:szCs w:val="21"/>
                <w:shd w:val="clear" w:color="auto" w:fill="auto"/>
                <w:lang w:val="en-US" w:eastAsia="zh-CN"/>
              </w:rPr>
              <w:t>不符合</w:t>
            </w:r>
          </w:p>
        </w:tc>
      </w:tr>
      <w:tr w14:paraId="362212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271" w:type="pct"/>
            <w:tcBorders>
              <w:tl2br w:val="nil"/>
              <w:tr2bl w:val="nil"/>
            </w:tcBorders>
            <w:vAlign w:val="center"/>
          </w:tcPr>
          <w:p w14:paraId="639B9823">
            <w:pPr>
              <w:numPr>
                <w:ilvl w:val="0"/>
                <w:numId w:val="59"/>
              </w:numPr>
              <w:spacing w:line="240" w:lineRule="auto"/>
              <w:ind w:left="0" w:leftChars="0" w:right="0" w:rightChars="0" w:firstLine="0" w:firstLineChars="0"/>
              <w:jc w:val="center"/>
              <w:rPr>
                <w:rFonts w:hint="eastAsia" w:asciiTheme="minorEastAsia" w:hAnsiTheme="minorEastAsia" w:eastAsiaTheme="minorEastAsia" w:cstheme="minorEastAsia"/>
                <w:b/>
                <w:bCs/>
                <w:color w:val="000000"/>
                <w:sz w:val="21"/>
                <w:szCs w:val="21"/>
                <w:lang w:val="en-US" w:eastAsia="zh-CN"/>
              </w:rPr>
            </w:pPr>
          </w:p>
        </w:tc>
        <w:tc>
          <w:tcPr>
            <w:tcW w:w="2087" w:type="pct"/>
            <w:tcBorders>
              <w:tl2br w:val="nil"/>
              <w:tr2bl w:val="nil"/>
            </w:tcBorders>
            <w:vAlign w:val="center"/>
          </w:tcPr>
          <w:p w14:paraId="7C89862D">
            <w:pPr>
              <w:spacing w:line="240" w:lineRule="auto"/>
              <w:ind w:left="0" w:leftChars="0" w:right="0" w:rightChars="0" w:firstLine="0" w:firstLineChars="0"/>
              <w:jc w:val="both"/>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生产经营单位应当在有较大危险因素的生产经营场所和有关设施、设备上，设置明显的安全警示标志。</w:t>
            </w:r>
          </w:p>
        </w:tc>
        <w:tc>
          <w:tcPr>
            <w:tcW w:w="947" w:type="pct"/>
            <w:tcBorders>
              <w:tl2br w:val="nil"/>
              <w:tr2bl w:val="nil"/>
            </w:tcBorders>
            <w:vAlign w:val="center"/>
          </w:tcPr>
          <w:p w14:paraId="442E61FA">
            <w:pPr>
              <w:spacing w:line="240" w:lineRule="auto"/>
              <w:ind w:left="0" w:leftChars="0" w:right="0" w:rightChars="0" w:firstLine="0" w:firstLineChars="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《中华人民共和国安全生产法》</w:t>
            </w:r>
          </w:p>
          <w:p w14:paraId="5087DCBC">
            <w:pPr>
              <w:spacing w:line="240" w:lineRule="auto"/>
              <w:ind w:left="0" w:leftChars="0" w:right="0" w:rightChars="0" w:firstLine="0" w:firstLineChars="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第三十五条</w:t>
            </w:r>
          </w:p>
        </w:tc>
        <w:tc>
          <w:tcPr>
            <w:tcW w:w="880" w:type="pct"/>
            <w:tcBorders>
              <w:tl2br w:val="nil"/>
              <w:tr2bl w:val="nil"/>
            </w:tcBorders>
            <w:vAlign w:val="center"/>
          </w:tcPr>
          <w:p w14:paraId="4B43A766">
            <w:pPr>
              <w:spacing w:line="240" w:lineRule="auto"/>
              <w:ind w:left="0" w:leftChars="0" w:firstLine="0" w:firstLineChars="0"/>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初步设计</w:t>
            </w:r>
            <w:r>
              <w:rPr>
                <w:rFonts w:hint="eastAsia" w:ascii="宋体" w:hAnsi="宋体" w:eastAsia="宋体" w:cs="宋体"/>
                <w:color w:val="auto"/>
                <w:sz w:val="21"/>
                <w:szCs w:val="21"/>
              </w:rPr>
              <w:t>中</w:t>
            </w:r>
            <w:r>
              <w:rPr>
                <w:rFonts w:hint="eastAsia" w:ascii="宋体" w:hAnsi="宋体" w:cs="宋体"/>
                <w:color w:val="auto"/>
                <w:sz w:val="21"/>
                <w:szCs w:val="21"/>
                <w:lang w:val="en-US" w:eastAsia="zh-CN"/>
              </w:rPr>
              <w:t>未作具体说明</w:t>
            </w:r>
            <w:r>
              <w:rPr>
                <w:rFonts w:hint="eastAsia" w:ascii="宋体" w:hAnsi="宋体" w:eastAsia="宋体" w:cs="宋体"/>
                <w:color w:val="auto"/>
                <w:sz w:val="21"/>
                <w:szCs w:val="21"/>
              </w:rPr>
              <w:t>。</w:t>
            </w:r>
          </w:p>
        </w:tc>
        <w:tc>
          <w:tcPr>
            <w:tcW w:w="813" w:type="pct"/>
            <w:tcBorders>
              <w:tl2br w:val="nil"/>
              <w:tr2bl w:val="nil"/>
            </w:tcBorders>
            <w:vAlign w:val="center"/>
          </w:tcPr>
          <w:p w14:paraId="7B36E572">
            <w:pPr>
              <w:spacing w:line="240" w:lineRule="auto"/>
              <w:ind w:left="0" w:leftChars="0" w:right="0" w:rightChars="0" w:firstLine="0" w:firstLineChars="0"/>
              <w:jc w:val="center"/>
              <w:rPr>
                <w:rFonts w:hint="eastAsia" w:ascii="宋体" w:hAnsi="宋体" w:eastAsia="宋体" w:cs="宋体"/>
                <w:color w:val="auto"/>
                <w:kern w:val="2"/>
                <w:sz w:val="21"/>
                <w:szCs w:val="21"/>
                <w:lang w:val="en-US" w:eastAsia="zh-CN" w:bidi="ar-SA"/>
              </w:rPr>
            </w:pPr>
            <w:r>
              <w:rPr>
                <w:rFonts w:hint="eastAsia" w:eastAsia="宋体" w:cs="宋体"/>
                <w:caps w:val="0"/>
                <w:color w:val="auto"/>
                <w:sz w:val="21"/>
                <w:szCs w:val="21"/>
                <w:shd w:val="clear" w:color="auto" w:fill="auto"/>
                <w:lang w:val="en-US" w:eastAsia="zh-CN"/>
              </w:rPr>
              <w:t>不符合</w:t>
            </w:r>
          </w:p>
        </w:tc>
      </w:tr>
      <w:tr w14:paraId="72C99C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271" w:type="pct"/>
            <w:tcBorders>
              <w:tl2br w:val="nil"/>
              <w:tr2bl w:val="nil"/>
            </w:tcBorders>
            <w:vAlign w:val="center"/>
          </w:tcPr>
          <w:p w14:paraId="52D6BBAF">
            <w:pPr>
              <w:numPr>
                <w:ilvl w:val="0"/>
                <w:numId w:val="59"/>
              </w:numPr>
              <w:spacing w:line="240" w:lineRule="auto"/>
              <w:ind w:left="0" w:leftChars="0" w:right="0" w:rightChars="0" w:firstLine="0" w:firstLineChars="0"/>
              <w:jc w:val="center"/>
              <w:rPr>
                <w:rFonts w:hint="eastAsia" w:asciiTheme="minorEastAsia" w:hAnsiTheme="minorEastAsia" w:eastAsiaTheme="minorEastAsia" w:cstheme="minorEastAsia"/>
                <w:b/>
                <w:bCs/>
                <w:color w:val="000000"/>
                <w:sz w:val="21"/>
                <w:szCs w:val="21"/>
                <w:lang w:val="en-US" w:eastAsia="zh-CN"/>
              </w:rPr>
            </w:pPr>
          </w:p>
        </w:tc>
        <w:tc>
          <w:tcPr>
            <w:tcW w:w="2087" w:type="pct"/>
            <w:tcBorders>
              <w:tl2br w:val="nil"/>
              <w:tr2bl w:val="nil"/>
            </w:tcBorders>
            <w:vAlign w:val="center"/>
          </w:tcPr>
          <w:p w14:paraId="18E80448">
            <w:pPr>
              <w:spacing w:line="240" w:lineRule="auto"/>
              <w:ind w:left="0" w:leftChars="0" w:right="0" w:rightChars="0" w:firstLine="0" w:firstLineChars="0"/>
              <w:jc w:val="both"/>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生产经营单位必须为从业人员提供符合国家标准或者行业标准的劳动防护用品，并监督、教育从业人员按照使用规则佩戴、使用。</w:t>
            </w:r>
          </w:p>
        </w:tc>
        <w:tc>
          <w:tcPr>
            <w:tcW w:w="947" w:type="pct"/>
            <w:tcBorders>
              <w:tl2br w:val="nil"/>
              <w:tr2bl w:val="nil"/>
            </w:tcBorders>
            <w:vAlign w:val="center"/>
          </w:tcPr>
          <w:p w14:paraId="1E6E6126">
            <w:pPr>
              <w:spacing w:line="240" w:lineRule="auto"/>
              <w:ind w:left="0" w:leftChars="0" w:right="0" w:rightChars="0" w:firstLine="0" w:firstLineChars="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《中华人民共和国安全生产法》</w:t>
            </w:r>
          </w:p>
          <w:p w14:paraId="22C2937B">
            <w:pPr>
              <w:spacing w:line="240" w:lineRule="auto"/>
              <w:ind w:left="0" w:leftChars="0" w:right="0" w:rightChars="0" w:firstLine="0" w:firstLineChars="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第四十五条</w:t>
            </w:r>
          </w:p>
        </w:tc>
        <w:tc>
          <w:tcPr>
            <w:tcW w:w="880" w:type="pct"/>
            <w:tcBorders>
              <w:tl2br w:val="nil"/>
              <w:tr2bl w:val="nil"/>
            </w:tcBorders>
            <w:vAlign w:val="center"/>
          </w:tcPr>
          <w:p w14:paraId="424EB4AE">
            <w:pPr>
              <w:spacing w:line="240" w:lineRule="auto"/>
              <w:ind w:left="0" w:leftChars="0" w:firstLine="0" w:firstLineChars="0"/>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初步设计</w:t>
            </w:r>
            <w:r>
              <w:rPr>
                <w:rFonts w:hint="eastAsia" w:ascii="宋体" w:hAnsi="宋体" w:eastAsia="宋体" w:cs="宋体"/>
                <w:color w:val="auto"/>
                <w:sz w:val="21"/>
                <w:szCs w:val="21"/>
              </w:rPr>
              <w:t>中</w:t>
            </w:r>
            <w:r>
              <w:rPr>
                <w:rFonts w:hint="eastAsia" w:ascii="宋体" w:hAnsi="宋体" w:cs="宋体"/>
                <w:color w:val="auto"/>
                <w:sz w:val="21"/>
                <w:szCs w:val="21"/>
                <w:lang w:val="en-US" w:eastAsia="zh-CN"/>
              </w:rPr>
              <w:t>未作具体说明</w:t>
            </w:r>
            <w:r>
              <w:rPr>
                <w:rFonts w:hint="eastAsia" w:ascii="宋体" w:hAnsi="宋体" w:eastAsia="宋体" w:cs="宋体"/>
                <w:color w:val="auto"/>
                <w:sz w:val="21"/>
                <w:szCs w:val="21"/>
              </w:rPr>
              <w:t>。</w:t>
            </w:r>
          </w:p>
        </w:tc>
        <w:tc>
          <w:tcPr>
            <w:tcW w:w="813" w:type="pct"/>
            <w:tcBorders>
              <w:tl2br w:val="nil"/>
              <w:tr2bl w:val="nil"/>
            </w:tcBorders>
            <w:vAlign w:val="center"/>
          </w:tcPr>
          <w:p w14:paraId="6B1C75C8">
            <w:pPr>
              <w:spacing w:line="240" w:lineRule="auto"/>
              <w:ind w:left="0" w:leftChars="0" w:right="0" w:rightChars="0" w:firstLine="0" w:firstLineChars="0"/>
              <w:jc w:val="center"/>
              <w:rPr>
                <w:rFonts w:hint="eastAsia" w:ascii="宋体" w:hAnsi="宋体" w:eastAsia="宋体" w:cs="宋体"/>
                <w:color w:val="auto"/>
                <w:kern w:val="2"/>
                <w:sz w:val="21"/>
                <w:szCs w:val="21"/>
                <w:lang w:val="en-US" w:eastAsia="zh-CN" w:bidi="ar-SA"/>
              </w:rPr>
            </w:pPr>
            <w:r>
              <w:rPr>
                <w:rFonts w:hint="eastAsia" w:eastAsia="宋体" w:cs="宋体"/>
                <w:caps w:val="0"/>
                <w:color w:val="auto"/>
                <w:sz w:val="21"/>
                <w:szCs w:val="21"/>
                <w:shd w:val="clear" w:color="auto" w:fill="auto"/>
                <w:lang w:val="en-US" w:eastAsia="zh-CN"/>
              </w:rPr>
              <w:t>不符合</w:t>
            </w:r>
          </w:p>
        </w:tc>
      </w:tr>
      <w:tr w14:paraId="05A79D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271" w:type="pct"/>
            <w:tcBorders>
              <w:tl2br w:val="nil"/>
              <w:tr2bl w:val="nil"/>
            </w:tcBorders>
            <w:vAlign w:val="center"/>
          </w:tcPr>
          <w:p w14:paraId="5E9CEB14">
            <w:pPr>
              <w:numPr>
                <w:ilvl w:val="0"/>
                <w:numId w:val="59"/>
              </w:numPr>
              <w:spacing w:line="240" w:lineRule="auto"/>
              <w:ind w:left="0" w:leftChars="0" w:right="0" w:rightChars="0" w:firstLine="0" w:firstLineChars="0"/>
              <w:jc w:val="center"/>
              <w:rPr>
                <w:rFonts w:hint="eastAsia" w:asciiTheme="minorEastAsia" w:hAnsiTheme="minorEastAsia" w:eastAsiaTheme="minorEastAsia" w:cstheme="minorEastAsia"/>
                <w:b/>
                <w:bCs/>
                <w:color w:val="000000"/>
                <w:sz w:val="21"/>
                <w:szCs w:val="21"/>
                <w:lang w:val="en-US" w:eastAsia="zh-CN"/>
              </w:rPr>
            </w:pPr>
          </w:p>
        </w:tc>
        <w:tc>
          <w:tcPr>
            <w:tcW w:w="2087" w:type="pct"/>
            <w:tcBorders>
              <w:tl2br w:val="nil"/>
              <w:tr2bl w:val="nil"/>
            </w:tcBorders>
            <w:vAlign w:val="center"/>
          </w:tcPr>
          <w:p w14:paraId="367EBC22">
            <w:pPr>
              <w:spacing w:line="240" w:lineRule="auto"/>
              <w:ind w:left="0" w:leftChars="0" w:right="0" w:rightChars="0" w:firstLine="0" w:firstLineChars="0"/>
              <w:jc w:val="both"/>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生产经营单位必须依法参加工伤保险，为从业人员缴纳保险费。</w:t>
            </w:r>
          </w:p>
        </w:tc>
        <w:tc>
          <w:tcPr>
            <w:tcW w:w="947" w:type="pct"/>
            <w:tcBorders>
              <w:tl2br w:val="nil"/>
              <w:tr2bl w:val="nil"/>
            </w:tcBorders>
            <w:vAlign w:val="center"/>
          </w:tcPr>
          <w:p w14:paraId="5C1EEF0C">
            <w:pPr>
              <w:spacing w:line="240" w:lineRule="auto"/>
              <w:ind w:left="0" w:leftChars="0" w:right="0" w:rightChars="0" w:firstLine="0" w:firstLineChars="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《中华人民共和国安全生产法》第五十一条</w:t>
            </w:r>
          </w:p>
        </w:tc>
        <w:tc>
          <w:tcPr>
            <w:tcW w:w="880" w:type="pct"/>
            <w:tcBorders>
              <w:tl2br w:val="nil"/>
              <w:tr2bl w:val="nil"/>
            </w:tcBorders>
            <w:vAlign w:val="center"/>
          </w:tcPr>
          <w:p w14:paraId="4167A73F">
            <w:pPr>
              <w:spacing w:line="240" w:lineRule="auto"/>
              <w:ind w:left="0" w:leftChars="0" w:firstLine="0" w:firstLineChars="0"/>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初步设计</w:t>
            </w:r>
            <w:r>
              <w:rPr>
                <w:rFonts w:hint="eastAsia" w:ascii="宋体" w:hAnsi="宋体" w:eastAsia="宋体" w:cs="宋体"/>
                <w:color w:val="auto"/>
                <w:sz w:val="21"/>
                <w:szCs w:val="21"/>
              </w:rPr>
              <w:t>中</w:t>
            </w:r>
            <w:r>
              <w:rPr>
                <w:rFonts w:hint="eastAsia" w:ascii="宋体" w:hAnsi="宋体" w:cs="宋体"/>
                <w:color w:val="auto"/>
                <w:sz w:val="21"/>
                <w:szCs w:val="21"/>
                <w:lang w:val="en-US" w:eastAsia="zh-CN"/>
              </w:rPr>
              <w:t>未作具体说明</w:t>
            </w:r>
            <w:r>
              <w:rPr>
                <w:rFonts w:hint="eastAsia" w:ascii="宋体" w:hAnsi="宋体" w:eastAsia="宋体" w:cs="宋体"/>
                <w:color w:val="auto"/>
                <w:sz w:val="21"/>
                <w:szCs w:val="21"/>
              </w:rPr>
              <w:t>。</w:t>
            </w:r>
          </w:p>
        </w:tc>
        <w:tc>
          <w:tcPr>
            <w:tcW w:w="813" w:type="pct"/>
            <w:tcBorders>
              <w:tl2br w:val="nil"/>
              <w:tr2bl w:val="nil"/>
            </w:tcBorders>
            <w:vAlign w:val="center"/>
          </w:tcPr>
          <w:p w14:paraId="609EE766">
            <w:pPr>
              <w:spacing w:line="240" w:lineRule="auto"/>
              <w:ind w:left="0" w:leftChars="0" w:right="0" w:rightChars="0" w:firstLine="0" w:firstLineChars="0"/>
              <w:jc w:val="center"/>
              <w:rPr>
                <w:rFonts w:hint="eastAsia" w:ascii="宋体" w:hAnsi="宋体" w:eastAsia="宋体" w:cs="宋体"/>
                <w:color w:val="auto"/>
                <w:kern w:val="2"/>
                <w:sz w:val="21"/>
                <w:szCs w:val="21"/>
                <w:lang w:val="en-US" w:eastAsia="zh-CN" w:bidi="ar-SA"/>
              </w:rPr>
            </w:pPr>
            <w:r>
              <w:rPr>
                <w:rFonts w:hint="eastAsia" w:eastAsia="宋体" w:cs="宋体"/>
                <w:caps w:val="0"/>
                <w:color w:val="auto"/>
                <w:sz w:val="21"/>
                <w:szCs w:val="21"/>
                <w:shd w:val="clear" w:color="auto" w:fill="auto"/>
                <w:lang w:val="en-US" w:eastAsia="zh-CN"/>
              </w:rPr>
              <w:t>不符合</w:t>
            </w:r>
          </w:p>
        </w:tc>
      </w:tr>
      <w:tr w14:paraId="460A88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271" w:type="pct"/>
            <w:tcBorders>
              <w:tl2br w:val="nil"/>
              <w:tr2bl w:val="nil"/>
            </w:tcBorders>
            <w:vAlign w:val="center"/>
          </w:tcPr>
          <w:p w14:paraId="06E6BAD1">
            <w:pPr>
              <w:numPr>
                <w:ilvl w:val="0"/>
                <w:numId w:val="59"/>
              </w:numPr>
              <w:spacing w:line="240" w:lineRule="auto"/>
              <w:ind w:left="0" w:leftChars="0" w:right="0" w:rightChars="0" w:firstLine="0" w:firstLineChars="0"/>
              <w:jc w:val="center"/>
              <w:rPr>
                <w:rFonts w:hint="eastAsia" w:asciiTheme="minorEastAsia" w:hAnsiTheme="minorEastAsia" w:eastAsiaTheme="minorEastAsia" w:cstheme="minorEastAsia"/>
                <w:b/>
                <w:bCs/>
                <w:color w:val="000000"/>
                <w:sz w:val="21"/>
                <w:szCs w:val="21"/>
                <w:lang w:val="en-US" w:eastAsia="zh-CN"/>
              </w:rPr>
            </w:pPr>
          </w:p>
        </w:tc>
        <w:tc>
          <w:tcPr>
            <w:tcW w:w="2087" w:type="pct"/>
            <w:tcBorders>
              <w:tl2br w:val="nil"/>
              <w:tr2bl w:val="nil"/>
            </w:tcBorders>
            <w:vAlign w:val="center"/>
          </w:tcPr>
          <w:p w14:paraId="6A54C8D9">
            <w:pPr>
              <w:spacing w:line="240" w:lineRule="auto"/>
              <w:ind w:left="0" w:leftChars="0" w:right="0" w:rightChars="0" w:firstLine="0" w:firstLineChars="0"/>
              <w:jc w:val="both"/>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生产经营单位应当制定本单位生产安全事故应急救援预案，与所在地县级以上地方人民政府组织制定的生产安全事故应急救援预案相衔接，并定期组织演练。</w:t>
            </w:r>
          </w:p>
        </w:tc>
        <w:tc>
          <w:tcPr>
            <w:tcW w:w="947" w:type="pct"/>
            <w:tcBorders>
              <w:tl2br w:val="nil"/>
              <w:tr2bl w:val="nil"/>
            </w:tcBorders>
            <w:vAlign w:val="center"/>
          </w:tcPr>
          <w:p w14:paraId="07F574AC">
            <w:pPr>
              <w:spacing w:line="240" w:lineRule="auto"/>
              <w:ind w:left="0" w:leftChars="0" w:right="0" w:rightChars="0" w:firstLine="0" w:firstLineChars="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《中华人民共和国安全生产法》</w:t>
            </w:r>
          </w:p>
          <w:p w14:paraId="48735A6A">
            <w:pPr>
              <w:spacing w:line="240" w:lineRule="auto"/>
              <w:ind w:left="0" w:leftChars="0" w:right="0" w:rightChars="0" w:firstLine="0" w:firstLineChars="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第八十一条</w:t>
            </w:r>
          </w:p>
        </w:tc>
        <w:tc>
          <w:tcPr>
            <w:tcW w:w="880" w:type="pct"/>
            <w:tcBorders>
              <w:tl2br w:val="nil"/>
              <w:tr2bl w:val="nil"/>
            </w:tcBorders>
            <w:vAlign w:val="center"/>
          </w:tcPr>
          <w:p w14:paraId="4B2ED57C">
            <w:pPr>
              <w:spacing w:line="240" w:lineRule="auto"/>
              <w:ind w:left="0" w:leftChars="0" w:firstLine="0" w:firstLineChars="0"/>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初步设计</w:t>
            </w:r>
            <w:r>
              <w:rPr>
                <w:rFonts w:hint="eastAsia" w:ascii="宋体" w:hAnsi="宋体" w:eastAsia="宋体" w:cs="宋体"/>
                <w:color w:val="auto"/>
                <w:sz w:val="21"/>
                <w:szCs w:val="21"/>
              </w:rPr>
              <w:t>中</w:t>
            </w:r>
            <w:r>
              <w:rPr>
                <w:rFonts w:hint="eastAsia" w:ascii="宋体" w:hAnsi="宋体" w:cs="宋体"/>
                <w:color w:val="auto"/>
                <w:sz w:val="21"/>
                <w:szCs w:val="21"/>
                <w:lang w:val="en-US" w:eastAsia="zh-CN"/>
              </w:rPr>
              <w:t>未作具体说明</w:t>
            </w:r>
            <w:r>
              <w:rPr>
                <w:rFonts w:hint="eastAsia" w:ascii="宋体" w:hAnsi="宋体" w:eastAsia="宋体" w:cs="宋体"/>
                <w:color w:val="auto"/>
                <w:sz w:val="21"/>
                <w:szCs w:val="21"/>
              </w:rPr>
              <w:t>。</w:t>
            </w:r>
          </w:p>
        </w:tc>
        <w:tc>
          <w:tcPr>
            <w:tcW w:w="813" w:type="pct"/>
            <w:tcBorders>
              <w:tl2br w:val="nil"/>
              <w:tr2bl w:val="nil"/>
            </w:tcBorders>
            <w:vAlign w:val="center"/>
          </w:tcPr>
          <w:p w14:paraId="1594F7B2">
            <w:pPr>
              <w:spacing w:line="240" w:lineRule="auto"/>
              <w:ind w:left="0" w:leftChars="0" w:right="0" w:rightChars="0" w:firstLine="0" w:firstLineChars="0"/>
              <w:jc w:val="center"/>
              <w:rPr>
                <w:rFonts w:hint="eastAsia" w:ascii="宋体" w:hAnsi="宋体" w:eastAsia="宋体" w:cs="宋体"/>
                <w:color w:val="auto"/>
                <w:kern w:val="2"/>
                <w:sz w:val="21"/>
                <w:szCs w:val="21"/>
                <w:lang w:val="en-US" w:eastAsia="zh-CN" w:bidi="ar-SA"/>
              </w:rPr>
            </w:pPr>
            <w:r>
              <w:rPr>
                <w:rFonts w:hint="eastAsia" w:eastAsia="宋体" w:cs="宋体"/>
                <w:caps w:val="0"/>
                <w:color w:val="auto"/>
                <w:sz w:val="21"/>
                <w:szCs w:val="21"/>
                <w:shd w:val="clear" w:color="auto" w:fill="auto"/>
                <w:lang w:val="en-US" w:eastAsia="zh-CN"/>
              </w:rPr>
              <w:t>不符合</w:t>
            </w:r>
          </w:p>
        </w:tc>
      </w:tr>
      <w:tr w14:paraId="68CD49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271" w:type="pct"/>
            <w:tcBorders>
              <w:tl2br w:val="nil"/>
              <w:tr2bl w:val="nil"/>
            </w:tcBorders>
            <w:vAlign w:val="center"/>
          </w:tcPr>
          <w:p w14:paraId="4E1740BE">
            <w:pPr>
              <w:numPr>
                <w:ilvl w:val="0"/>
                <w:numId w:val="59"/>
              </w:numPr>
              <w:spacing w:line="240" w:lineRule="auto"/>
              <w:ind w:left="0" w:leftChars="0" w:right="0" w:rightChars="0" w:firstLine="0" w:firstLineChars="0"/>
              <w:jc w:val="center"/>
              <w:rPr>
                <w:rFonts w:hint="eastAsia" w:asciiTheme="minorEastAsia" w:hAnsiTheme="minorEastAsia" w:eastAsiaTheme="minorEastAsia" w:cstheme="minorEastAsia"/>
                <w:b/>
                <w:bCs/>
                <w:color w:val="000000"/>
                <w:sz w:val="21"/>
                <w:szCs w:val="21"/>
                <w:lang w:val="en-US" w:eastAsia="zh-CN"/>
              </w:rPr>
            </w:pPr>
          </w:p>
        </w:tc>
        <w:tc>
          <w:tcPr>
            <w:tcW w:w="2087" w:type="pct"/>
            <w:tcBorders>
              <w:tl2br w:val="nil"/>
              <w:tr2bl w:val="nil"/>
            </w:tcBorders>
            <w:vAlign w:val="center"/>
          </w:tcPr>
          <w:p w14:paraId="4ABBD3D8">
            <w:pPr>
              <w:spacing w:line="240" w:lineRule="auto"/>
              <w:ind w:left="0" w:leftChars="0" w:right="0" w:rightChars="0" w:firstLine="0" w:firstLineChars="0"/>
              <w:jc w:val="both"/>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小型露天采石场应当制定应急救援预案，建立兼职救援队伍，明确救援人员的职责，并与邻近的矿山救护队或者其他具备救护条件的单位签订救护协议。发生生产安全事故时，应当立即组织抢救，并在1小时内向当地安全生产监督管理部门报告。</w:t>
            </w:r>
          </w:p>
        </w:tc>
        <w:tc>
          <w:tcPr>
            <w:tcW w:w="947" w:type="pct"/>
            <w:tcBorders>
              <w:tl2br w:val="nil"/>
              <w:tr2bl w:val="nil"/>
            </w:tcBorders>
            <w:vAlign w:val="center"/>
          </w:tcPr>
          <w:p w14:paraId="5E11A739">
            <w:pPr>
              <w:spacing w:line="240" w:lineRule="auto"/>
              <w:ind w:left="0" w:leftChars="0" w:right="0" w:rightChars="0" w:firstLine="0" w:firstLineChars="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《小型露天采石场安全管理与监督检查规定》</w:t>
            </w:r>
          </w:p>
          <w:p w14:paraId="51B73F2D">
            <w:pPr>
              <w:spacing w:line="240" w:lineRule="auto"/>
              <w:ind w:left="0" w:leftChars="0" w:right="0" w:rightChars="0" w:firstLine="0" w:firstLineChars="0"/>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第二十六条</w:t>
            </w:r>
          </w:p>
        </w:tc>
        <w:tc>
          <w:tcPr>
            <w:tcW w:w="880" w:type="pct"/>
            <w:tcBorders>
              <w:tl2br w:val="nil"/>
              <w:tr2bl w:val="nil"/>
            </w:tcBorders>
            <w:vAlign w:val="center"/>
          </w:tcPr>
          <w:p w14:paraId="72387FCA">
            <w:pPr>
              <w:spacing w:line="240" w:lineRule="auto"/>
              <w:ind w:left="0" w:leftChars="0" w:firstLine="0" w:firstLineChars="0"/>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初步设计</w:t>
            </w:r>
            <w:r>
              <w:rPr>
                <w:rFonts w:hint="eastAsia" w:ascii="宋体" w:hAnsi="宋体" w:eastAsia="宋体" w:cs="宋体"/>
                <w:color w:val="auto"/>
                <w:sz w:val="21"/>
                <w:szCs w:val="21"/>
              </w:rPr>
              <w:t>中</w:t>
            </w:r>
            <w:r>
              <w:rPr>
                <w:rFonts w:hint="eastAsia" w:ascii="宋体" w:hAnsi="宋体" w:cs="宋体"/>
                <w:color w:val="auto"/>
                <w:sz w:val="21"/>
                <w:szCs w:val="21"/>
                <w:lang w:val="en-US" w:eastAsia="zh-CN"/>
              </w:rPr>
              <w:t>未作具体说明</w:t>
            </w:r>
            <w:r>
              <w:rPr>
                <w:rFonts w:hint="eastAsia" w:ascii="宋体" w:hAnsi="宋体" w:eastAsia="宋体" w:cs="宋体"/>
                <w:color w:val="auto"/>
                <w:sz w:val="21"/>
                <w:szCs w:val="21"/>
              </w:rPr>
              <w:t>。</w:t>
            </w:r>
          </w:p>
        </w:tc>
        <w:tc>
          <w:tcPr>
            <w:tcW w:w="813" w:type="pct"/>
            <w:tcBorders>
              <w:tl2br w:val="nil"/>
              <w:tr2bl w:val="nil"/>
            </w:tcBorders>
            <w:vAlign w:val="center"/>
          </w:tcPr>
          <w:p w14:paraId="0DEBFE0E">
            <w:pPr>
              <w:spacing w:line="240" w:lineRule="auto"/>
              <w:ind w:left="0" w:leftChars="0" w:right="0" w:rightChars="0" w:firstLine="0" w:firstLineChars="0"/>
              <w:jc w:val="center"/>
              <w:rPr>
                <w:rFonts w:hint="eastAsia" w:ascii="宋体" w:hAnsi="宋体" w:eastAsia="宋体" w:cs="宋体"/>
                <w:color w:val="auto"/>
                <w:kern w:val="2"/>
                <w:sz w:val="21"/>
                <w:szCs w:val="21"/>
                <w:lang w:val="en-US" w:eastAsia="zh-CN" w:bidi="ar-SA"/>
              </w:rPr>
            </w:pPr>
            <w:r>
              <w:rPr>
                <w:rFonts w:hint="eastAsia" w:eastAsia="宋体" w:cs="宋体"/>
                <w:caps w:val="0"/>
                <w:color w:val="auto"/>
                <w:sz w:val="21"/>
                <w:szCs w:val="21"/>
                <w:shd w:val="clear" w:color="auto" w:fill="auto"/>
                <w:lang w:val="en-US" w:eastAsia="zh-CN"/>
              </w:rPr>
              <w:t>不符合</w:t>
            </w:r>
          </w:p>
        </w:tc>
      </w:tr>
      <w:bookmarkEnd w:id="212"/>
    </w:tbl>
    <w:p w14:paraId="2A9D20FF">
      <w:pPr>
        <w:pStyle w:val="4"/>
        <w:bidi w:val="0"/>
      </w:pPr>
      <w:bookmarkStart w:id="213" w:name="_Toc12262"/>
      <w:r>
        <w:rPr>
          <w:rFonts w:hint="eastAsia"/>
        </w:rPr>
        <w:t>《初步设计》评述</w:t>
      </w:r>
      <w:bookmarkEnd w:id="213"/>
    </w:p>
    <w:p w14:paraId="497E6541">
      <w:pPr>
        <w:bidi w:val="0"/>
        <w:rPr>
          <w:rFonts w:hint="eastAsia" w:ascii="宋体" w:hAnsi="宋体" w:eastAsia="宋体" w:cs="宋体"/>
          <w:lang w:eastAsia="zh-CN"/>
        </w:rPr>
      </w:pPr>
      <w:r>
        <w:rPr>
          <w:rFonts w:hint="eastAsia" w:ascii="宋体" w:hAnsi="宋体" w:eastAsia="宋体" w:cs="宋体"/>
          <w:lang w:eastAsia="zh-CN"/>
        </w:rPr>
        <w:t>《</w:t>
      </w:r>
      <w:r>
        <w:rPr>
          <w:rFonts w:hint="eastAsia" w:ascii="宋体" w:hAnsi="宋体" w:eastAsia="宋体" w:cs="宋体"/>
        </w:rPr>
        <w:t>初步设计</w:t>
      </w:r>
      <w:r>
        <w:rPr>
          <w:rFonts w:hint="eastAsia" w:ascii="宋体" w:hAnsi="宋体" w:eastAsia="宋体" w:cs="宋体"/>
          <w:lang w:eastAsia="zh-CN"/>
        </w:rPr>
        <w:t>》</w:t>
      </w:r>
      <w:r>
        <w:rPr>
          <w:rFonts w:hint="eastAsia" w:ascii="宋体" w:hAnsi="宋体" w:eastAsia="宋体" w:cs="宋体"/>
          <w:lang w:val="en-US" w:eastAsia="zh-CN"/>
        </w:rPr>
        <w:t>中未对安全管理内容</w:t>
      </w:r>
      <w:r>
        <w:rPr>
          <w:rFonts w:hint="eastAsia" w:ascii="宋体" w:hAnsi="宋体" w:cs="宋体"/>
          <w:lang w:val="en-US" w:eastAsia="zh-CN"/>
        </w:rPr>
        <w:t>做</w:t>
      </w:r>
      <w:r>
        <w:rPr>
          <w:rFonts w:hint="eastAsia" w:ascii="宋体" w:hAnsi="宋体" w:eastAsia="宋体" w:cs="宋体"/>
          <w:lang w:val="en-US" w:eastAsia="zh-CN"/>
        </w:rPr>
        <w:t>具体说明。</w:t>
      </w:r>
    </w:p>
    <w:p w14:paraId="2D2A1D2C">
      <w:pPr>
        <w:pStyle w:val="4"/>
        <w:bidi w:val="0"/>
        <w:rPr>
          <w:rFonts w:hint="eastAsia"/>
        </w:rPr>
      </w:pPr>
      <w:bookmarkStart w:id="214" w:name="_Toc12035"/>
      <w:bookmarkStart w:id="215" w:name="_Toc13673"/>
      <w:r>
        <w:rPr>
          <w:rFonts w:hint="eastAsia"/>
        </w:rPr>
        <w:t>单元小结</w:t>
      </w:r>
      <w:bookmarkEnd w:id="214"/>
      <w:bookmarkEnd w:id="215"/>
    </w:p>
    <w:p w14:paraId="3D15BAB1">
      <w:pPr>
        <w:bidi w:val="0"/>
      </w:pPr>
      <w:r>
        <w:rPr>
          <w:rFonts w:hint="eastAsia"/>
          <w:lang w:val="en-US" w:eastAsia="zh-CN"/>
        </w:rPr>
        <w:t>《初步设计》中未明确企业安全生产管理机构设置、人员持证情况；</w:t>
      </w:r>
      <w:r>
        <w:rPr>
          <w:rFonts w:hint="default"/>
          <w:lang w:val="en-US" w:eastAsia="zh-CN"/>
        </w:rPr>
        <w:t>安全生产责任制</w:t>
      </w:r>
      <w:r>
        <w:rPr>
          <w:rFonts w:hint="eastAsia"/>
          <w:lang w:val="en-US" w:eastAsia="zh-CN"/>
        </w:rPr>
        <w:t>、</w:t>
      </w:r>
      <w:r>
        <w:rPr>
          <w:rFonts w:hint="default"/>
          <w:lang w:val="en-US" w:eastAsia="zh-CN"/>
        </w:rPr>
        <w:t>安全管理制度</w:t>
      </w:r>
      <w:r>
        <w:rPr>
          <w:rFonts w:hint="eastAsia"/>
          <w:lang w:val="en-US" w:eastAsia="zh-CN"/>
        </w:rPr>
        <w:t>、</w:t>
      </w:r>
      <w:r>
        <w:rPr>
          <w:rFonts w:hint="default"/>
          <w:lang w:val="en-US" w:eastAsia="zh-CN"/>
        </w:rPr>
        <w:t>安全操作规程</w:t>
      </w:r>
      <w:r>
        <w:rPr>
          <w:rFonts w:hint="eastAsia"/>
          <w:lang w:val="en-US" w:eastAsia="zh-CN"/>
        </w:rPr>
        <w:t>建立；特种作业人员培训取证情况；从业人员安全教育培训情况；</w:t>
      </w:r>
      <w:r>
        <w:rPr>
          <w:rFonts w:hint="default"/>
          <w:lang w:val="en-US" w:eastAsia="zh-CN"/>
        </w:rPr>
        <w:t>工伤保险</w:t>
      </w:r>
      <w:r>
        <w:rPr>
          <w:rFonts w:hint="eastAsia"/>
          <w:lang w:val="en-US" w:eastAsia="zh-CN"/>
        </w:rPr>
        <w:t>；应急救援预案；个人安全防护，以及</w:t>
      </w:r>
      <w:r>
        <w:rPr>
          <w:rFonts w:hint="eastAsia"/>
          <w:lang w:eastAsia="zh-CN"/>
        </w:rPr>
        <w:t>专用安全设施</w:t>
      </w:r>
      <w:r>
        <w:t>投资</w:t>
      </w:r>
      <w:r>
        <w:rPr>
          <w:rFonts w:hint="eastAsia"/>
          <w:lang w:val="en-US"/>
        </w:rPr>
        <w:t>内容</w:t>
      </w:r>
      <w:r>
        <w:rPr>
          <w:rFonts w:hint="eastAsia"/>
          <w:lang w:val="en-US" w:eastAsia="zh-CN"/>
        </w:rPr>
        <w:t>和金额等相关内容，不符合《中华人民共和国安全生产法》相关要求。</w:t>
      </w:r>
    </w:p>
    <w:p w14:paraId="1244F005">
      <w:pPr>
        <w:pStyle w:val="3"/>
        <w:bidi w:val="0"/>
      </w:pPr>
      <w:bookmarkStart w:id="216" w:name="_Toc20321"/>
      <w:r>
        <w:rPr>
          <w:rFonts w:hint="eastAsia"/>
        </w:rPr>
        <w:t>重大危险源辨识单元</w:t>
      </w:r>
      <w:bookmarkEnd w:id="216"/>
    </w:p>
    <w:p w14:paraId="053AC07F">
      <w:pPr>
        <w:bidi w:val="0"/>
        <w:rPr>
          <w:color w:val="auto"/>
        </w:rPr>
      </w:pPr>
      <w:r>
        <w:rPr>
          <w:rFonts w:hint="eastAsia"/>
          <w:color w:val="auto"/>
          <w:lang w:val="en-US" w:eastAsia="zh-CN"/>
        </w:rPr>
        <w:t>重大危险源是指长期或临时生产、加工、搬运、使用或储存危险物质，且危险物质的数量等于或超过临界量的单元均为重大危险源。</w:t>
      </w:r>
    </w:p>
    <w:p w14:paraId="361741CD">
      <w:pPr>
        <w:keepNext w:val="0"/>
        <w:keepLines w:val="0"/>
        <w:widowControl/>
        <w:suppressLineNumbers w:val="0"/>
        <w:jc w:val="left"/>
        <w:rPr>
          <w:color w:val="auto"/>
        </w:rPr>
      </w:pPr>
      <w:r>
        <w:rPr>
          <w:rFonts w:hint="eastAsia" w:ascii="宋体" w:hAnsi="宋体" w:eastAsia="宋体" w:cs="宋体"/>
          <w:color w:val="auto"/>
          <w:kern w:val="0"/>
          <w:sz w:val="28"/>
          <w:szCs w:val="28"/>
          <w:lang w:val="en-US" w:eastAsia="zh-CN" w:bidi="ar"/>
        </w:rPr>
        <w:t>根据《危险化学品重大危险源辨识》</w:t>
      </w:r>
      <w:r>
        <w:rPr>
          <w:rFonts w:hint="eastAsia" w:ascii="宋体" w:hAnsi="宋体" w:cs="宋体"/>
          <w:color w:val="auto"/>
          <w:kern w:val="0"/>
          <w:sz w:val="28"/>
          <w:szCs w:val="28"/>
          <w:lang w:val="en-US" w:eastAsia="zh-CN" w:bidi="ar"/>
        </w:rPr>
        <w:t>（</w:t>
      </w:r>
      <w:r>
        <w:rPr>
          <w:rFonts w:hint="eastAsia" w:ascii="宋体" w:hAnsi="宋体" w:eastAsia="宋体" w:cs="宋体"/>
          <w:color w:val="auto"/>
          <w:kern w:val="0"/>
          <w:sz w:val="28"/>
          <w:szCs w:val="28"/>
          <w:lang w:val="en-US" w:eastAsia="zh-CN" w:bidi="ar"/>
        </w:rPr>
        <w:t>GB18218-2018</w:t>
      </w:r>
      <w:r>
        <w:rPr>
          <w:rFonts w:hint="eastAsia" w:ascii="宋体" w:hAnsi="宋体" w:cs="宋体"/>
          <w:color w:val="auto"/>
          <w:kern w:val="0"/>
          <w:sz w:val="28"/>
          <w:szCs w:val="28"/>
          <w:lang w:val="en-US" w:eastAsia="zh-CN" w:bidi="ar"/>
        </w:rPr>
        <w:t>）</w:t>
      </w:r>
      <w:r>
        <w:rPr>
          <w:rFonts w:hint="eastAsia" w:ascii="宋体" w:hAnsi="宋体" w:eastAsia="宋体" w:cs="宋体"/>
          <w:color w:val="auto"/>
          <w:kern w:val="0"/>
          <w:sz w:val="28"/>
          <w:szCs w:val="28"/>
          <w:lang w:val="en-US" w:eastAsia="zh-CN" w:bidi="ar"/>
        </w:rPr>
        <w:t xml:space="preserve">的相关规定对本项目进行重大危险源辨识： </w:t>
      </w:r>
    </w:p>
    <w:p w14:paraId="0F7D0A36">
      <w:pPr>
        <w:keepNext w:val="0"/>
        <w:keepLines w:val="0"/>
        <w:widowControl/>
        <w:suppressLineNumbers w:val="0"/>
        <w:jc w:val="left"/>
        <w:rPr>
          <w:color w:val="auto"/>
        </w:rPr>
      </w:pPr>
      <w:r>
        <w:rPr>
          <w:rFonts w:hint="eastAsia" w:ascii="宋体" w:hAnsi="宋体" w:eastAsia="宋体" w:cs="宋体"/>
          <w:color w:val="auto"/>
          <w:kern w:val="0"/>
          <w:sz w:val="28"/>
          <w:szCs w:val="28"/>
          <w:lang w:val="en-US" w:eastAsia="zh-CN" w:bidi="ar"/>
        </w:rPr>
        <w:t xml:space="preserve">1．露天矿山不属于重大危险源申报范围； </w:t>
      </w:r>
    </w:p>
    <w:p w14:paraId="6CA97F0C">
      <w:pPr>
        <w:keepNext w:val="0"/>
        <w:keepLines w:val="0"/>
        <w:widowControl/>
        <w:suppressLineNumbers w:val="0"/>
        <w:jc w:val="left"/>
        <w:rPr>
          <w:color w:val="auto"/>
        </w:rPr>
      </w:pPr>
      <w:r>
        <w:rPr>
          <w:rFonts w:hint="eastAsia" w:ascii="宋体" w:hAnsi="宋体" w:eastAsia="宋体" w:cs="宋体"/>
          <w:color w:val="auto"/>
          <w:kern w:val="0"/>
          <w:sz w:val="28"/>
          <w:szCs w:val="28"/>
          <w:lang w:val="en-US" w:eastAsia="zh-CN" w:bidi="ar"/>
        </w:rPr>
        <w:t xml:space="preserve">2．设计该矿山不进行爆破作业。 </w:t>
      </w:r>
    </w:p>
    <w:p w14:paraId="3F291B72">
      <w:pPr>
        <w:keepNext w:val="0"/>
        <w:keepLines w:val="0"/>
        <w:widowControl/>
        <w:suppressLineNumbers w:val="0"/>
        <w:jc w:val="left"/>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综上所述，该矿山露天开采过程中，不存在重大危险源。</w:t>
      </w:r>
    </w:p>
    <w:p w14:paraId="62D307F7">
      <w:pPr>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br w:type="page"/>
      </w:r>
    </w:p>
    <w:p w14:paraId="6759475C">
      <w:pPr>
        <w:pStyle w:val="2"/>
        <w:bidi w:val="0"/>
      </w:pPr>
      <w:bookmarkStart w:id="217" w:name="_Toc6492"/>
      <w:r>
        <w:t>安全对策措施及建议</w:t>
      </w:r>
      <w:bookmarkEnd w:id="217"/>
    </w:p>
    <w:p w14:paraId="21FBE9DB">
      <w:pPr>
        <w:pStyle w:val="3"/>
        <w:bidi w:val="0"/>
      </w:pPr>
      <w:bookmarkStart w:id="218" w:name="_Toc28055"/>
      <w:r>
        <w:rPr>
          <w:rFonts w:hint="eastAsia"/>
        </w:rPr>
        <w:t>安全对策措施建议的主要原则</w:t>
      </w:r>
      <w:bookmarkEnd w:id="218"/>
    </w:p>
    <w:p w14:paraId="179977BA">
      <w:pPr>
        <w:pStyle w:val="4"/>
        <w:bidi w:val="0"/>
      </w:pPr>
      <w:bookmarkStart w:id="219" w:name="_Toc13"/>
      <w:bookmarkStart w:id="220" w:name="_Toc27686"/>
      <w:bookmarkStart w:id="221" w:name="_Toc469561320"/>
      <w:r>
        <w:rPr>
          <w:rFonts w:hint="eastAsia"/>
        </w:rPr>
        <w:t>安全对策措施的基本要求</w:t>
      </w:r>
      <w:bookmarkEnd w:id="219"/>
      <w:bookmarkEnd w:id="220"/>
      <w:bookmarkEnd w:id="221"/>
    </w:p>
    <w:p w14:paraId="7137197D">
      <w:pPr>
        <w:numPr>
          <w:ilvl w:val="0"/>
          <w:numId w:val="60"/>
        </w:numPr>
        <w:bidi w:val="0"/>
        <w:rPr>
          <w:rFonts w:hint="eastAsia"/>
        </w:rPr>
      </w:pPr>
      <w:r>
        <w:rPr>
          <w:rFonts w:hint="eastAsia"/>
        </w:rPr>
        <w:t xml:space="preserve">能消除或减弱生产过程中产生的危险、有害因素； </w:t>
      </w:r>
    </w:p>
    <w:p w14:paraId="3D8E1DDC">
      <w:pPr>
        <w:numPr>
          <w:ilvl w:val="0"/>
          <w:numId w:val="60"/>
        </w:numPr>
        <w:bidi w:val="0"/>
        <w:rPr>
          <w:rFonts w:hint="eastAsia"/>
        </w:rPr>
      </w:pPr>
      <w:r>
        <w:rPr>
          <w:rFonts w:hint="eastAsia"/>
        </w:rPr>
        <w:t>处置危险和有害物质，使其降低到国家规定的限值内；</w:t>
      </w:r>
    </w:p>
    <w:p w14:paraId="0274572F">
      <w:pPr>
        <w:numPr>
          <w:ilvl w:val="0"/>
          <w:numId w:val="60"/>
        </w:numPr>
        <w:bidi w:val="0"/>
        <w:rPr>
          <w:rFonts w:hint="eastAsia"/>
        </w:rPr>
      </w:pPr>
      <w:r>
        <w:rPr>
          <w:rFonts w:hint="eastAsia"/>
        </w:rPr>
        <w:t>预防生产装置失灵和操作失误产生的危险、危害；</w:t>
      </w:r>
    </w:p>
    <w:p w14:paraId="2D769616">
      <w:pPr>
        <w:numPr>
          <w:ilvl w:val="0"/>
          <w:numId w:val="60"/>
        </w:numPr>
        <w:bidi w:val="0"/>
        <w:rPr>
          <w:rFonts w:hint="eastAsia"/>
        </w:rPr>
      </w:pPr>
      <w:r>
        <w:rPr>
          <w:rFonts w:hint="eastAsia"/>
        </w:rPr>
        <w:t>能有效地预防重大事故和职业病危害的发生；</w:t>
      </w:r>
    </w:p>
    <w:p w14:paraId="272C55D4">
      <w:pPr>
        <w:numPr>
          <w:ilvl w:val="0"/>
          <w:numId w:val="60"/>
        </w:numPr>
        <w:bidi w:val="0"/>
        <w:rPr>
          <w:rFonts w:hint="eastAsia"/>
        </w:rPr>
      </w:pPr>
      <w:r>
        <w:rPr>
          <w:rFonts w:hint="eastAsia"/>
        </w:rPr>
        <w:t>发生意外事故时，能为遇险人员提供自救和互救条件。</w:t>
      </w:r>
    </w:p>
    <w:p w14:paraId="5F1922DC">
      <w:pPr>
        <w:pStyle w:val="4"/>
        <w:bidi w:val="0"/>
      </w:pPr>
      <w:bookmarkStart w:id="222" w:name="_Toc27176"/>
      <w:bookmarkStart w:id="223" w:name="_Toc21023"/>
      <w:bookmarkStart w:id="224" w:name="_Toc469561321"/>
      <w:r>
        <w:rPr>
          <w:rFonts w:hint="eastAsia"/>
        </w:rPr>
        <w:t>制定安全对策措施建议的原则</w:t>
      </w:r>
      <w:bookmarkEnd w:id="222"/>
      <w:bookmarkEnd w:id="223"/>
      <w:bookmarkEnd w:id="224"/>
    </w:p>
    <w:p w14:paraId="35E7F7D3">
      <w:pPr>
        <w:numPr>
          <w:ilvl w:val="0"/>
          <w:numId w:val="61"/>
        </w:numPr>
        <w:bidi w:val="0"/>
        <w:rPr>
          <w:rFonts w:hint="eastAsia"/>
        </w:rPr>
      </w:pPr>
      <w:r>
        <w:rPr>
          <w:rFonts w:hint="eastAsia"/>
        </w:rPr>
        <w:t>当安全对策措施建议与经济效益发生矛盾时，应优先考虑安全对策措施建议的要求；</w:t>
      </w:r>
    </w:p>
    <w:p w14:paraId="1AA02DB6">
      <w:pPr>
        <w:numPr>
          <w:ilvl w:val="0"/>
          <w:numId w:val="61"/>
        </w:numPr>
        <w:bidi w:val="0"/>
        <w:rPr>
          <w:rFonts w:hint="eastAsia"/>
        </w:rPr>
      </w:pPr>
      <w:r>
        <w:rPr>
          <w:rFonts w:hint="eastAsia"/>
        </w:rPr>
        <w:t>确定安全对策措施建议等级顺序要求的具体原则为：消除、预防、减弱、隔离、联锁、警告；</w:t>
      </w:r>
    </w:p>
    <w:p w14:paraId="2CA71A9E">
      <w:pPr>
        <w:numPr>
          <w:ilvl w:val="0"/>
          <w:numId w:val="61"/>
        </w:numPr>
        <w:bidi w:val="0"/>
        <w:rPr>
          <w:rFonts w:hint="eastAsia"/>
        </w:rPr>
      </w:pPr>
      <w:r>
        <w:rPr>
          <w:rFonts w:hint="eastAsia"/>
        </w:rPr>
        <w:t>安全对策措施建议应具有针对性、可操作性和经济合理性；</w:t>
      </w:r>
    </w:p>
    <w:p w14:paraId="37EC5D85">
      <w:pPr>
        <w:numPr>
          <w:ilvl w:val="0"/>
          <w:numId w:val="61"/>
        </w:numPr>
        <w:bidi w:val="0"/>
        <w:rPr>
          <w:rFonts w:hint="eastAsia"/>
        </w:rPr>
      </w:pPr>
      <w:r>
        <w:rPr>
          <w:rFonts w:hint="eastAsia"/>
        </w:rPr>
        <w:t>安全对策措施建议应符合国家有关</w:t>
      </w:r>
      <w:r>
        <w:rPr>
          <w:rFonts w:hint="eastAsia"/>
          <w:lang w:eastAsia="zh-CN"/>
        </w:rPr>
        <w:t>法律法规</w:t>
      </w:r>
      <w:r>
        <w:rPr>
          <w:rFonts w:hint="eastAsia"/>
        </w:rPr>
        <w:t>、标准、规范和行业标准的要求。</w:t>
      </w:r>
    </w:p>
    <w:p w14:paraId="54C1C9D2">
      <w:pPr>
        <w:pStyle w:val="3"/>
        <w:bidi w:val="0"/>
      </w:pPr>
      <w:bookmarkStart w:id="225" w:name="_Toc6804"/>
      <w:bookmarkStart w:id="226" w:name="_Toc151109529"/>
      <w:bookmarkStart w:id="227" w:name="_Toc238440500"/>
      <w:bookmarkStart w:id="228" w:name="_Toc153175802"/>
      <w:bookmarkStart w:id="229" w:name="_Toc105675891"/>
      <w:bookmarkStart w:id="230" w:name="_Toc105675411"/>
      <w:bookmarkStart w:id="231" w:name="_Toc105730657"/>
      <w:bookmarkStart w:id="232" w:name="_Toc151109138"/>
      <w:bookmarkStart w:id="233" w:name="_Toc105676292"/>
      <w:bookmarkStart w:id="234" w:name="_Toc8192"/>
      <w:r>
        <w:rPr>
          <w:rFonts w:hint="eastAsia"/>
          <w:lang w:eastAsia="zh-CN"/>
        </w:rPr>
        <w:t>《</w:t>
      </w:r>
      <w:r>
        <w:rPr>
          <w:rFonts w:hint="eastAsia"/>
        </w:rPr>
        <w:t>初步设计</w:t>
      </w:r>
      <w:r>
        <w:rPr>
          <w:rFonts w:hint="eastAsia"/>
          <w:lang w:eastAsia="zh-CN"/>
        </w:rPr>
        <w:t>》</w:t>
      </w:r>
      <w:r>
        <w:rPr>
          <w:rFonts w:hint="eastAsia"/>
        </w:rPr>
        <w:t>中提出的</w:t>
      </w:r>
      <w:r>
        <w:rPr>
          <w:rFonts w:hint="eastAsia"/>
          <w:lang w:val="en-US" w:eastAsia="zh-CN"/>
        </w:rPr>
        <w:t>对策措施及建议</w:t>
      </w:r>
      <w:bookmarkEnd w:id="225"/>
    </w:p>
    <w:p w14:paraId="56B42053">
      <w:pPr>
        <w:numPr>
          <w:ilvl w:val="0"/>
          <w:numId w:val="62"/>
        </w:numPr>
        <w:adjustRightInd w:val="0"/>
        <w:snapToGrid w:val="0"/>
        <w:spacing w:line="360" w:lineRule="auto"/>
        <w:ind w:firstLine="560" w:firstLineChars="200"/>
        <w:rPr>
          <w:rFonts w:hint="eastAsia" w:ascii="宋体" w:hAnsi="宋体" w:eastAsia="宋体" w:cs="宋体"/>
          <w:color w:val="auto"/>
          <w:sz w:val="28"/>
        </w:rPr>
      </w:pPr>
      <w:bookmarkStart w:id="235" w:name="_Toc261521835"/>
      <w:bookmarkStart w:id="236" w:name="_Toc5519"/>
      <w:r>
        <w:rPr>
          <w:rFonts w:hint="eastAsia" w:ascii="宋体" w:hAnsi="宋体" w:eastAsia="宋体" w:cs="宋体"/>
          <w:color w:val="auto"/>
          <w:sz w:val="28"/>
        </w:rPr>
        <w:t>为了提高矿山资源的可靠性，建议在今后矿山开采中，切实做好地质资料的编录工作，以更好的指导今后生产。</w:t>
      </w:r>
    </w:p>
    <w:p w14:paraId="3D2762E8">
      <w:pPr>
        <w:numPr>
          <w:ilvl w:val="0"/>
          <w:numId w:val="62"/>
        </w:numPr>
        <w:adjustRightInd w:val="0"/>
        <w:snapToGrid w:val="0"/>
        <w:spacing w:line="360" w:lineRule="auto"/>
        <w:ind w:firstLine="560" w:firstLineChars="200"/>
        <w:rPr>
          <w:rFonts w:hint="eastAsia" w:ascii="宋体" w:hAnsi="宋体" w:eastAsia="宋体" w:cs="宋体"/>
          <w:color w:val="auto"/>
          <w:sz w:val="28"/>
        </w:rPr>
      </w:pPr>
      <w:r>
        <w:rPr>
          <w:rFonts w:hint="eastAsia" w:ascii="宋体" w:hAnsi="宋体" w:eastAsia="宋体" w:cs="宋体"/>
          <w:color w:val="auto"/>
          <w:sz w:val="28"/>
        </w:rPr>
        <w:t>矿区开采后破坏了原来的地形及植被，会诱发表层松散土体形成滑坡和崩塌，应在生产中加强矿区周围的绿化，在闭矿后做好采空区的复垦及绿化，以及矿区地灾防治工作。</w:t>
      </w:r>
    </w:p>
    <w:p w14:paraId="7429DC47">
      <w:pPr>
        <w:numPr>
          <w:ilvl w:val="0"/>
          <w:numId w:val="62"/>
        </w:numPr>
        <w:adjustRightInd w:val="0"/>
        <w:snapToGrid w:val="0"/>
        <w:spacing w:line="360" w:lineRule="auto"/>
        <w:ind w:firstLine="560" w:firstLineChars="200"/>
        <w:rPr>
          <w:rFonts w:hint="eastAsia" w:ascii="宋体" w:hAnsi="宋体" w:eastAsia="宋体" w:cs="宋体"/>
          <w:color w:val="auto"/>
          <w:sz w:val="28"/>
        </w:rPr>
      </w:pPr>
      <w:r>
        <w:rPr>
          <w:rFonts w:hint="eastAsia" w:ascii="宋体" w:hAnsi="宋体" w:eastAsia="宋体" w:cs="宋体"/>
          <w:color w:val="auto"/>
          <w:sz w:val="28"/>
        </w:rPr>
        <w:t>开采作业中产生扬尘较大时建议采取洒水降尘措施，以减少扬尘，降低污染程度。</w:t>
      </w:r>
    </w:p>
    <w:p w14:paraId="32AA177F">
      <w:pPr>
        <w:numPr>
          <w:ilvl w:val="0"/>
          <w:numId w:val="62"/>
        </w:numPr>
        <w:adjustRightInd w:val="0"/>
        <w:snapToGrid w:val="0"/>
        <w:spacing w:line="360" w:lineRule="auto"/>
        <w:ind w:firstLine="560" w:firstLineChars="200"/>
        <w:rPr>
          <w:rFonts w:hint="eastAsia" w:ascii="宋体" w:hAnsi="宋体" w:eastAsia="宋体" w:cs="宋体"/>
          <w:color w:val="auto"/>
          <w:sz w:val="28"/>
        </w:rPr>
      </w:pPr>
      <w:r>
        <w:rPr>
          <w:rFonts w:hint="eastAsia" w:ascii="宋体" w:hAnsi="宋体" w:eastAsia="宋体" w:cs="宋体"/>
          <w:color w:val="auto"/>
          <w:sz w:val="28"/>
        </w:rPr>
        <w:t>矿山开采过程中应设专职安全巡视、检查员，对工作面及已开采边坡进行巡视、监测，发现不稳定岩体及时进行处理，确保生产管理人员及设备安全。</w:t>
      </w:r>
    </w:p>
    <w:p w14:paraId="46857F6E">
      <w:pPr>
        <w:numPr>
          <w:ilvl w:val="0"/>
          <w:numId w:val="62"/>
        </w:numPr>
        <w:adjustRightInd w:val="0"/>
        <w:snapToGrid w:val="0"/>
        <w:spacing w:line="360" w:lineRule="auto"/>
        <w:ind w:firstLine="560" w:firstLineChars="200"/>
        <w:rPr>
          <w:rFonts w:hint="eastAsia" w:ascii="宋体" w:hAnsi="宋体" w:eastAsia="宋体" w:cs="宋体"/>
          <w:color w:val="auto"/>
          <w:sz w:val="28"/>
        </w:rPr>
      </w:pPr>
      <w:r>
        <w:rPr>
          <w:rFonts w:hint="eastAsia" w:ascii="宋体" w:hAnsi="宋体" w:eastAsia="宋体" w:cs="宋体"/>
          <w:color w:val="auto"/>
          <w:sz w:val="28"/>
        </w:rPr>
        <w:t>及时做好矿区范围的复垦绿化工作，对矿区建（构）筑物周围及采场已开挖到最终境界的边坡要及时恢复植被造林，重视地质环境和生态环境的保护工作，尽量减小工程活动对地质环境的影响和破坏。进行植被、种草或开辟耕地，改变和促进矿区生态环境和地质环境向良性循环发展，尽可能地制造自然环境与矿山建设工程完美结合，协调发展，建设环保型矿山。</w:t>
      </w:r>
    </w:p>
    <w:p w14:paraId="11AADD2D">
      <w:pPr>
        <w:numPr>
          <w:ilvl w:val="0"/>
          <w:numId w:val="62"/>
        </w:numPr>
        <w:adjustRightInd w:val="0"/>
        <w:snapToGrid w:val="0"/>
        <w:spacing w:line="360" w:lineRule="auto"/>
        <w:ind w:firstLine="560" w:firstLineChars="200"/>
        <w:rPr>
          <w:rFonts w:hint="eastAsia" w:ascii="宋体" w:hAnsi="宋体" w:eastAsia="宋体" w:cs="宋体"/>
          <w:color w:val="auto"/>
          <w:sz w:val="28"/>
        </w:rPr>
      </w:pPr>
      <w:r>
        <w:rPr>
          <w:rFonts w:hint="eastAsia" w:ascii="宋体" w:hAnsi="宋体" w:eastAsia="宋体" w:cs="宋体"/>
          <w:color w:val="auto"/>
          <w:sz w:val="28"/>
        </w:rPr>
        <w:t>矿山在开采过程中，应</w:t>
      </w:r>
      <w:r>
        <w:rPr>
          <w:rFonts w:hint="eastAsia" w:ascii="宋体" w:hAnsi="宋体" w:eastAsia="宋体" w:cs="宋体"/>
          <w:color w:val="auto"/>
          <w:sz w:val="28"/>
          <w:lang w:eastAsia="zh-CN"/>
        </w:rPr>
        <w:t>严格</w:t>
      </w:r>
      <w:r>
        <w:rPr>
          <w:rFonts w:hint="eastAsia" w:ascii="宋体" w:hAnsi="宋体" w:eastAsia="宋体" w:cs="宋体"/>
          <w:color w:val="auto"/>
          <w:sz w:val="28"/>
        </w:rPr>
        <w:t>按照设计要求进行开采，禁止形成高陡边坡，严禁掏采。</w:t>
      </w:r>
    </w:p>
    <w:bookmarkEnd w:id="235"/>
    <w:bookmarkEnd w:id="236"/>
    <w:p w14:paraId="3D0D8F01">
      <w:pPr>
        <w:pStyle w:val="3"/>
        <w:bidi w:val="0"/>
      </w:pPr>
      <w:bookmarkStart w:id="237" w:name="_Toc899"/>
      <w:r>
        <w:rPr>
          <w:rFonts w:hint="eastAsia"/>
          <w:lang w:val="en-US" w:eastAsia="zh-CN"/>
        </w:rPr>
        <w:t>《初步设计》中存在的不足</w:t>
      </w:r>
      <w:bookmarkEnd w:id="237"/>
    </w:p>
    <w:p w14:paraId="369FF13D">
      <w:pPr>
        <w:bidi w:val="0"/>
        <w:rPr>
          <w:rFonts w:hint="eastAsia" w:ascii="宋体" w:hAnsi="宋体" w:eastAsia="宋体" w:cs="宋体"/>
        </w:rPr>
      </w:pPr>
      <w:r>
        <w:rPr>
          <w:rFonts w:hint="eastAsia" w:ascii="宋体" w:hAnsi="宋体" w:eastAsia="宋体" w:cs="宋体"/>
        </w:rPr>
        <w:t>根据《金属非金属矿山安全规程》（GB 16423-2020）、《小型露天</w:t>
      </w:r>
      <w:r>
        <w:rPr>
          <w:rFonts w:hint="eastAsia" w:ascii="宋体" w:hAnsi="宋体" w:eastAsia="宋体" w:cs="宋体"/>
          <w:lang w:eastAsia="zh-CN"/>
        </w:rPr>
        <w:t>采石场</w:t>
      </w:r>
      <w:r>
        <w:rPr>
          <w:rFonts w:hint="eastAsia" w:ascii="宋体" w:hAnsi="宋体" w:eastAsia="宋体" w:cs="宋体"/>
        </w:rPr>
        <w:t>安全管理与监督检查规定》（</w:t>
      </w:r>
      <w:r>
        <w:rPr>
          <w:rFonts w:hint="eastAsia" w:ascii="宋体" w:hAnsi="宋体" w:eastAsia="宋体" w:cs="宋体"/>
          <w:lang w:val="en-US" w:eastAsia="zh-CN"/>
        </w:rPr>
        <w:t>原</w:t>
      </w:r>
      <w:r>
        <w:rPr>
          <w:rFonts w:hint="eastAsia" w:ascii="宋体" w:hAnsi="宋体" w:eastAsia="宋体" w:cs="宋体"/>
        </w:rPr>
        <w:t>国家安全生产监督管理总局令第78号修改）等规范要求，提出如下问题及建议：</w:t>
      </w:r>
    </w:p>
    <w:p w14:paraId="32AA00E5">
      <w:pPr>
        <w:numPr>
          <w:ilvl w:val="0"/>
          <w:numId w:val="63"/>
        </w:numPr>
        <w:bidi w:val="0"/>
        <w:ind w:left="0" w:leftChars="0" w:firstLine="560" w:firstLineChars="200"/>
        <w:rPr>
          <w:rFonts w:hint="eastAsia" w:ascii="Times New Roman" w:hAnsi="Times New Roman" w:cs="Times New Roman"/>
          <w:lang w:val="en-US" w:eastAsia="zh-CN"/>
        </w:rPr>
      </w:pPr>
      <w:r>
        <w:rPr>
          <w:rFonts w:hint="eastAsia" w:ascii="Times New Roman" w:hAnsi="Times New Roman" w:cs="Times New Roman"/>
          <w:lang w:val="en-US" w:eastAsia="zh-CN"/>
        </w:rPr>
        <w:t>《初步设计》未明确公路运输道路安全措施、安全管理规定、警示标志设置等方面的内容，下一步安全设施设计中应做详细设计说明。</w:t>
      </w:r>
    </w:p>
    <w:p w14:paraId="445AF1CA">
      <w:pPr>
        <w:numPr>
          <w:ilvl w:val="0"/>
          <w:numId w:val="63"/>
        </w:numPr>
        <w:bidi w:val="0"/>
        <w:ind w:left="0" w:leftChars="0" w:firstLine="560" w:firstLineChars="200"/>
        <w:rPr>
          <w:rFonts w:hint="eastAsia" w:ascii="Times New Roman" w:hAnsi="Times New Roman" w:cs="Times New Roman"/>
          <w:lang w:val="en-US" w:eastAsia="zh-CN"/>
        </w:rPr>
      </w:pPr>
      <w:r>
        <w:rPr>
          <w:rFonts w:hint="eastAsia" w:ascii="Times New Roman" w:hAnsi="Times New Roman" w:cs="Times New Roman"/>
          <w:lang w:val="en-US" w:eastAsia="zh-CN"/>
        </w:rPr>
        <w:t>《初步设计》未明确动力油（柴油）的运输、储存和安全措施，下一步安全设施设计中应做详细设计说明。</w:t>
      </w:r>
    </w:p>
    <w:p w14:paraId="73D9E2F6">
      <w:pPr>
        <w:numPr>
          <w:ilvl w:val="0"/>
          <w:numId w:val="63"/>
        </w:numPr>
        <w:bidi w:val="0"/>
        <w:ind w:left="0" w:leftChars="0" w:firstLine="560" w:firstLineChars="200"/>
        <w:rPr>
          <w:rFonts w:hint="eastAsia" w:ascii="Times New Roman" w:hAnsi="Times New Roman" w:cs="Times New Roman"/>
          <w:lang w:val="en-US" w:eastAsia="zh-CN"/>
        </w:rPr>
      </w:pPr>
      <w:r>
        <w:rPr>
          <w:rFonts w:hint="eastAsia" w:ascii="Times New Roman" w:hAnsi="Times New Roman" w:cs="Times New Roman"/>
          <w:lang w:val="en-US" w:eastAsia="zh-CN"/>
        </w:rPr>
        <w:t>《初步设计》未对采场边坡稳定性进行分析；未明确具体边坡监测措施和设施、采区降雨量监测系统和视频监控系统的设计内容和设备布设情况；未明确边坡作业、安全管理和检查的设计要求，下一步安全设施设计中应做详细设计说明。</w:t>
      </w:r>
    </w:p>
    <w:p w14:paraId="237C4EF3">
      <w:pPr>
        <w:numPr>
          <w:ilvl w:val="0"/>
          <w:numId w:val="63"/>
        </w:numPr>
        <w:bidi w:val="0"/>
        <w:ind w:left="0" w:leftChars="0" w:firstLine="560" w:firstLineChars="200"/>
        <w:rPr>
          <w:rFonts w:hint="eastAsia" w:ascii="Times New Roman" w:hAnsi="Times New Roman" w:cs="Times New Roman"/>
          <w:lang w:val="en-US" w:eastAsia="zh-CN"/>
        </w:rPr>
      </w:pPr>
      <w:r>
        <w:rPr>
          <w:rFonts w:hint="eastAsia"/>
          <w:lang w:eastAsia="zh-CN"/>
        </w:rPr>
        <w:t>《</w:t>
      </w:r>
      <w:r>
        <w:rPr>
          <w:rFonts w:hint="eastAsia"/>
        </w:rPr>
        <w:t>初步设计</w:t>
      </w:r>
      <w:r>
        <w:rPr>
          <w:rFonts w:hint="eastAsia"/>
          <w:lang w:val="en-US" w:eastAsia="zh-CN"/>
        </w:rPr>
        <w:t>》未明确采场照明设施、供配电系统安全管理等相关内容。</w:t>
      </w:r>
    </w:p>
    <w:p w14:paraId="0FE0DDA0">
      <w:pPr>
        <w:numPr>
          <w:ilvl w:val="0"/>
          <w:numId w:val="63"/>
        </w:numPr>
        <w:bidi w:val="0"/>
        <w:ind w:left="0" w:leftChars="0" w:firstLine="560" w:firstLineChars="200"/>
        <w:rPr>
          <w:rFonts w:hint="eastAsia" w:ascii="Times New Roman" w:hAnsi="Times New Roman" w:cs="Times New Roman"/>
          <w:lang w:val="en-US" w:eastAsia="zh-CN"/>
        </w:rPr>
      </w:pPr>
      <w:r>
        <w:rPr>
          <w:rFonts w:hint="eastAsia" w:ascii="Times New Roman" w:hAnsi="Times New Roman" w:cs="Times New Roman"/>
          <w:lang w:eastAsia="zh-CN"/>
        </w:rPr>
        <w:t>《</w:t>
      </w:r>
      <w:r>
        <w:rPr>
          <w:rFonts w:hint="eastAsia" w:ascii="Times New Roman" w:hAnsi="Times New Roman" w:cs="Times New Roman"/>
          <w:lang w:val="en-US" w:eastAsia="zh-CN"/>
        </w:rPr>
        <w:t>初步设计</w:t>
      </w:r>
      <w:r>
        <w:rPr>
          <w:rFonts w:hint="eastAsia" w:ascii="Times New Roman" w:hAnsi="Times New Roman" w:cs="Times New Roman"/>
          <w:lang w:eastAsia="zh-CN"/>
        </w:rPr>
        <w:t>》</w:t>
      </w:r>
      <w:r>
        <w:rPr>
          <w:rFonts w:hint="eastAsia" w:ascii="Times New Roman" w:hAnsi="Times New Roman" w:cs="Times New Roman"/>
          <w:lang w:val="en-US" w:eastAsia="zh-CN"/>
        </w:rPr>
        <w:t>中未明确采场</w:t>
      </w:r>
      <w:r>
        <w:rPr>
          <w:rFonts w:hint="eastAsia" w:ascii="Times New Roman" w:hAnsi="Times New Roman" w:cs="Times New Roman"/>
          <w:lang w:eastAsia="zh-CN"/>
        </w:rPr>
        <w:t>汇水</w:t>
      </w:r>
      <w:r>
        <w:rPr>
          <w:rFonts w:hint="eastAsia" w:ascii="Times New Roman" w:hAnsi="Times New Roman" w:cs="Times New Roman"/>
          <w:lang w:val="en-US" w:eastAsia="zh-CN"/>
        </w:rPr>
        <w:t>面积、汇水量、水沟的计算等内容，下一步安全设施设计中应做详细设计说明。</w:t>
      </w:r>
    </w:p>
    <w:p w14:paraId="1D8F146E">
      <w:pPr>
        <w:numPr>
          <w:ilvl w:val="0"/>
          <w:numId w:val="63"/>
        </w:numPr>
        <w:bidi w:val="0"/>
        <w:ind w:left="0" w:leftChars="0" w:firstLine="560" w:firstLineChars="200"/>
        <w:rPr>
          <w:rFonts w:hint="eastAsia" w:ascii="Times New Roman" w:hAnsi="Times New Roman" w:cs="Times New Roman"/>
          <w:lang w:val="en-US" w:eastAsia="zh-CN"/>
        </w:rPr>
      </w:pPr>
      <w:r>
        <w:rPr>
          <w:rFonts w:hint="eastAsia" w:ascii="Times New Roman" w:hAnsi="Times New Roman" w:cs="Times New Roman"/>
          <w:lang w:val="en-US" w:eastAsia="zh-CN"/>
        </w:rPr>
        <w:t>《初步设计》中未明确露天矿用设备应配备灭火器及其型号，下一步安全设施设计中应做详细设计说明。</w:t>
      </w:r>
    </w:p>
    <w:p w14:paraId="4A33B943">
      <w:pPr>
        <w:numPr>
          <w:ilvl w:val="0"/>
          <w:numId w:val="63"/>
        </w:numPr>
        <w:bidi w:val="0"/>
        <w:ind w:left="0" w:leftChars="0" w:firstLine="560" w:firstLineChars="200"/>
        <w:rPr>
          <w:rFonts w:hint="eastAsia" w:ascii="Times New Roman" w:hAnsi="Times New Roman" w:cs="Times New Roman"/>
          <w:lang w:val="en-US" w:eastAsia="zh-CN"/>
        </w:rPr>
      </w:pPr>
      <w:r>
        <w:rPr>
          <w:rFonts w:hint="eastAsia" w:ascii="Times New Roman" w:hAnsi="Times New Roman" w:cs="Times New Roman"/>
          <w:lang w:val="en-US" w:eastAsia="zh-CN"/>
        </w:rPr>
        <w:t>《初步设计》中对安全管理机构设置；安全管理人员配备；专用安全设施投资内容和金额；主要负责人、安全管理人员、特种作业人员、从业人员的安全教育培训；个人安全防护；矿山的应急救援预案的编制、评审、备案；矿山安全管理制度、安全生产责任制、岗位安全操作规程的建立健全和完善；购买工伤保险等内容未作具体设计说明，建议下一步安全设施设计中补充完善。</w:t>
      </w:r>
    </w:p>
    <w:bookmarkEnd w:id="226"/>
    <w:bookmarkEnd w:id="227"/>
    <w:bookmarkEnd w:id="228"/>
    <w:bookmarkEnd w:id="229"/>
    <w:bookmarkEnd w:id="230"/>
    <w:bookmarkEnd w:id="231"/>
    <w:bookmarkEnd w:id="232"/>
    <w:bookmarkEnd w:id="233"/>
    <w:bookmarkEnd w:id="234"/>
    <w:p w14:paraId="388E207E">
      <w:pPr>
        <w:pStyle w:val="3"/>
        <w:bidi w:val="0"/>
        <w:rPr>
          <w:rFonts w:hint="eastAsia"/>
          <w:lang w:val="en-US" w:eastAsia="zh-CN"/>
        </w:rPr>
      </w:pPr>
      <w:bookmarkStart w:id="238" w:name="_Toc18125"/>
      <w:r>
        <w:rPr>
          <w:rFonts w:hint="eastAsia"/>
          <w:lang w:val="en-US" w:eastAsia="zh-CN"/>
        </w:rPr>
        <w:t>各单元应补充和完善的安全对策措施</w:t>
      </w:r>
      <w:bookmarkEnd w:id="238"/>
    </w:p>
    <w:p w14:paraId="65845742">
      <w:pPr>
        <w:pStyle w:val="4"/>
        <w:bidi w:val="0"/>
      </w:pPr>
      <w:bookmarkStart w:id="239" w:name="_Toc121748384"/>
      <w:bookmarkStart w:id="240" w:name="_Toc31903"/>
      <w:r>
        <w:t>总平面布置单元</w:t>
      </w:r>
      <w:bookmarkEnd w:id="239"/>
      <w:r>
        <w:rPr>
          <w:rFonts w:hint="default"/>
        </w:rPr>
        <w:t>安全对策措施建议</w:t>
      </w:r>
      <w:bookmarkEnd w:id="240"/>
    </w:p>
    <w:p w14:paraId="0A30DF43">
      <w:pPr>
        <w:numPr>
          <w:ilvl w:val="0"/>
          <w:numId w:val="64"/>
        </w:numPr>
        <w:bidi w:val="0"/>
        <w:ind w:left="0" w:leftChars="0" w:firstLine="560" w:firstLineChars="200"/>
        <w:rPr>
          <w:rFonts w:hint="eastAsia" w:ascii="宋体" w:hAnsi="宋体" w:eastAsia="宋体" w:cs="宋体"/>
        </w:rPr>
      </w:pPr>
      <w:r>
        <w:rPr>
          <w:rFonts w:hint="eastAsia" w:ascii="宋体" w:hAnsi="宋体" w:eastAsia="宋体" w:cs="宋体"/>
          <w:lang w:val="en-US" w:eastAsia="zh-CN"/>
        </w:rPr>
        <w:t>建议在采场境界周围设置安全围拦，防止无关人员进入采区；</w:t>
      </w:r>
    </w:p>
    <w:p w14:paraId="1DEB90BD">
      <w:pPr>
        <w:numPr>
          <w:ilvl w:val="0"/>
          <w:numId w:val="64"/>
        </w:numPr>
        <w:bidi w:val="0"/>
        <w:ind w:left="0" w:leftChars="0" w:firstLine="560" w:firstLineChars="200"/>
        <w:rPr>
          <w:rFonts w:hint="eastAsia" w:ascii="宋体" w:hAnsi="宋体" w:eastAsia="宋体" w:cs="宋体"/>
        </w:rPr>
      </w:pPr>
      <w:r>
        <w:rPr>
          <w:rFonts w:hint="eastAsia" w:ascii="宋体" w:hAnsi="宋体" w:eastAsia="宋体" w:cs="宋体"/>
        </w:rPr>
        <w:t>矿山安全警示标牌、标语</w:t>
      </w:r>
      <w:r>
        <w:rPr>
          <w:rFonts w:hint="eastAsia" w:ascii="宋体" w:hAnsi="宋体" w:eastAsia="宋体" w:cs="宋体"/>
          <w:lang w:val="en-US" w:eastAsia="zh-CN"/>
        </w:rPr>
        <w:t>不足</w:t>
      </w:r>
      <w:r>
        <w:rPr>
          <w:rFonts w:hint="eastAsia" w:ascii="宋体" w:hAnsi="宋体" w:eastAsia="宋体" w:cs="宋体"/>
        </w:rPr>
        <w:t>，</w:t>
      </w:r>
      <w:r>
        <w:rPr>
          <w:rFonts w:hint="eastAsia" w:ascii="宋体" w:hAnsi="宋体" w:eastAsia="宋体" w:cs="宋体"/>
          <w:lang w:val="en-US" w:eastAsia="zh-CN"/>
        </w:rPr>
        <w:t>应当在有较大危险因素的生产经营场所和有关设施、设备上，设置明显的安全警示标志</w:t>
      </w:r>
      <w:r>
        <w:rPr>
          <w:rFonts w:hint="eastAsia" w:ascii="宋体" w:hAnsi="宋体" w:eastAsia="宋体" w:cs="宋体"/>
        </w:rPr>
        <w:t>。</w:t>
      </w:r>
    </w:p>
    <w:p w14:paraId="011ED422">
      <w:pPr>
        <w:numPr>
          <w:ilvl w:val="0"/>
          <w:numId w:val="64"/>
        </w:numPr>
        <w:bidi w:val="0"/>
        <w:ind w:left="0" w:leftChars="0" w:firstLine="560" w:firstLineChars="200"/>
        <w:rPr>
          <w:rFonts w:hint="eastAsia" w:ascii="宋体" w:hAnsi="宋体" w:eastAsia="宋体" w:cs="宋体"/>
        </w:rPr>
      </w:pPr>
      <w:r>
        <w:rPr>
          <w:rFonts w:hint="eastAsia" w:ascii="宋体" w:hAnsi="宋体" w:eastAsia="宋体" w:cs="宋体"/>
        </w:rPr>
        <w:t>连接各厂区的道路应全面规划、合理布局、处理好远期与近期的关系，符合《厂矿道路设计规范》GBJ 22-1987 要求，确保道路安全运输条件和消防救援联系的要求。</w:t>
      </w:r>
    </w:p>
    <w:p w14:paraId="3B11CE9B">
      <w:pPr>
        <w:numPr>
          <w:ilvl w:val="0"/>
          <w:numId w:val="64"/>
        </w:numPr>
        <w:bidi w:val="0"/>
        <w:ind w:left="0" w:leftChars="0" w:firstLine="560" w:firstLineChars="200"/>
        <w:rPr>
          <w:rFonts w:hint="eastAsia" w:ascii="宋体" w:hAnsi="宋体" w:eastAsia="宋体" w:cs="宋体"/>
        </w:rPr>
      </w:pPr>
      <w:r>
        <w:rPr>
          <w:rFonts w:hint="eastAsia" w:ascii="宋体" w:hAnsi="宋体" w:eastAsia="宋体" w:cs="宋体"/>
        </w:rPr>
        <w:t>矿区所在位置属地震基本烈度</w:t>
      </w:r>
      <w:r>
        <w:rPr>
          <w:rFonts w:hint="eastAsia" w:ascii="宋体" w:hAnsi="宋体" w:cs="宋体"/>
          <w:sz w:val="28"/>
          <w:szCs w:val="28"/>
        </w:rPr>
        <w:t>7度区第三组</w:t>
      </w:r>
      <w:r>
        <w:rPr>
          <w:rFonts w:hint="eastAsia" w:ascii="宋体" w:hAnsi="宋体" w:eastAsia="宋体" w:cs="宋体"/>
        </w:rPr>
        <w:t>，地震动峰值加速度 0.15g，反应谱特征周期0.45s，处于区域次稳定区</w:t>
      </w:r>
      <w:r>
        <w:rPr>
          <w:rFonts w:hint="eastAsia" w:ascii="宋体" w:hAnsi="宋体" w:cs="宋体"/>
          <w:lang w:eastAsia="zh-CN"/>
        </w:rPr>
        <w:t>，</w:t>
      </w:r>
      <w:r>
        <w:rPr>
          <w:rFonts w:hint="eastAsia" w:ascii="宋体" w:hAnsi="宋体" w:eastAsia="宋体" w:cs="宋体"/>
        </w:rPr>
        <w:t>矿山建设应据此设防。</w:t>
      </w:r>
    </w:p>
    <w:p w14:paraId="584FBF0A">
      <w:pPr>
        <w:numPr>
          <w:ilvl w:val="0"/>
          <w:numId w:val="64"/>
        </w:numPr>
        <w:bidi w:val="0"/>
        <w:ind w:left="0" w:leftChars="0" w:firstLine="560" w:firstLineChars="200"/>
        <w:rPr>
          <w:rFonts w:hint="eastAsia" w:ascii="宋体" w:hAnsi="宋体" w:eastAsia="宋体" w:cs="宋体"/>
        </w:rPr>
      </w:pPr>
      <w:r>
        <w:rPr>
          <w:rFonts w:hint="eastAsia" w:ascii="宋体" w:hAnsi="宋体" w:eastAsia="宋体" w:cs="宋体"/>
        </w:rPr>
        <w:t>各类场地、建构筑物、设施、矿区道路等应避开滚石、滑坡、泥石流危险区域选址。总图布置满足工艺、运输、防火、防震、安全卫生、环境、水土保持与职工生活方面的要求，并充分考虑气象、风向、地形地貌条件的影响，符合相关</w:t>
      </w:r>
      <w:r>
        <w:rPr>
          <w:rFonts w:hint="eastAsia" w:ascii="宋体" w:hAnsi="宋体" w:cs="宋体"/>
          <w:lang w:eastAsia="zh-CN"/>
        </w:rPr>
        <w:t>法律法规</w:t>
      </w:r>
      <w:r>
        <w:rPr>
          <w:rFonts w:hint="eastAsia" w:ascii="宋体" w:hAnsi="宋体" w:eastAsia="宋体" w:cs="宋体"/>
        </w:rPr>
        <w:t>、标准、规范的要求和规定。</w:t>
      </w:r>
    </w:p>
    <w:p w14:paraId="15C71009">
      <w:pPr>
        <w:numPr>
          <w:ilvl w:val="0"/>
          <w:numId w:val="64"/>
        </w:numPr>
        <w:bidi w:val="0"/>
        <w:ind w:left="0" w:leftChars="0" w:firstLine="560" w:firstLineChars="200"/>
        <w:rPr>
          <w:rFonts w:hint="eastAsia" w:ascii="宋体" w:hAnsi="宋体" w:eastAsia="宋体" w:cs="宋体"/>
        </w:rPr>
      </w:pPr>
      <w:r>
        <w:rPr>
          <w:rFonts w:hint="eastAsia" w:ascii="宋体" w:hAnsi="宋体" w:eastAsia="宋体" w:cs="宋体"/>
        </w:rPr>
        <w:t>注意协调各建构筑物之间的关系，以利厂内道路的连接。</w:t>
      </w:r>
    </w:p>
    <w:p w14:paraId="260B00F6">
      <w:pPr>
        <w:numPr>
          <w:ilvl w:val="0"/>
          <w:numId w:val="64"/>
        </w:numPr>
        <w:bidi w:val="0"/>
        <w:ind w:left="0" w:leftChars="0" w:firstLine="560" w:firstLineChars="200"/>
        <w:rPr>
          <w:rFonts w:hint="eastAsia" w:ascii="宋体" w:hAnsi="宋体" w:eastAsia="宋体" w:cs="宋体"/>
        </w:rPr>
      </w:pPr>
      <w:r>
        <w:rPr>
          <w:rFonts w:hint="eastAsia" w:ascii="宋体" w:hAnsi="宋体" w:eastAsia="宋体" w:cs="宋体"/>
        </w:rPr>
        <w:t>工业场地的布置应正确处理远近关系，近期合理，远期预留发展。</w:t>
      </w:r>
    </w:p>
    <w:p w14:paraId="1E4AFD9A">
      <w:pPr>
        <w:numPr>
          <w:ilvl w:val="0"/>
          <w:numId w:val="64"/>
        </w:numPr>
        <w:bidi w:val="0"/>
        <w:ind w:left="0" w:leftChars="0" w:firstLine="560" w:firstLineChars="200"/>
        <w:rPr>
          <w:rFonts w:hint="eastAsia" w:ascii="宋体" w:hAnsi="宋体" w:eastAsia="宋体" w:cs="宋体"/>
        </w:rPr>
      </w:pPr>
      <w:r>
        <w:rPr>
          <w:rFonts w:hint="eastAsia" w:ascii="宋体" w:hAnsi="宋体" w:eastAsia="宋体" w:cs="宋体"/>
        </w:rPr>
        <w:t>完善采场、</w:t>
      </w:r>
      <w:r>
        <w:rPr>
          <w:rFonts w:hint="eastAsia" w:ascii="宋体" w:hAnsi="宋体" w:cs="宋体"/>
          <w:lang w:val="en-US" w:eastAsia="zh-CN"/>
        </w:rPr>
        <w:t>工业场地防</w:t>
      </w:r>
      <w:r>
        <w:rPr>
          <w:rFonts w:hint="eastAsia" w:ascii="宋体" w:hAnsi="宋体" w:eastAsia="宋体" w:cs="宋体"/>
        </w:rPr>
        <w:t>排水设施，满足防洪、排水要求。</w:t>
      </w:r>
    </w:p>
    <w:p w14:paraId="73DB17AD">
      <w:pPr>
        <w:pStyle w:val="4"/>
        <w:bidi w:val="0"/>
        <w:rPr>
          <w:rFonts w:hint="eastAsia"/>
        </w:rPr>
      </w:pPr>
      <w:bookmarkStart w:id="241" w:name="_Toc11853"/>
      <w:r>
        <w:rPr>
          <w:rFonts w:hint="eastAsia"/>
        </w:rPr>
        <w:t>开拓运输</w:t>
      </w:r>
      <w:r>
        <w:t>单元</w:t>
      </w:r>
      <w:r>
        <w:rPr>
          <w:rFonts w:hint="default"/>
        </w:rPr>
        <w:t>安全对策措施建议</w:t>
      </w:r>
      <w:bookmarkEnd w:id="241"/>
    </w:p>
    <w:p w14:paraId="15DE0446">
      <w:pPr>
        <w:numPr>
          <w:ilvl w:val="0"/>
          <w:numId w:val="65"/>
        </w:numPr>
        <w:bidi w:val="0"/>
        <w:ind w:left="0" w:leftChars="0" w:firstLine="560" w:firstLineChars="200"/>
        <w:rPr>
          <w:rFonts w:hint="eastAsia" w:ascii="Times New Roman" w:hAnsi="Times New Roman" w:cs="Times New Roman"/>
          <w:lang w:val="en-US" w:eastAsia="zh-CN"/>
        </w:rPr>
      </w:pPr>
      <w:r>
        <w:rPr>
          <w:rFonts w:hint="eastAsia" w:ascii="Times New Roman" w:hAnsi="Times New Roman" w:cs="Times New Roman"/>
          <w:lang w:val="en-US" w:eastAsia="zh-CN"/>
        </w:rPr>
        <w:t>建议矿山在今后的施工及生产过程中，建立厂内道路养护制度及运输车辆保养、检修制度。运输道路的高陡路基路段，或者或者弯道、坡度较大填方地段以及高堤路基路段远离山体一侧应设置高度不小于</w:t>
      </w:r>
      <w:r>
        <w:rPr>
          <w:rFonts w:hint="default" w:ascii="Times New Roman" w:hAnsi="Times New Roman" w:cs="Times New Roman"/>
          <w:lang w:val="en-US" w:eastAsia="zh-CN"/>
        </w:rPr>
        <w:t>车轮轮胎直径1/2的护栏、挡车墙等安全设施及醒目的警示标志。</w:t>
      </w:r>
    </w:p>
    <w:p w14:paraId="77F75044">
      <w:pPr>
        <w:numPr>
          <w:ilvl w:val="0"/>
          <w:numId w:val="65"/>
        </w:numPr>
        <w:bidi w:val="0"/>
        <w:ind w:left="0" w:leftChars="0" w:firstLine="560" w:firstLineChars="200"/>
        <w:rPr>
          <w:rFonts w:hint="eastAsia" w:ascii="Times New Roman" w:hAnsi="Times New Roman" w:cs="Times New Roman"/>
          <w:lang w:val="en-US" w:eastAsia="zh-CN"/>
        </w:rPr>
      </w:pPr>
      <w:r>
        <w:rPr>
          <w:rFonts w:hint="eastAsia" w:ascii="Times New Roman" w:hAnsi="Times New Roman" w:cs="Times New Roman"/>
          <w:lang w:val="en-US" w:eastAsia="zh-CN"/>
        </w:rPr>
        <w:t>对可能发生车辆坠落的</w:t>
      </w:r>
      <w:r>
        <w:rPr>
          <w:rFonts w:hint="default" w:ascii="Times New Roman" w:hAnsi="Times New Roman" w:cs="Times New Roman"/>
          <w:lang w:val="en-US" w:eastAsia="zh-CN"/>
        </w:rPr>
        <w:t>主要运输道路</w:t>
      </w:r>
      <w:r>
        <w:rPr>
          <w:rFonts w:hint="eastAsia" w:ascii="Times New Roman" w:hAnsi="Times New Roman" w:cs="Times New Roman"/>
          <w:lang w:val="en-US" w:eastAsia="zh-CN"/>
        </w:rPr>
        <w:t>、开拓运输道路急弯、陡坡和道路交叉处设置“减速慢行”安全警示标志。</w:t>
      </w:r>
    </w:p>
    <w:p w14:paraId="6D20721E">
      <w:pPr>
        <w:numPr>
          <w:ilvl w:val="0"/>
          <w:numId w:val="65"/>
        </w:numPr>
        <w:bidi w:val="0"/>
        <w:ind w:left="0" w:leftChars="0" w:firstLine="560" w:firstLineChars="200"/>
        <w:rPr>
          <w:rFonts w:hint="eastAsia" w:ascii="Times New Roman" w:hAnsi="Times New Roman" w:cs="Times New Roman"/>
          <w:lang w:val="en-US" w:eastAsia="zh-CN"/>
        </w:rPr>
      </w:pPr>
      <w:r>
        <w:rPr>
          <w:rFonts w:hint="eastAsia" w:ascii="Times New Roman" w:hAnsi="Times New Roman" w:cs="Times New Roman"/>
          <w:lang w:val="en-US" w:eastAsia="zh-CN"/>
        </w:rPr>
        <w:t>加强对司机的技能培训与考核，杜绝顶车行驶、超速行驶。</w:t>
      </w:r>
    </w:p>
    <w:p w14:paraId="6ED9F175">
      <w:pPr>
        <w:numPr>
          <w:ilvl w:val="0"/>
          <w:numId w:val="65"/>
        </w:numPr>
        <w:bidi w:val="0"/>
        <w:ind w:left="0" w:leftChars="0" w:firstLine="560" w:firstLineChars="200"/>
        <w:rPr>
          <w:rFonts w:hint="eastAsia" w:ascii="Times New Roman" w:hAnsi="Times New Roman" w:cs="Times New Roman"/>
          <w:lang w:val="en-US" w:eastAsia="zh-CN"/>
        </w:rPr>
      </w:pPr>
      <w:r>
        <w:rPr>
          <w:rFonts w:hint="eastAsia" w:ascii="Times New Roman" w:hAnsi="Times New Roman" w:cs="Times New Roman"/>
          <w:lang w:val="en-US" w:eastAsia="zh-CN"/>
        </w:rPr>
        <w:t>建议在下一步设计中补充完善动力油（柴油）的运输、储存、使用安全措施。</w:t>
      </w:r>
    </w:p>
    <w:p w14:paraId="0811D873">
      <w:pPr>
        <w:numPr>
          <w:ilvl w:val="0"/>
          <w:numId w:val="65"/>
        </w:numPr>
        <w:bidi w:val="0"/>
        <w:ind w:left="0" w:leftChars="0" w:firstLine="560" w:firstLineChars="200"/>
        <w:rPr>
          <w:rFonts w:hint="eastAsia"/>
        </w:rPr>
      </w:pPr>
      <w:r>
        <w:rPr>
          <w:rFonts w:hint="eastAsia"/>
        </w:rPr>
        <w:t>保证开拓运输道路宽度及坡度，防止运输事故发生。</w:t>
      </w:r>
    </w:p>
    <w:p w14:paraId="39F8E157">
      <w:pPr>
        <w:numPr>
          <w:ilvl w:val="0"/>
          <w:numId w:val="65"/>
        </w:numPr>
        <w:ind w:left="0" w:leftChars="0" w:firstLine="560" w:firstLineChars="200"/>
        <w:rPr>
          <w:rFonts w:hint="eastAsia"/>
        </w:rPr>
      </w:pPr>
      <w:r>
        <w:rPr>
          <w:rFonts w:hint="eastAsia"/>
        </w:rPr>
        <w:t>企业应根据规程要求实行机械化开采，提高生产效率和安全系数。</w:t>
      </w:r>
    </w:p>
    <w:p w14:paraId="6A62DA4D">
      <w:pPr>
        <w:pStyle w:val="4"/>
        <w:bidi w:val="0"/>
        <w:rPr>
          <w:rFonts w:hint="eastAsia"/>
        </w:rPr>
      </w:pPr>
      <w:bookmarkStart w:id="242" w:name="_Toc26952"/>
      <w:r>
        <w:rPr>
          <w:rFonts w:hint="eastAsia"/>
          <w:lang w:val="en-US" w:eastAsia="zh-CN"/>
        </w:rPr>
        <w:t>采剥</w:t>
      </w:r>
      <w:r>
        <w:t>单元</w:t>
      </w:r>
      <w:r>
        <w:rPr>
          <w:rFonts w:hint="default"/>
        </w:rPr>
        <w:t>安全对策措施建议</w:t>
      </w:r>
      <w:bookmarkEnd w:id="242"/>
    </w:p>
    <w:p w14:paraId="6F2B58DB">
      <w:pPr>
        <w:numPr>
          <w:ilvl w:val="0"/>
          <w:numId w:val="66"/>
        </w:numPr>
        <w:bidi w:val="0"/>
        <w:ind w:left="0" w:leftChars="0" w:firstLine="560" w:firstLineChars="200"/>
        <w:rPr>
          <w:rFonts w:hint="eastAsia" w:ascii="宋体" w:hAnsi="宋体" w:eastAsia="宋体" w:cs="宋体"/>
          <w:lang w:val="zh-CN" w:eastAsia="zh-CN"/>
        </w:rPr>
      </w:pPr>
      <w:r>
        <w:rPr>
          <w:rFonts w:hint="eastAsia" w:ascii="宋体" w:hAnsi="宋体" w:eastAsia="宋体" w:cs="宋体"/>
          <w:lang w:val="en-US" w:eastAsia="zh-CN"/>
        </w:rPr>
        <w:t>目前</w:t>
      </w:r>
      <w:r>
        <w:rPr>
          <w:rFonts w:hint="eastAsia" w:ascii="宋体" w:hAnsi="宋体" w:eastAsia="宋体" w:cs="宋体"/>
          <w:lang w:val="zh-CN" w:eastAsia="zh-CN"/>
        </w:rPr>
        <w:t>矿山破碎站北面及西面</w:t>
      </w:r>
      <w:r>
        <w:rPr>
          <w:rFonts w:hint="eastAsia" w:ascii="宋体" w:hAnsi="宋体" w:eastAsia="宋体" w:cs="宋体"/>
          <w:lang w:val="en-US" w:eastAsia="zh-CN"/>
        </w:rPr>
        <w:t>已形成</w:t>
      </w:r>
      <w:r>
        <w:rPr>
          <w:rFonts w:hint="eastAsia" w:ascii="宋体" w:hAnsi="宋体" w:eastAsia="宋体" w:cs="宋体"/>
          <w:lang w:val="zh-CN" w:eastAsia="zh-CN"/>
        </w:rPr>
        <w:t>高陡边坡，</w:t>
      </w:r>
      <w:r>
        <w:rPr>
          <w:rFonts w:hint="eastAsia" w:ascii="宋体" w:hAnsi="宋体" w:eastAsia="宋体" w:cs="宋体"/>
          <w:lang w:val="en-US" w:eastAsia="zh-CN"/>
        </w:rPr>
        <w:t>建议企业下一步</w:t>
      </w:r>
      <w:r>
        <w:rPr>
          <w:rFonts w:hint="eastAsia" w:ascii="宋体" w:hAnsi="宋体" w:eastAsia="宋体" w:cs="宋体"/>
          <w:lang w:val="zh-CN" w:eastAsia="zh-CN"/>
        </w:rPr>
        <w:t>按照设计要求进行</w:t>
      </w:r>
      <w:r>
        <w:rPr>
          <w:rFonts w:hint="eastAsia" w:ascii="宋体" w:hAnsi="宋体" w:eastAsia="宋体" w:cs="宋体"/>
          <w:lang w:val="en-US" w:eastAsia="zh-CN"/>
        </w:rPr>
        <w:t>高陡边坡治理完毕后再</w:t>
      </w:r>
      <w:r>
        <w:rPr>
          <w:rFonts w:hint="eastAsia" w:ascii="宋体" w:hAnsi="宋体" w:eastAsia="宋体" w:cs="宋体"/>
          <w:lang w:val="zh-CN" w:eastAsia="zh-CN"/>
        </w:rPr>
        <w:t>开采。</w:t>
      </w:r>
    </w:p>
    <w:p w14:paraId="0661CFC2">
      <w:pPr>
        <w:numPr>
          <w:ilvl w:val="0"/>
          <w:numId w:val="66"/>
        </w:numPr>
        <w:bidi w:val="0"/>
        <w:ind w:left="0" w:leftChars="0" w:firstLine="560" w:firstLineChars="200"/>
        <w:rPr>
          <w:rFonts w:hint="eastAsia"/>
          <w:lang w:eastAsia="zh-CN"/>
        </w:rPr>
      </w:pPr>
      <w:r>
        <w:rPr>
          <w:rFonts w:hint="eastAsia"/>
          <w:lang w:eastAsia="zh-CN"/>
        </w:rPr>
        <w:t>矿山应按照设计及规范要求实行自上而下分台阶顺序开采，按照设计要求的边坡参数进行施工。严禁从底部进行掏采。设计单位应严格按照《金属非金属露天矿山建设项目安全设施设计编写提纲》（安监总管一</w:t>
      </w:r>
      <w:r>
        <w:rPr>
          <w:rFonts w:hint="eastAsia"/>
          <w:lang w:val="en-US" w:eastAsia="zh-CN"/>
        </w:rPr>
        <w:t>〔</w:t>
      </w:r>
      <w:r>
        <w:rPr>
          <w:rFonts w:hint="eastAsia"/>
          <w:lang w:eastAsia="zh-CN"/>
        </w:rPr>
        <w:t>2015</w:t>
      </w:r>
      <w:r>
        <w:rPr>
          <w:rFonts w:hint="eastAsia"/>
          <w:lang w:val="en-US" w:eastAsia="zh-CN"/>
        </w:rPr>
        <w:t>〕</w:t>
      </w:r>
      <w:r>
        <w:rPr>
          <w:rFonts w:hint="eastAsia"/>
          <w:lang w:eastAsia="zh-CN"/>
        </w:rPr>
        <w:t>68 号）进行</w:t>
      </w:r>
      <w:r>
        <w:rPr>
          <w:rFonts w:hint="eastAsia"/>
          <w:lang w:val="en-US" w:eastAsia="zh-CN"/>
        </w:rPr>
        <w:t>安全设施设计</w:t>
      </w:r>
      <w:r>
        <w:rPr>
          <w:rFonts w:hint="eastAsia"/>
          <w:lang w:eastAsia="zh-CN"/>
        </w:rPr>
        <w:t>编写。</w:t>
      </w:r>
    </w:p>
    <w:p w14:paraId="1A9BB207">
      <w:pPr>
        <w:numPr>
          <w:ilvl w:val="0"/>
          <w:numId w:val="66"/>
        </w:numPr>
        <w:bidi w:val="0"/>
        <w:ind w:left="0" w:leftChars="0" w:firstLine="560" w:firstLineChars="200"/>
        <w:rPr>
          <w:rFonts w:hint="eastAsia"/>
          <w:lang w:val="en-US" w:eastAsia="zh-CN"/>
        </w:rPr>
      </w:pPr>
      <w:r>
        <w:rPr>
          <w:rFonts w:hint="eastAsia" w:ascii="Times New Roman" w:hAnsi="Times New Roman" w:cs="Times New Roman"/>
          <w:lang w:val="en-US" w:eastAsia="zh-CN"/>
        </w:rPr>
        <w:t>建议在下一步设计中</w:t>
      </w:r>
      <w:r>
        <w:rPr>
          <w:rFonts w:hint="eastAsia"/>
          <w:lang w:val="en-US" w:eastAsia="zh-CN"/>
        </w:rPr>
        <w:t>对</w:t>
      </w:r>
      <w:r>
        <w:rPr>
          <w:rFonts w:hint="eastAsia"/>
          <w:lang w:eastAsia="zh-CN"/>
        </w:rPr>
        <w:t>采场边坡稳定性</w:t>
      </w:r>
      <w:r>
        <w:rPr>
          <w:rFonts w:hint="eastAsia"/>
          <w:lang w:val="en-US" w:eastAsia="zh-CN"/>
        </w:rPr>
        <w:t>进行</w:t>
      </w:r>
      <w:r>
        <w:rPr>
          <w:rFonts w:hint="eastAsia"/>
          <w:lang w:eastAsia="zh-CN"/>
        </w:rPr>
        <w:t>分析</w:t>
      </w:r>
      <w:r>
        <w:rPr>
          <w:rFonts w:hint="eastAsia"/>
          <w:lang w:val="en-US" w:eastAsia="zh-CN"/>
        </w:rPr>
        <w:t>。</w:t>
      </w:r>
    </w:p>
    <w:p w14:paraId="2CBBCC21">
      <w:pPr>
        <w:numPr>
          <w:ilvl w:val="0"/>
          <w:numId w:val="66"/>
        </w:numPr>
        <w:bidi w:val="0"/>
        <w:ind w:left="0" w:leftChars="0" w:firstLine="560" w:firstLineChars="200"/>
        <w:rPr>
          <w:rFonts w:hint="eastAsia"/>
          <w:lang w:val="en-US" w:eastAsia="zh-CN"/>
        </w:rPr>
      </w:pPr>
      <w:r>
        <w:rPr>
          <w:rFonts w:hint="eastAsia" w:ascii="Times New Roman" w:hAnsi="Times New Roman" w:cs="Times New Roman"/>
          <w:lang w:val="en-US" w:eastAsia="zh-CN"/>
        </w:rPr>
        <w:t>建议在下一步设计中补充完善边坡监测措施和设施、采区降雨量监测系统和视频监控系统的设计内容和设备布设情况。</w:t>
      </w:r>
    </w:p>
    <w:p w14:paraId="2FFCB1FE">
      <w:pPr>
        <w:numPr>
          <w:ilvl w:val="0"/>
          <w:numId w:val="66"/>
        </w:numPr>
        <w:bidi w:val="0"/>
        <w:ind w:left="0" w:leftChars="0" w:firstLine="560" w:firstLineChars="200"/>
        <w:rPr>
          <w:rFonts w:hint="eastAsia"/>
          <w:lang w:val="en-US" w:eastAsia="zh-CN"/>
        </w:rPr>
      </w:pPr>
      <w:r>
        <w:rPr>
          <w:rFonts w:hint="eastAsia" w:ascii="宋体" w:hAnsi="宋体" w:eastAsia="宋体" w:cs="宋体"/>
          <w:lang w:val="en-US" w:eastAsia="zh-CN"/>
        </w:rPr>
        <w:t>建立边坡安全管理和检查制度，并认真执行，对台阶边坡及采场</w:t>
      </w:r>
      <w:r>
        <w:rPr>
          <w:rFonts w:hint="eastAsia"/>
          <w:lang w:val="en-US" w:eastAsia="zh-CN"/>
        </w:rPr>
        <w:t>边坡的浮石、危石要彻底清除。</w:t>
      </w:r>
    </w:p>
    <w:p w14:paraId="62749494">
      <w:pPr>
        <w:pStyle w:val="4"/>
        <w:bidi w:val="0"/>
        <w:rPr>
          <w:rFonts w:hint="eastAsia"/>
          <w:lang w:val="en-US" w:eastAsia="zh-CN"/>
        </w:rPr>
      </w:pPr>
      <w:bookmarkStart w:id="243" w:name="_Toc11255"/>
      <w:r>
        <w:rPr>
          <w:rFonts w:hint="eastAsia"/>
          <w:lang w:val="en-US" w:eastAsia="zh-CN"/>
        </w:rPr>
        <w:t>矿山供配电设施单元</w:t>
      </w:r>
      <w:r>
        <w:rPr>
          <w:rFonts w:hint="default"/>
          <w:lang w:val="en-US" w:eastAsia="zh-CN"/>
        </w:rPr>
        <w:t>安全对策措施建议</w:t>
      </w:r>
      <w:bookmarkEnd w:id="243"/>
    </w:p>
    <w:p w14:paraId="0FDCED8F">
      <w:pPr>
        <w:numPr>
          <w:ilvl w:val="0"/>
          <w:numId w:val="67"/>
        </w:numPr>
        <w:bidi w:val="0"/>
        <w:rPr>
          <w:rFonts w:hint="eastAsia" w:ascii="宋体" w:hAnsi="宋体" w:eastAsia="宋体" w:cs="宋体"/>
          <w:lang w:val="en-US" w:eastAsia="zh-CN"/>
        </w:rPr>
      </w:pPr>
      <w:r>
        <w:rPr>
          <w:rFonts w:hint="eastAsia" w:ascii="宋体" w:hAnsi="宋体" w:eastAsia="宋体" w:cs="宋体"/>
        </w:rPr>
        <w:t>电气设备必须具有符合国家标准的安全认证标志</w:t>
      </w:r>
      <w:r>
        <w:rPr>
          <w:rFonts w:hint="eastAsia" w:ascii="宋体" w:hAnsi="宋体" w:eastAsia="宋体" w:cs="宋体"/>
          <w:lang w:val="en-US" w:eastAsia="zh-CN"/>
        </w:rPr>
        <w:t>。</w:t>
      </w:r>
    </w:p>
    <w:p w14:paraId="0781FEEB">
      <w:pPr>
        <w:numPr>
          <w:ilvl w:val="0"/>
          <w:numId w:val="67"/>
        </w:numPr>
        <w:bidi w:val="0"/>
        <w:rPr>
          <w:rFonts w:hint="eastAsia" w:ascii="宋体" w:hAnsi="宋体" w:eastAsia="宋体" w:cs="宋体"/>
        </w:rPr>
      </w:pPr>
      <w:r>
        <w:rPr>
          <w:rFonts w:hint="eastAsia" w:ascii="宋体" w:hAnsi="宋体" w:eastAsia="宋体" w:cs="宋体"/>
        </w:rPr>
        <w:t>供配电设施的设置、电源、电压等级的确定应满足规范的要求，并按规范设置保护和接地装置；电力设备按规范设置保护装置；电缆铺设满足规范要求。</w:t>
      </w:r>
    </w:p>
    <w:p w14:paraId="2C73F7C8">
      <w:pPr>
        <w:numPr>
          <w:ilvl w:val="0"/>
          <w:numId w:val="67"/>
        </w:numPr>
        <w:bidi w:val="0"/>
        <w:rPr>
          <w:rFonts w:hint="eastAsia" w:ascii="宋体" w:hAnsi="宋体" w:eastAsia="宋体" w:cs="宋体"/>
        </w:rPr>
      </w:pPr>
      <w:r>
        <w:rPr>
          <w:rFonts w:hint="eastAsia" w:ascii="宋体" w:hAnsi="宋体" w:eastAsia="宋体" w:cs="宋体"/>
        </w:rPr>
        <w:t>从事电气作业中的特种作业人员应经专门的安全作业培训，在取得相应特种作业操作资格证书后，方可上岗。</w:t>
      </w:r>
    </w:p>
    <w:p w14:paraId="09C5E211">
      <w:pPr>
        <w:numPr>
          <w:ilvl w:val="0"/>
          <w:numId w:val="67"/>
        </w:numPr>
        <w:bidi w:val="0"/>
        <w:rPr>
          <w:rFonts w:hint="eastAsia" w:ascii="宋体" w:hAnsi="宋体" w:eastAsia="宋体" w:cs="宋体"/>
        </w:rPr>
      </w:pPr>
      <w:r>
        <w:rPr>
          <w:rFonts w:hint="eastAsia" w:ascii="宋体" w:hAnsi="宋体" w:eastAsia="宋体" w:cs="宋体"/>
        </w:rPr>
        <w:t>变压器和配电系统请电力部门安装，投入运行前，对各类保护装置先进行</w:t>
      </w:r>
      <w:r>
        <w:rPr>
          <w:rFonts w:hint="eastAsia" w:ascii="宋体" w:hAnsi="宋体" w:eastAsia="宋体" w:cs="宋体"/>
          <w:lang w:eastAsia="zh-CN"/>
        </w:rPr>
        <w:t>调校</w:t>
      </w:r>
      <w:r>
        <w:rPr>
          <w:rFonts w:hint="eastAsia" w:ascii="宋体" w:hAnsi="宋体" w:eastAsia="宋体" w:cs="宋体"/>
        </w:rPr>
        <w:t>。</w:t>
      </w:r>
    </w:p>
    <w:p w14:paraId="38B9F454">
      <w:pPr>
        <w:numPr>
          <w:ilvl w:val="0"/>
          <w:numId w:val="67"/>
        </w:numPr>
        <w:bidi w:val="0"/>
        <w:rPr>
          <w:rFonts w:hint="eastAsia" w:ascii="宋体" w:hAnsi="宋体" w:eastAsia="宋体" w:cs="宋体"/>
        </w:rPr>
      </w:pPr>
      <w:r>
        <w:rPr>
          <w:rFonts w:hint="eastAsia" w:ascii="宋体" w:hAnsi="宋体" w:eastAsia="宋体" w:cs="宋体"/>
        </w:rPr>
        <w:t>配电房应配备</w:t>
      </w:r>
      <w:r>
        <w:rPr>
          <w:rFonts w:hint="eastAsia" w:ascii="宋体" w:hAnsi="宋体" w:cs="宋体"/>
          <w:lang w:val="en-US" w:eastAsia="zh-CN"/>
        </w:rPr>
        <w:t>应急照明和</w:t>
      </w:r>
      <w:r>
        <w:rPr>
          <w:rFonts w:hint="eastAsia" w:ascii="宋体" w:hAnsi="宋体" w:eastAsia="宋体" w:cs="宋体"/>
        </w:rPr>
        <w:t>应急救援灭火器材，不能堆放杂物，灰尘要及时清除（如：灭火器和应急照明灯）。</w:t>
      </w:r>
    </w:p>
    <w:p w14:paraId="31E705EE">
      <w:pPr>
        <w:numPr>
          <w:ilvl w:val="0"/>
          <w:numId w:val="67"/>
        </w:numPr>
        <w:bidi w:val="0"/>
        <w:rPr>
          <w:rFonts w:hint="eastAsia" w:ascii="宋体" w:hAnsi="宋体" w:eastAsia="宋体" w:cs="宋体"/>
        </w:rPr>
      </w:pPr>
      <w:r>
        <w:rPr>
          <w:rFonts w:hint="eastAsia" w:ascii="宋体" w:hAnsi="宋体" w:eastAsia="宋体" w:cs="宋体"/>
        </w:rPr>
        <w:t>严格按操作规程操作。</w:t>
      </w:r>
    </w:p>
    <w:p w14:paraId="00F9761A">
      <w:pPr>
        <w:numPr>
          <w:ilvl w:val="0"/>
          <w:numId w:val="67"/>
        </w:numPr>
        <w:bidi w:val="0"/>
        <w:rPr>
          <w:rFonts w:hint="eastAsia" w:ascii="宋体" w:hAnsi="宋体" w:eastAsia="宋体" w:cs="宋体"/>
        </w:rPr>
      </w:pPr>
      <w:r>
        <w:rPr>
          <w:rFonts w:hint="eastAsia" w:ascii="宋体" w:hAnsi="宋体" w:eastAsia="宋体" w:cs="宋体"/>
        </w:rPr>
        <w:t>停电检修时，所有已切断的开关把手均要加锁或派专人看护，并悬挂“有人作业，</w:t>
      </w:r>
      <w:r>
        <w:rPr>
          <w:rFonts w:hint="eastAsia" w:ascii="宋体" w:hAnsi="宋体" w:eastAsia="宋体" w:cs="宋体"/>
          <w:lang w:val="en-US" w:eastAsia="zh-CN"/>
        </w:rPr>
        <w:t>禁止合闸</w:t>
      </w:r>
      <w:r>
        <w:rPr>
          <w:rFonts w:hint="eastAsia" w:ascii="宋体" w:hAnsi="宋体" w:eastAsia="宋体" w:cs="宋体"/>
        </w:rPr>
        <w:t>”的标志牌，</w:t>
      </w:r>
    </w:p>
    <w:p w14:paraId="1D01B9AA">
      <w:pPr>
        <w:numPr>
          <w:ilvl w:val="0"/>
          <w:numId w:val="67"/>
        </w:numPr>
        <w:bidi w:val="0"/>
        <w:rPr>
          <w:rFonts w:hint="eastAsia" w:ascii="宋体" w:hAnsi="宋体" w:eastAsia="宋体" w:cs="宋体"/>
        </w:rPr>
      </w:pPr>
      <w:r>
        <w:rPr>
          <w:rFonts w:hint="eastAsia" w:ascii="宋体" w:hAnsi="宋体" w:eastAsia="宋体" w:cs="宋体"/>
        </w:rPr>
        <w:t>电气设备可能被人触及的裸露带电</w:t>
      </w:r>
      <w:r>
        <w:rPr>
          <w:rFonts w:hint="eastAsia" w:ascii="宋体" w:hAnsi="宋体" w:eastAsia="宋体" w:cs="宋体"/>
          <w:lang w:eastAsia="zh-CN"/>
        </w:rPr>
        <w:t>部分</w:t>
      </w:r>
      <w:r>
        <w:rPr>
          <w:rFonts w:hint="eastAsia" w:ascii="宋体" w:hAnsi="宋体" w:eastAsia="宋体" w:cs="宋体"/>
        </w:rPr>
        <w:t>，应设置安全防护罩</w:t>
      </w:r>
      <w:r>
        <w:rPr>
          <w:rFonts w:hint="eastAsia" w:ascii="宋体" w:hAnsi="宋体" w:eastAsia="宋体" w:cs="宋体"/>
          <w:lang w:eastAsia="zh-CN"/>
        </w:rPr>
        <w:t>或遮拦</w:t>
      </w:r>
      <w:r>
        <w:rPr>
          <w:rFonts w:hint="eastAsia" w:ascii="宋体" w:hAnsi="宋体" w:eastAsia="宋体" w:cs="宋体"/>
        </w:rPr>
        <w:t>，以及警示牌。</w:t>
      </w:r>
    </w:p>
    <w:p w14:paraId="29593BEF">
      <w:pPr>
        <w:numPr>
          <w:ilvl w:val="0"/>
          <w:numId w:val="67"/>
        </w:numPr>
        <w:bidi w:val="0"/>
        <w:rPr>
          <w:rFonts w:hint="eastAsia" w:ascii="宋体" w:hAnsi="宋体" w:eastAsia="宋体" w:cs="宋体"/>
        </w:rPr>
      </w:pPr>
      <w:r>
        <w:rPr>
          <w:rFonts w:hint="eastAsia" w:ascii="宋体" w:hAnsi="宋体" w:eastAsia="宋体" w:cs="宋体"/>
        </w:rPr>
        <w:t>变电所应有独立的避雷系统，以及防水，防潮及防止小动物窜入带电部位的措施。</w:t>
      </w:r>
    </w:p>
    <w:p w14:paraId="4B267B38">
      <w:pPr>
        <w:numPr>
          <w:ilvl w:val="0"/>
          <w:numId w:val="67"/>
        </w:numPr>
        <w:bidi w:val="0"/>
        <w:rPr>
          <w:rFonts w:hint="eastAsia" w:ascii="宋体" w:hAnsi="宋体" w:eastAsia="宋体" w:cs="宋体"/>
        </w:rPr>
      </w:pPr>
      <w:r>
        <w:rPr>
          <w:rFonts w:hint="eastAsia" w:ascii="宋体" w:hAnsi="宋体" w:eastAsia="宋体" w:cs="宋体"/>
        </w:rPr>
        <w:t>变压器室的门应上锁，并在室外悬挂“高压危险”的标志牌。室外变压器四周应有不低于1.</w:t>
      </w:r>
      <w:r>
        <w:rPr>
          <w:rFonts w:hint="eastAsia" w:ascii="宋体" w:hAnsi="宋体" w:eastAsia="宋体" w:cs="宋体"/>
          <w:lang w:val="en-US" w:eastAsia="zh-CN"/>
        </w:rPr>
        <w:t>8</w:t>
      </w:r>
      <w:r>
        <w:rPr>
          <w:rFonts w:hint="eastAsia" w:ascii="宋体" w:hAnsi="宋体" w:eastAsia="宋体" w:cs="宋体"/>
        </w:rPr>
        <w:t>m的围墙或栅栏，并与变压器保持一定距离。</w:t>
      </w:r>
    </w:p>
    <w:p w14:paraId="05BA9434">
      <w:pPr>
        <w:numPr>
          <w:ilvl w:val="0"/>
          <w:numId w:val="67"/>
        </w:numPr>
        <w:bidi w:val="0"/>
        <w:rPr>
          <w:rFonts w:hint="eastAsia" w:ascii="宋体" w:hAnsi="宋体" w:eastAsia="宋体" w:cs="宋体"/>
        </w:rPr>
      </w:pPr>
      <w:r>
        <w:rPr>
          <w:rFonts w:hint="eastAsia" w:ascii="宋体" w:hAnsi="宋体" w:eastAsia="宋体" w:cs="宋体"/>
        </w:rPr>
        <w:t>变压器</w:t>
      </w:r>
      <w:r>
        <w:rPr>
          <w:rFonts w:hint="eastAsia" w:ascii="宋体" w:hAnsi="宋体" w:eastAsia="宋体" w:cs="宋体"/>
          <w:lang w:eastAsia="zh-CN"/>
        </w:rPr>
        <w:t>及其他</w:t>
      </w:r>
      <w:r>
        <w:rPr>
          <w:rFonts w:hint="eastAsia" w:ascii="宋体" w:hAnsi="宋体" w:eastAsia="宋体" w:cs="宋体"/>
        </w:rPr>
        <w:t>变配电设备的外壳，均应可靠接地，且接地电阻不得大于4</w:t>
      </w:r>
      <w:r>
        <w:rPr>
          <w:rFonts w:hint="eastAsia" w:ascii="宋体" w:hAnsi="宋体" w:eastAsia="宋体" w:cs="宋体"/>
          <w:lang w:val="en-US" w:eastAsia="zh-CN"/>
        </w:rPr>
        <w:t>Ω</w:t>
      </w:r>
      <w:r>
        <w:rPr>
          <w:rFonts w:hint="eastAsia" w:ascii="宋体" w:hAnsi="宋体" w:eastAsia="宋体" w:cs="宋体"/>
        </w:rPr>
        <w:t>。保护接零的低压系统，变压器低压侧中性点应直接接地；保护接地的系统，中性点通过击穿保险器接地</w:t>
      </w:r>
      <w:r>
        <w:rPr>
          <w:rFonts w:hint="eastAsia" w:ascii="宋体" w:hAnsi="宋体" w:eastAsia="宋体" w:cs="宋体"/>
          <w:lang w:eastAsia="zh-CN"/>
        </w:rPr>
        <w:t>。</w:t>
      </w:r>
    </w:p>
    <w:p w14:paraId="0E31ED25">
      <w:pPr>
        <w:pStyle w:val="4"/>
        <w:bidi w:val="0"/>
        <w:rPr>
          <w:rFonts w:hint="eastAsia"/>
          <w:lang w:val="en-US" w:eastAsia="zh-CN"/>
        </w:rPr>
      </w:pPr>
      <w:bookmarkStart w:id="244" w:name="_Toc7672"/>
      <w:r>
        <w:rPr>
          <w:rFonts w:hint="eastAsia"/>
          <w:lang w:val="en-US" w:eastAsia="zh-CN"/>
        </w:rPr>
        <w:t>防排水</w:t>
      </w:r>
      <w:r>
        <w:t>单元</w:t>
      </w:r>
      <w:r>
        <w:rPr>
          <w:rFonts w:hint="default"/>
        </w:rPr>
        <w:t>安全对策措施建议</w:t>
      </w:r>
      <w:bookmarkEnd w:id="244"/>
    </w:p>
    <w:p w14:paraId="5895E072">
      <w:pPr>
        <w:numPr>
          <w:ilvl w:val="0"/>
          <w:numId w:val="68"/>
        </w:numPr>
        <w:ind w:left="0" w:leftChars="0" w:firstLine="560" w:firstLineChars="200"/>
        <w:rPr>
          <w:rFonts w:hint="eastAsia" w:ascii="宋体" w:hAnsi="宋体" w:eastAsia="宋体" w:cs="宋体"/>
          <w:lang w:val="en-US" w:eastAsia="zh-CN"/>
        </w:rPr>
      </w:pPr>
      <w:r>
        <w:rPr>
          <w:rFonts w:hint="eastAsia" w:ascii="Times New Roman" w:hAnsi="Times New Roman" w:cs="Times New Roman"/>
          <w:lang w:val="en-US" w:eastAsia="zh-CN"/>
        </w:rPr>
        <w:t>建议在下一步设计中补充采场</w:t>
      </w:r>
      <w:r>
        <w:rPr>
          <w:rFonts w:hint="eastAsia" w:ascii="Times New Roman" w:hAnsi="Times New Roman" w:cs="Times New Roman"/>
          <w:lang w:eastAsia="zh-CN"/>
        </w:rPr>
        <w:t>汇水</w:t>
      </w:r>
      <w:r>
        <w:rPr>
          <w:rFonts w:hint="eastAsia" w:ascii="Times New Roman" w:hAnsi="Times New Roman" w:cs="Times New Roman"/>
          <w:lang w:val="en-US" w:eastAsia="zh-CN"/>
        </w:rPr>
        <w:t>面积、汇水量、水沟的计算等内容，并完善露天矿用设备应配备灭火器及其型号。</w:t>
      </w:r>
    </w:p>
    <w:p w14:paraId="324F92C0">
      <w:pPr>
        <w:numPr>
          <w:ilvl w:val="0"/>
          <w:numId w:val="68"/>
        </w:numPr>
        <w:ind w:left="0" w:leftChars="0" w:firstLine="560" w:firstLineChars="200"/>
        <w:rPr>
          <w:rFonts w:hint="eastAsia" w:ascii="宋体" w:hAnsi="宋体" w:eastAsia="宋体" w:cs="宋体"/>
          <w:lang w:val="en-US" w:eastAsia="zh-CN"/>
        </w:rPr>
      </w:pPr>
      <w:r>
        <w:rPr>
          <w:rFonts w:hint="eastAsia" w:ascii="宋体" w:hAnsi="宋体"/>
          <w:szCs w:val="28"/>
          <w:lang w:val="en-US" w:eastAsia="zh-CN"/>
        </w:rPr>
        <w:t>企业应</w:t>
      </w:r>
      <w:r>
        <w:rPr>
          <w:rFonts w:hint="eastAsia" w:ascii="宋体" w:hAnsi="宋体"/>
          <w:szCs w:val="28"/>
        </w:rPr>
        <w:t>按照设计要求完善</w:t>
      </w:r>
      <w:r>
        <w:rPr>
          <w:rFonts w:hint="eastAsia" w:ascii="宋体" w:hAnsi="宋体" w:cs="宋体"/>
          <w:color w:val="auto"/>
          <w:sz w:val="30"/>
        </w:rPr>
        <w:t>矿运公路</w:t>
      </w:r>
      <w:r>
        <w:rPr>
          <w:rFonts w:hint="eastAsia" w:ascii="宋体" w:hAnsi="宋体" w:cs="宋体"/>
          <w:color w:val="auto"/>
          <w:sz w:val="30"/>
          <w:lang w:eastAsia="zh-CN"/>
        </w:rPr>
        <w:t>、</w:t>
      </w:r>
      <w:r>
        <w:rPr>
          <w:rFonts w:hint="eastAsia" w:ascii="宋体" w:hAnsi="宋体" w:cs="宋体"/>
          <w:color w:val="auto"/>
          <w:sz w:val="30"/>
          <w:lang w:val="en-US" w:eastAsia="zh-CN"/>
        </w:rPr>
        <w:t>排土场和</w:t>
      </w:r>
      <w:r>
        <w:rPr>
          <w:rFonts w:hint="eastAsia" w:ascii="宋体" w:hAnsi="宋体"/>
          <w:szCs w:val="28"/>
          <w:lang w:val="en-US" w:eastAsia="zh-CN"/>
        </w:rPr>
        <w:t>台阶</w:t>
      </w:r>
      <w:r>
        <w:rPr>
          <w:rFonts w:hint="eastAsia" w:ascii="宋体" w:hAnsi="宋体"/>
          <w:szCs w:val="28"/>
        </w:rPr>
        <w:t>排水沟。</w:t>
      </w:r>
    </w:p>
    <w:p w14:paraId="5F124204">
      <w:pPr>
        <w:numPr>
          <w:ilvl w:val="0"/>
          <w:numId w:val="68"/>
        </w:numPr>
        <w:ind w:left="0" w:leftChars="0" w:firstLine="560" w:firstLineChars="200"/>
        <w:rPr>
          <w:rFonts w:hint="eastAsia" w:ascii="宋体" w:hAnsi="宋体" w:eastAsia="宋体" w:cs="宋体"/>
          <w:lang w:eastAsia="zh-CN"/>
        </w:rPr>
      </w:pPr>
      <w:r>
        <w:rPr>
          <w:rFonts w:hint="eastAsia" w:ascii="宋体" w:hAnsi="宋体" w:eastAsia="宋体" w:cs="宋体"/>
          <w:lang w:eastAsia="zh-CN"/>
        </w:rPr>
        <w:t>制定防排水检查制度，定期对防排水设施进行检查，保证防排水设施完好、有效。雨季来临前，应对矿山所有防排水系统进行一次大检查，并将影响矿山生产、生活的隐患及时</w:t>
      </w:r>
      <w:r>
        <w:rPr>
          <w:rFonts w:hint="eastAsia" w:ascii="宋体" w:hAnsi="宋体" w:cs="宋体"/>
          <w:lang w:eastAsia="zh-CN"/>
        </w:rPr>
        <w:t>排除</w:t>
      </w:r>
      <w:r>
        <w:rPr>
          <w:rFonts w:hint="eastAsia" w:ascii="宋体" w:hAnsi="宋体" w:eastAsia="宋体" w:cs="宋体"/>
          <w:lang w:eastAsia="zh-CN"/>
        </w:rPr>
        <w:t>，同时加大对汛期的安全检查力度，加强汛期的值班领导及值班力量，及时处理汛期中发生的问题。</w:t>
      </w:r>
    </w:p>
    <w:p w14:paraId="47CB644D">
      <w:pPr>
        <w:numPr>
          <w:ilvl w:val="0"/>
          <w:numId w:val="68"/>
        </w:numPr>
        <w:ind w:left="0" w:leftChars="0" w:firstLine="560" w:firstLineChars="200"/>
        <w:rPr>
          <w:rFonts w:hint="eastAsia" w:ascii="宋体" w:hAnsi="宋体" w:eastAsia="宋体" w:cs="宋体"/>
          <w:lang w:eastAsia="zh-CN"/>
        </w:rPr>
      </w:pPr>
      <w:r>
        <w:rPr>
          <w:rFonts w:hint="eastAsia" w:ascii="宋体" w:hAnsi="宋体"/>
          <w:szCs w:val="28"/>
        </w:rPr>
        <w:t>矿山雨季期间应加强对边坡安全检查，发现隐患应及时整改，避免发生边坡失稳、坍塌、滑坡等地质灾害。</w:t>
      </w:r>
    </w:p>
    <w:p w14:paraId="232A7EF8">
      <w:pPr>
        <w:numPr>
          <w:ilvl w:val="0"/>
          <w:numId w:val="68"/>
        </w:numPr>
        <w:ind w:left="0" w:leftChars="0" w:firstLine="560" w:firstLineChars="200"/>
        <w:rPr>
          <w:rFonts w:hint="eastAsia" w:ascii="宋体" w:hAnsi="宋体" w:eastAsia="宋体" w:cs="宋体"/>
          <w:lang w:eastAsia="zh-CN"/>
        </w:rPr>
      </w:pPr>
      <w:r>
        <w:rPr>
          <w:rFonts w:hint="eastAsia" w:ascii="宋体" w:hAnsi="宋体" w:eastAsia="宋体" w:cs="宋体"/>
          <w:lang w:eastAsia="zh-CN"/>
        </w:rPr>
        <w:t>矿区内</w:t>
      </w:r>
      <w:r>
        <w:rPr>
          <w:rFonts w:hint="eastAsia" w:ascii="宋体" w:hAnsi="宋体" w:cs="宋体"/>
          <w:lang w:eastAsia="zh-CN"/>
        </w:rPr>
        <w:t>沉淀池、蓄水池</w:t>
      </w:r>
      <w:r>
        <w:rPr>
          <w:rFonts w:hint="eastAsia" w:ascii="宋体" w:hAnsi="宋体" w:eastAsia="宋体" w:cs="宋体"/>
          <w:lang w:eastAsia="zh-CN"/>
        </w:rPr>
        <w:t>，企业应做好安全防护措施，防止人员</w:t>
      </w:r>
      <w:r>
        <w:rPr>
          <w:rFonts w:hint="eastAsia" w:ascii="宋体" w:hAnsi="宋体" w:cs="宋体"/>
          <w:lang w:val="en-US" w:eastAsia="zh-CN"/>
        </w:rPr>
        <w:t>触电、</w:t>
      </w:r>
      <w:r>
        <w:rPr>
          <w:rFonts w:hint="eastAsia" w:ascii="宋体" w:hAnsi="宋体" w:eastAsia="宋体" w:cs="宋体"/>
          <w:lang w:eastAsia="zh-CN"/>
        </w:rPr>
        <w:t>淹溺。</w:t>
      </w:r>
    </w:p>
    <w:p w14:paraId="67FDD2F4">
      <w:pPr>
        <w:pStyle w:val="4"/>
        <w:bidi w:val="0"/>
        <w:rPr>
          <w:rFonts w:hint="default"/>
          <w:lang w:val="en-US" w:eastAsia="zh-CN"/>
        </w:rPr>
      </w:pPr>
      <w:bookmarkStart w:id="245" w:name="_Toc6906"/>
      <w:r>
        <w:rPr>
          <w:rFonts w:hint="eastAsia"/>
          <w:lang w:val="en-US" w:eastAsia="zh-CN"/>
        </w:rPr>
        <w:t>安全管理及其他</w:t>
      </w:r>
      <w:r>
        <w:t>单元</w:t>
      </w:r>
      <w:r>
        <w:rPr>
          <w:rFonts w:hint="default"/>
        </w:rPr>
        <w:t>安全对策措施建议</w:t>
      </w:r>
      <w:bookmarkEnd w:id="245"/>
    </w:p>
    <w:p w14:paraId="1836D517">
      <w:pPr>
        <w:numPr>
          <w:ilvl w:val="0"/>
          <w:numId w:val="69"/>
        </w:numPr>
        <w:bidi w:val="0"/>
        <w:ind w:left="0" w:leftChars="0" w:firstLine="560" w:firstLineChars="200"/>
        <w:rPr>
          <w:rFonts w:hint="eastAsia" w:ascii="宋体" w:hAnsi="宋体" w:eastAsia="宋体" w:cs="宋体"/>
          <w:color w:val="000000"/>
          <w:szCs w:val="20"/>
        </w:rPr>
      </w:pPr>
      <w:r>
        <w:rPr>
          <w:rFonts w:hint="eastAsia" w:ascii="宋体" w:hAnsi="宋体" w:eastAsia="宋体" w:cs="宋体"/>
          <w:color w:val="000000"/>
          <w:szCs w:val="20"/>
        </w:rPr>
        <w:t>生产经营单位的主要负责人是本单位安全生产第一责任人，对本单位的安全生产工作全面负责，履行下列职责：</w:t>
      </w:r>
    </w:p>
    <w:p w14:paraId="62A94624">
      <w:pPr>
        <w:keepNext w:val="0"/>
        <w:keepLines w:val="0"/>
        <w:pageBreakBefore w:val="0"/>
        <w:widowControl w:val="0"/>
        <w:numPr>
          <w:ilvl w:val="0"/>
          <w:numId w:val="70"/>
        </w:numPr>
        <w:kinsoku/>
        <w:wordWrap/>
        <w:overflowPunct/>
        <w:topLinePunct w:val="0"/>
        <w:autoSpaceDE/>
        <w:autoSpaceDN/>
        <w:bidi w:val="0"/>
        <w:adjustRightInd w:val="0"/>
        <w:snapToGrid w:val="0"/>
        <w:spacing w:line="500" w:lineRule="exact"/>
        <w:ind w:left="0" w:leftChars="0"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建立健全并落实本单位全员安全生产责任制，加强安全生产标准化建设；</w:t>
      </w:r>
    </w:p>
    <w:p w14:paraId="6AAA61FA">
      <w:pPr>
        <w:keepNext w:val="0"/>
        <w:keepLines w:val="0"/>
        <w:pageBreakBefore w:val="0"/>
        <w:widowControl w:val="0"/>
        <w:numPr>
          <w:ilvl w:val="0"/>
          <w:numId w:val="70"/>
        </w:numPr>
        <w:kinsoku/>
        <w:wordWrap/>
        <w:overflowPunct/>
        <w:topLinePunct w:val="0"/>
        <w:autoSpaceDE/>
        <w:autoSpaceDN/>
        <w:bidi w:val="0"/>
        <w:adjustRightInd w:val="0"/>
        <w:snapToGrid w:val="0"/>
        <w:spacing w:line="500" w:lineRule="exact"/>
        <w:ind w:left="0" w:leftChars="0"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组织制定并实施本单位安全生产规章制度和操作规程；</w:t>
      </w:r>
    </w:p>
    <w:p w14:paraId="055C2499">
      <w:pPr>
        <w:keepNext w:val="0"/>
        <w:keepLines w:val="0"/>
        <w:pageBreakBefore w:val="0"/>
        <w:widowControl w:val="0"/>
        <w:numPr>
          <w:ilvl w:val="0"/>
          <w:numId w:val="70"/>
        </w:numPr>
        <w:kinsoku/>
        <w:wordWrap/>
        <w:overflowPunct/>
        <w:topLinePunct w:val="0"/>
        <w:autoSpaceDE/>
        <w:autoSpaceDN/>
        <w:bidi w:val="0"/>
        <w:adjustRightInd w:val="0"/>
        <w:snapToGrid w:val="0"/>
        <w:spacing w:line="500" w:lineRule="exact"/>
        <w:ind w:left="0" w:leftChars="0"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组织制定并实施本单位安全生产教育和培训计划；</w:t>
      </w:r>
    </w:p>
    <w:p w14:paraId="67AAAD20">
      <w:pPr>
        <w:keepNext w:val="0"/>
        <w:keepLines w:val="0"/>
        <w:pageBreakBefore w:val="0"/>
        <w:widowControl w:val="0"/>
        <w:numPr>
          <w:ilvl w:val="0"/>
          <w:numId w:val="70"/>
        </w:numPr>
        <w:kinsoku/>
        <w:wordWrap/>
        <w:overflowPunct/>
        <w:topLinePunct w:val="0"/>
        <w:autoSpaceDE/>
        <w:autoSpaceDN/>
        <w:bidi w:val="0"/>
        <w:adjustRightInd w:val="0"/>
        <w:snapToGrid w:val="0"/>
        <w:spacing w:line="500" w:lineRule="exact"/>
        <w:ind w:left="0" w:leftChars="0"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保证本单位安全生产投入的有效实施；</w:t>
      </w:r>
    </w:p>
    <w:p w14:paraId="72A3A1FA">
      <w:pPr>
        <w:keepNext w:val="0"/>
        <w:keepLines w:val="0"/>
        <w:pageBreakBefore w:val="0"/>
        <w:widowControl w:val="0"/>
        <w:numPr>
          <w:ilvl w:val="0"/>
          <w:numId w:val="70"/>
        </w:numPr>
        <w:kinsoku/>
        <w:wordWrap/>
        <w:overflowPunct/>
        <w:topLinePunct w:val="0"/>
        <w:autoSpaceDE/>
        <w:autoSpaceDN/>
        <w:bidi w:val="0"/>
        <w:adjustRightInd w:val="0"/>
        <w:snapToGrid w:val="0"/>
        <w:spacing w:line="500" w:lineRule="exact"/>
        <w:ind w:left="0" w:leftChars="0"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组织建立并落实安全风险分级管控和隐患排查治理双重预防工作机制，督促、检查本单位的安全生产工作，及时消除生产安全事故隐患；</w:t>
      </w:r>
    </w:p>
    <w:p w14:paraId="4BF94739">
      <w:pPr>
        <w:keepNext w:val="0"/>
        <w:keepLines w:val="0"/>
        <w:pageBreakBefore w:val="0"/>
        <w:widowControl w:val="0"/>
        <w:numPr>
          <w:ilvl w:val="0"/>
          <w:numId w:val="70"/>
        </w:numPr>
        <w:kinsoku/>
        <w:wordWrap/>
        <w:overflowPunct/>
        <w:topLinePunct w:val="0"/>
        <w:autoSpaceDE/>
        <w:autoSpaceDN/>
        <w:bidi w:val="0"/>
        <w:adjustRightInd w:val="0"/>
        <w:snapToGrid w:val="0"/>
        <w:spacing w:line="500" w:lineRule="exact"/>
        <w:ind w:left="0" w:leftChars="0"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组织制定并实施本单位的生产安全事故应急救援预案；</w:t>
      </w:r>
    </w:p>
    <w:p w14:paraId="0C0DD935">
      <w:pPr>
        <w:keepNext w:val="0"/>
        <w:keepLines w:val="0"/>
        <w:pageBreakBefore w:val="0"/>
        <w:widowControl w:val="0"/>
        <w:numPr>
          <w:ilvl w:val="0"/>
          <w:numId w:val="70"/>
        </w:numPr>
        <w:kinsoku/>
        <w:wordWrap/>
        <w:overflowPunct/>
        <w:topLinePunct w:val="0"/>
        <w:autoSpaceDE/>
        <w:autoSpaceDN/>
        <w:bidi w:val="0"/>
        <w:adjustRightInd w:val="0"/>
        <w:snapToGrid w:val="0"/>
        <w:spacing w:line="500" w:lineRule="exact"/>
        <w:ind w:left="0" w:leftChars="0"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及时、如实报告生产安全事故；</w:t>
      </w:r>
    </w:p>
    <w:p w14:paraId="40E37E59">
      <w:pPr>
        <w:keepNext w:val="0"/>
        <w:keepLines w:val="0"/>
        <w:pageBreakBefore w:val="0"/>
        <w:widowControl w:val="0"/>
        <w:numPr>
          <w:ilvl w:val="0"/>
          <w:numId w:val="70"/>
        </w:numPr>
        <w:kinsoku/>
        <w:wordWrap/>
        <w:overflowPunct/>
        <w:topLinePunct w:val="0"/>
        <w:autoSpaceDE/>
        <w:autoSpaceDN/>
        <w:bidi w:val="0"/>
        <w:adjustRightInd w:val="0"/>
        <w:snapToGrid w:val="0"/>
        <w:spacing w:line="500" w:lineRule="exact"/>
        <w:ind w:left="0" w:leftChars="0"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定期召开安全生产工作会议，研究解决有关重大问题。</w:t>
      </w:r>
    </w:p>
    <w:p w14:paraId="02366035">
      <w:pPr>
        <w:numPr>
          <w:ilvl w:val="0"/>
          <w:numId w:val="69"/>
        </w:numPr>
        <w:bidi w:val="0"/>
        <w:ind w:left="0" w:leftChars="0" w:firstLine="560" w:firstLineChars="200"/>
        <w:rPr>
          <w:rFonts w:hint="eastAsia" w:ascii="Times New Roman" w:hAnsi="Times New Roman" w:eastAsia="宋体" w:cs="Times New Roman"/>
        </w:rPr>
      </w:pPr>
      <w:r>
        <w:rPr>
          <w:rFonts w:hint="eastAsia" w:ascii="宋体" w:hAnsi="宋体" w:eastAsia="宋体" w:cs="宋体"/>
          <w:color w:val="000000"/>
          <w:szCs w:val="20"/>
        </w:rPr>
        <w:t>建议企业改扩建完成后，尽快</w:t>
      </w:r>
      <w:r>
        <w:rPr>
          <w:rFonts w:hint="eastAsia" w:ascii="宋体" w:hAnsi="宋体" w:cs="宋体"/>
          <w:color w:val="000000"/>
          <w:szCs w:val="20"/>
          <w:lang w:val="en-US" w:eastAsia="zh-CN"/>
        </w:rPr>
        <w:t>健全和完善安全管理制度</w:t>
      </w:r>
      <w:r>
        <w:rPr>
          <w:rFonts w:hint="eastAsia" w:ascii="宋体" w:hAnsi="宋体" w:eastAsia="宋体" w:cs="宋体"/>
          <w:color w:val="000000"/>
          <w:szCs w:val="20"/>
        </w:rPr>
        <w:t>相关内容，并结合</w:t>
      </w:r>
      <w:r>
        <w:rPr>
          <w:rFonts w:hint="eastAsia" w:ascii="宋体" w:hAnsi="宋体" w:cs="宋体"/>
          <w:color w:val="000000"/>
          <w:szCs w:val="20"/>
          <w:lang w:val="en-US" w:eastAsia="zh-CN"/>
        </w:rPr>
        <w:t>矿山</w:t>
      </w:r>
      <w:r>
        <w:rPr>
          <w:rFonts w:hint="eastAsia" w:ascii="宋体" w:hAnsi="宋体" w:eastAsia="宋体" w:cs="宋体"/>
          <w:color w:val="000000"/>
          <w:szCs w:val="20"/>
        </w:rPr>
        <w:t>安全生产标准化及双重预防机制建设要求，完善相应管理制度及管理体系。</w:t>
      </w:r>
    </w:p>
    <w:p w14:paraId="6BDF8E8B">
      <w:pPr>
        <w:numPr>
          <w:ilvl w:val="0"/>
          <w:numId w:val="69"/>
        </w:numPr>
        <w:bidi w:val="0"/>
        <w:ind w:left="0" w:leftChars="0" w:firstLine="560" w:firstLineChars="200"/>
        <w:rPr>
          <w:rFonts w:hint="eastAsia" w:ascii="Times New Roman" w:hAnsi="Times New Roman" w:eastAsia="宋体" w:cs="Times New Roman"/>
        </w:rPr>
      </w:pPr>
      <w:r>
        <w:rPr>
          <w:rFonts w:hint="eastAsia" w:ascii="Times New Roman" w:hAnsi="Times New Roman" w:eastAsia="宋体" w:cs="Times New Roman"/>
        </w:rPr>
        <w:t>坚持安全生产人人有责的原则</w:t>
      </w:r>
    </w:p>
    <w:p w14:paraId="7A08589A">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企业通过建立、健全各级安全生产责任制、岗位安全技术操作规程，把安全与生产从组织领导上统一起来，</w:t>
      </w:r>
      <w:r>
        <w:rPr>
          <w:rFonts w:hint="eastAsia" w:ascii="宋体" w:hAnsi="宋体" w:cs="宋体"/>
          <w:color w:val="auto"/>
          <w:sz w:val="28"/>
          <w:szCs w:val="28"/>
          <w:lang w:eastAsia="zh-CN"/>
        </w:rPr>
        <w:t>增强</w:t>
      </w:r>
      <w:r>
        <w:rPr>
          <w:rFonts w:hint="eastAsia" w:ascii="宋体" w:hAnsi="宋体" w:eastAsia="宋体" w:cs="宋体"/>
          <w:color w:val="auto"/>
          <w:sz w:val="28"/>
          <w:szCs w:val="28"/>
        </w:rPr>
        <w:t>全员安全生产意识，以实现“全员、全过程、全方位、全天候”的安全监督和管理。依靠全体职工重视安全生产，提高警惕，互相监督，精心操作，认真检查，发现隐患及时消除，从而实现安全生产。</w:t>
      </w:r>
    </w:p>
    <w:p w14:paraId="6F608EBA">
      <w:pPr>
        <w:numPr>
          <w:ilvl w:val="0"/>
          <w:numId w:val="69"/>
        </w:numPr>
        <w:bidi w:val="0"/>
        <w:ind w:left="0" w:leftChars="0" w:firstLine="560" w:firstLineChars="200"/>
        <w:rPr>
          <w:rFonts w:hint="eastAsia" w:ascii="Times New Roman" w:hAnsi="Times New Roman" w:eastAsia="宋体" w:cs="Times New Roman"/>
        </w:rPr>
      </w:pPr>
      <w:r>
        <w:rPr>
          <w:rFonts w:hint="eastAsia" w:ascii="Times New Roman" w:hAnsi="Times New Roman" w:eastAsia="宋体" w:cs="Times New Roman"/>
        </w:rPr>
        <w:t>坚持“四不放过”的原则</w:t>
      </w:r>
    </w:p>
    <w:p w14:paraId="2BBF7C7E">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企业对发生的生产安全事故，应坚持事故原因没查清不放过、事故责任者没有处理不放过、职工没有受到教育不放过、防范措施没有落实不放过。</w:t>
      </w:r>
    </w:p>
    <w:p w14:paraId="374770CC">
      <w:pPr>
        <w:numPr>
          <w:ilvl w:val="0"/>
          <w:numId w:val="69"/>
        </w:numPr>
        <w:bidi w:val="0"/>
        <w:ind w:left="0" w:leftChars="0" w:firstLine="560" w:firstLineChars="200"/>
        <w:rPr>
          <w:rFonts w:hint="eastAsia" w:ascii="Times New Roman" w:hAnsi="Times New Roman" w:eastAsia="宋体" w:cs="Times New Roman"/>
        </w:rPr>
      </w:pPr>
      <w:r>
        <w:rPr>
          <w:rFonts w:hint="eastAsia" w:ascii="Times New Roman" w:hAnsi="Times New Roman" w:eastAsia="宋体" w:cs="Times New Roman"/>
        </w:rPr>
        <w:t>坚持安全生产“五同时”原则</w:t>
      </w:r>
    </w:p>
    <w:p w14:paraId="36CD62E1">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 xml:space="preserve"> 企业领导在计划、布置、检查、总结、评比生产的同时，必须计划、布置、检查、总结、评比安全工作。</w:t>
      </w:r>
    </w:p>
    <w:p w14:paraId="08707EA0">
      <w:pPr>
        <w:numPr>
          <w:ilvl w:val="0"/>
          <w:numId w:val="69"/>
        </w:numPr>
        <w:bidi w:val="0"/>
        <w:ind w:left="0" w:leftChars="0" w:firstLine="560" w:firstLineChars="200"/>
        <w:rPr>
          <w:rFonts w:hint="eastAsia" w:ascii="Times New Roman" w:hAnsi="Times New Roman" w:eastAsia="宋体" w:cs="Times New Roman"/>
        </w:rPr>
      </w:pPr>
      <w:r>
        <w:rPr>
          <w:rFonts w:hint="eastAsia" w:ascii="Times New Roman" w:hAnsi="Times New Roman" w:eastAsia="宋体" w:cs="Times New Roman"/>
        </w:rPr>
        <w:t>加强安全教育、培训与考核工作</w:t>
      </w:r>
    </w:p>
    <w:p w14:paraId="56D1C2C0">
      <w:pPr>
        <w:keepNext w:val="0"/>
        <w:keepLines w:val="0"/>
        <w:pageBreakBefore w:val="0"/>
        <w:widowControl w:val="0"/>
        <w:numPr>
          <w:ilvl w:val="0"/>
          <w:numId w:val="71"/>
        </w:numPr>
        <w:kinsoku/>
        <w:wordWrap/>
        <w:overflowPunct/>
        <w:topLinePunct w:val="0"/>
        <w:autoSpaceDE/>
        <w:autoSpaceDN/>
        <w:bidi w:val="0"/>
        <w:adjustRightInd w:val="0"/>
        <w:snapToGrid w:val="0"/>
        <w:spacing w:line="500" w:lineRule="exact"/>
        <w:ind w:left="0" w:leftChars="0"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切实加强对全体职工经常性安全教育和培训，使职工具有高度的安全责任心、</w:t>
      </w:r>
      <w:r>
        <w:rPr>
          <w:rFonts w:hint="eastAsia" w:ascii="宋体" w:hAnsi="宋体" w:eastAsia="宋体" w:cs="宋体"/>
          <w:color w:val="auto"/>
          <w:sz w:val="28"/>
          <w:szCs w:val="28"/>
          <w:lang w:eastAsia="zh-CN"/>
        </w:rPr>
        <w:t>缜密</w:t>
      </w:r>
      <w:r>
        <w:rPr>
          <w:rFonts w:hint="eastAsia" w:ascii="宋体" w:hAnsi="宋体" w:eastAsia="宋体" w:cs="宋体"/>
          <w:color w:val="auto"/>
          <w:sz w:val="28"/>
          <w:szCs w:val="28"/>
        </w:rPr>
        <w:t>的态度，并且要熟悉相应的业务，有熟练的操作技能，具备有关物料、设备、设施相关知识和</w:t>
      </w:r>
      <w:r>
        <w:rPr>
          <w:rFonts w:hint="eastAsia" w:ascii="宋体" w:hAnsi="宋体" w:eastAsia="宋体" w:cs="宋体"/>
          <w:color w:val="auto"/>
          <w:sz w:val="28"/>
          <w:szCs w:val="28"/>
          <w:lang w:eastAsia="zh-CN"/>
        </w:rPr>
        <w:t>应急</w:t>
      </w:r>
      <w:r>
        <w:rPr>
          <w:rFonts w:hint="eastAsia" w:ascii="宋体" w:hAnsi="宋体" w:eastAsia="宋体" w:cs="宋体"/>
          <w:color w:val="auto"/>
          <w:sz w:val="28"/>
          <w:szCs w:val="28"/>
        </w:rPr>
        <w:t>处理能力，有预防火灾、中毒和职业危害的知识和能力，在紧急情况下能采取正确的应急方法，事故发生时有自救互救能力；</w:t>
      </w:r>
    </w:p>
    <w:p w14:paraId="33EA893E">
      <w:pPr>
        <w:keepNext w:val="0"/>
        <w:keepLines w:val="0"/>
        <w:pageBreakBefore w:val="0"/>
        <w:widowControl w:val="0"/>
        <w:numPr>
          <w:ilvl w:val="0"/>
          <w:numId w:val="71"/>
        </w:numPr>
        <w:kinsoku/>
        <w:wordWrap/>
        <w:overflowPunct/>
        <w:topLinePunct w:val="0"/>
        <w:autoSpaceDE/>
        <w:autoSpaceDN/>
        <w:bidi w:val="0"/>
        <w:adjustRightInd w:val="0"/>
        <w:snapToGrid w:val="0"/>
        <w:spacing w:line="500" w:lineRule="exact"/>
        <w:ind w:left="0" w:leftChars="0"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加强对新职工的安全教育、专业培训和考核，新进人员必须经过严格的三级安全教育和专业培训，并经考试合格后方可上岗，对转岗、复工人员应参照新职工的要求进行培训和考核，</w:t>
      </w:r>
      <w:r>
        <w:rPr>
          <w:rFonts w:hint="eastAsia" w:ascii="宋体" w:hAnsi="宋体" w:cs="宋体"/>
          <w:color w:val="auto"/>
          <w:sz w:val="28"/>
          <w:szCs w:val="28"/>
          <w:lang w:eastAsia="zh-CN"/>
        </w:rPr>
        <w:t>对新</w:t>
      </w:r>
      <w:r>
        <w:rPr>
          <w:rFonts w:hint="eastAsia" w:ascii="宋体" w:hAnsi="宋体" w:eastAsia="宋体" w:cs="宋体"/>
          <w:color w:val="auto"/>
          <w:sz w:val="28"/>
          <w:szCs w:val="28"/>
        </w:rPr>
        <w:t>职工每年至少进行两次安全技术培训和考核，从事特种作业的人员必须经培训考核合格后持证上岗；</w:t>
      </w:r>
    </w:p>
    <w:p w14:paraId="00FB9F32">
      <w:pPr>
        <w:keepNext w:val="0"/>
        <w:keepLines w:val="0"/>
        <w:pageBreakBefore w:val="0"/>
        <w:widowControl w:val="0"/>
        <w:numPr>
          <w:ilvl w:val="0"/>
          <w:numId w:val="71"/>
        </w:numPr>
        <w:kinsoku/>
        <w:wordWrap/>
        <w:overflowPunct/>
        <w:topLinePunct w:val="0"/>
        <w:autoSpaceDE/>
        <w:autoSpaceDN/>
        <w:bidi w:val="0"/>
        <w:adjustRightInd w:val="0"/>
        <w:snapToGrid w:val="0"/>
        <w:spacing w:line="500" w:lineRule="exact"/>
        <w:ind w:left="0" w:leftChars="0"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教育职工遵守各项规章制度，杜绝“三违”。特别要重视生产过程中、检修、抢修时，异常天气情况下应采取的紧急处理措施，事前要有完善的作业方案，确保</w:t>
      </w:r>
      <w:r>
        <w:rPr>
          <w:rFonts w:hint="eastAsia" w:ascii="宋体" w:hAnsi="宋体" w:eastAsia="宋体" w:cs="宋体"/>
          <w:color w:val="auto"/>
          <w:sz w:val="28"/>
          <w:szCs w:val="28"/>
          <w:lang w:eastAsia="zh-CN"/>
        </w:rPr>
        <w:t>万无一失</w:t>
      </w:r>
      <w:r>
        <w:rPr>
          <w:rFonts w:hint="eastAsia" w:ascii="宋体" w:hAnsi="宋体" w:eastAsia="宋体" w:cs="宋体"/>
          <w:color w:val="auto"/>
          <w:sz w:val="28"/>
          <w:szCs w:val="28"/>
        </w:rPr>
        <w:t>；</w:t>
      </w:r>
    </w:p>
    <w:p w14:paraId="55928CC5">
      <w:pPr>
        <w:keepNext w:val="0"/>
        <w:keepLines w:val="0"/>
        <w:pageBreakBefore w:val="0"/>
        <w:widowControl w:val="0"/>
        <w:numPr>
          <w:ilvl w:val="0"/>
          <w:numId w:val="71"/>
        </w:numPr>
        <w:kinsoku/>
        <w:wordWrap/>
        <w:overflowPunct/>
        <w:topLinePunct w:val="0"/>
        <w:autoSpaceDE/>
        <w:autoSpaceDN/>
        <w:bidi w:val="0"/>
        <w:adjustRightInd w:val="0"/>
        <w:snapToGrid w:val="0"/>
        <w:spacing w:line="500" w:lineRule="exact"/>
        <w:ind w:left="0" w:leftChars="0"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教育职工正确穿戴个体劳动防护用品，并保管好、维护好，生产区域内严禁穿短衣、短裤和赤膊等；</w:t>
      </w:r>
    </w:p>
    <w:p w14:paraId="321E7D63">
      <w:pPr>
        <w:keepNext w:val="0"/>
        <w:keepLines w:val="0"/>
        <w:pageBreakBefore w:val="0"/>
        <w:widowControl w:val="0"/>
        <w:numPr>
          <w:ilvl w:val="0"/>
          <w:numId w:val="71"/>
        </w:numPr>
        <w:kinsoku/>
        <w:wordWrap/>
        <w:overflowPunct/>
        <w:topLinePunct w:val="0"/>
        <w:autoSpaceDE/>
        <w:autoSpaceDN/>
        <w:bidi w:val="0"/>
        <w:adjustRightInd w:val="0"/>
        <w:snapToGrid w:val="0"/>
        <w:spacing w:line="500" w:lineRule="exact"/>
        <w:ind w:left="0" w:leftChars="0"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每一</w:t>
      </w:r>
      <w:r>
        <w:rPr>
          <w:rFonts w:hint="eastAsia" w:ascii="宋体" w:hAnsi="宋体" w:cs="宋体"/>
          <w:color w:val="auto"/>
          <w:sz w:val="28"/>
          <w:szCs w:val="28"/>
          <w:lang w:val="en-US" w:eastAsia="zh-CN"/>
        </w:rPr>
        <w:t>位</w:t>
      </w:r>
      <w:r>
        <w:rPr>
          <w:rFonts w:hint="eastAsia" w:ascii="宋体" w:hAnsi="宋体" w:eastAsia="宋体" w:cs="宋体"/>
          <w:color w:val="auto"/>
          <w:sz w:val="28"/>
          <w:szCs w:val="28"/>
        </w:rPr>
        <w:t>职工</w:t>
      </w:r>
      <w:r>
        <w:rPr>
          <w:rFonts w:hint="eastAsia" w:ascii="宋体" w:hAnsi="宋体" w:cs="宋体"/>
          <w:color w:val="auto"/>
          <w:sz w:val="28"/>
          <w:szCs w:val="28"/>
          <w:lang w:eastAsia="zh-CN"/>
        </w:rPr>
        <w:t>要</w:t>
      </w:r>
      <w:r>
        <w:rPr>
          <w:rFonts w:hint="eastAsia" w:ascii="宋体" w:hAnsi="宋体" w:eastAsia="宋体" w:cs="宋体"/>
          <w:color w:val="auto"/>
          <w:sz w:val="28"/>
          <w:szCs w:val="28"/>
        </w:rPr>
        <w:t>会报警和正确使用消防器材，学会扑灭早期火灾。</w:t>
      </w:r>
    </w:p>
    <w:p w14:paraId="5700DC9F">
      <w:pPr>
        <w:numPr>
          <w:ilvl w:val="0"/>
          <w:numId w:val="69"/>
        </w:numPr>
        <w:bidi w:val="0"/>
        <w:ind w:left="0" w:leftChars="0" w:firstLine="560" w:firstLineChars="200"/>
        <w:rPr>
          <w:rFonts w:hint="eastAsia" w:ascii="Times New Roman" w:hAnsi="Times New Roman" w:eastAsia="宋体" w:cs="Times New Roman"/>
        </w:rPr>
      </w:pPr>
      <w:r>
        <w:rPr>
          <w:rFonts w:hint="eastAsia" w:ascii="Times New Roman" w:hAnsi="Times New Roman" w:eastAsia="宋体" w:cs="Times New Roman"/>
        </w:rPr>
        <w:t>加强设备管理</w:t>
      </w:r>
    </w:p>
    <w:p w14:paraId="6785BD01">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根据工艺过程和设备特性，编制完善的操作规程，包括正常的</w:t>
      </w:r>
      <w:r>
        <w:rPr>
          <w:rFonts w:hint="eastAsia" w:ascii="宋体" w:hAnsi="宋体" w:cs="宋体"/>
          <w:color w:val="auto"/>
          <w:sz w:val="28"/>
          <w:szCs w:val="28"/>
          <w:lang w:val="en-US" w:eastAsia="zh-CN"/>
        </w:rPr>
        <w:t>启动</w:t>
      </w:r>
      <w:r>
        <w:rPr>
          <w:rFonts w:hint="eastAsia" w:ascii="宋体" w:hAnsi="宋体" w:eastAsia="宋体" w:cs="宋体"/>
          <w:color w:val="auto"/>
          <w:sz w:val="28"/>
          <w:szCs w:val="28"/>
        </w:rPr>
        <w:t>、停</w:t>
      </w:r>
      <w:r>
        <w:rPr>
          <w:rFonts w:hint="eastAsia" w:ascii="宋体" w:hAnsi="宋体" w:cs="宋体"/>
          <w:color w:val="auto"/>
          <w:sz w:val="28"/>
          <w:szCs w:val="28"/>
          <w:lang w:val="en-US" w:eastAsia="zh-CN"/>
        </w:rPr>
        <w:t>机</w:t>
      </w:r>
      <w:r>
        <w:rPr>
          <w:rFonts w:hint="eastAsia" w:ascii="宋体" w:hAnsi="宋体" w:eastAsia="宋体" w:cs="宋体"/>
          <w:color w:val="auto"/>
          <w:sz w:val="28"/>
          <w:szCs w:val="28"/>
        </w:rPr>
        <w:t>和运行操作，以及紧急停车、突然断电、停</w:t>
      </w:r>
      <w:r>
        <w:rPr>
          <w:rFonts w:hint="eastAsia" w:ascii="宋体" w:hAnsi="宋体" w:cs="宋体"/>
          <w:color w:val="auto"/>
          <w:sz w:val="28"/>
          <w:szCs w:val="28"/>
          <w:lang w:val="en-US" w:eastAsia="zh-CN"/>
        </w:rPr>
        <w:t>机</w:t>
      </w:r>
      <w:r>
        <w:rPr>
          <w:rFonts w:hint="eastAsia" w:ascii="宋体" w:hAnsi="宋体" w:eastAsia="宋体" w:cs="宋体"/>
          <w:color w:val="auto"/>
          <w:sz w:val="28"/>
          <w:szCs w:val="28"/>
        </w:rPr>
        <w:t>后短时间内再</w:t>
      </w:r>
      <w:r>
        <w:rPr>
          <w:rFonts w:hint="eastAsia" w:ascii="宋体" w:hAnsi="宋体" w:cs="宋体"/>
          <w:color w:val="auto"/>
          <w:sz w:val="28"/>
          <w:szCs w:val="28"/>
          <w:lang w:val="en-US" w:eastAsia="zh-CN"/>
        </w:rPr>
        <w:t>启动</w:t>
      </w:r>
      <w:r>
        <w:rPr>
          <w:rFonts w:hint="eastAsia" w:ascii="宋体" w:hAnsi="宋体" w:eastAsia="宋体" w:cs="宋体"/>
          <w:color w:val="auto"/>
          <w:sz w:val="28"/>
          <w:szCs w:val="28"/>
        </w:rPr>
        <w:t>。加强对设备运行时的监视和检查、定期维修保养等管理工作。对关键生产装置和重点危险部位，必须制定事故的</w:t>
      </w:r>
      <w:r>
        <w:rPr>
          <w:rFonts w:hint="eastAsia" w:ascii="宋体" w:hAnsi="宋体" w:cs="宋体"/>
          <w:color w:val="auto"/>
          <w:sz w:val="28"/>
          <w:szCs w:val="28"/>
          <w:lang w:eastAsia="zh-CN"/>
        </w:rPr>
        <w:t>应急</w:t>
      </w:r>
      <w:r>
        <w:rPr>
          <w:rFonts w:hint="eastAsia" w:ascii="宋体" w:hAnsi="宋体" w:eastAsia="宋体" w:cs="宋体"/>
          <w:color w:val="auto"/>
          <w:sz w:val="28"/>
          <w:szCs w:val="28"/>
        </w:rPr>
        <w:t>措施和事故应急救援预案，并在实践中不断完善。</w:t>
      </w:r>
    </w:p>
    <w:p w14:paraId="21E662AE">
      <w:pPr>
        <w:numPr>
          <w:ilvl w:val="0"/>
          <w:numId w:val="69"/>
        </w:numPr>
        <w:bidi w:val="0"/>
        <w:ind w:left="0" w:leftChars="0" w:firstLine="560" w:firstLineChars="200"/>
        <w:rPr>
          <w:rFonts w:hint="eastAsia" w:ascii="Times New Roman" w:hAnsi="Times New Roman" w:eastAsia="宋体" w:cs="Times New Roman"/>
        </w:rPr>
      </w:pPr>
      <w:r>
        <w:rPr>
          <w:rFonts w:hint="eastAsia" w:ascii="Times New Roman" w:hAnsi="Times New Roman" w:eastAsia="宋体" w:cs="Times New Roman"/>
        </w:rPr>
        <w:t>企业应依法</w:t>
      </w:r>
      <w:r>
        <w:rPr>
          <w:rFonts w:hint="eastAsia" w:ascii="Times New Roman" w:hAnsi="Times New Roman" w:eastAsia="宋体" w:cs="Times New Roman"/>
          <w:lang w:val="en-US" w:eastAsia="zh-CN"/>
        </w:rPr>
        <w:t>为员工购买工伤</w:t>
      </w:r>
      <w:r>
        <w:rPr>
          <w:rFonts w:hint="eastAsia" w:ascii="Times New Roman" w:hAnsi="Times New Roman" w:eastAsia="宋体" w:cs="Times New Roman"/>
        </w:rPr>
        <w:t>保险，为从业人员缴纳保险费。</w:t>
      </w:r>
    </w:p>
    <w:p w14:paraId="1E0BC7CA">
      <w:pPr>
        <w:numPr>
          <w:ilvl w:val="0"/>
          <w:numId w:val="69"/>
        </w:numPr>
        <w:bidi w:val="0"/>
        <w:ind w:left="0" w:leftChars="0" w:firstLine="560" w:firstLineChars="200"/>
        <w:rPr>
          <w:rFonts w:hint="eastAsia" w:ascii="Times New Roman" w:hAnsi="Times New Roman" w:eastAsia="宋体" w:cs="Times New Roman"/>
        </w:rPr>
      </w:pPr>
      <w:r>
        <w:rPr>
          <w:rFonts w:hint="eastAsia" w:ascii="Times New Roman" w:hAnsi="Times New Roman" w:eastAsia="宋体" w:cs="Times New Roman"/>
        </w:rPr>
        <w:t>矿山应按照《</w:t>
      </w:r>
      <w:r>
        <w:rPr>
          <w:rFonts w:hint="eastAsia" w:ascii="Times New Roman" w:hAnsi="Times New Roman" w:eastAsia="宋体" w:cs="Times New Roman"/>
          <w:lang w:eastAsia="zh-CN"/>
        </w:rPr>
        <w:t>生产经营单位生产安全事故应急预案编制导则</w:t>
      </w:r>
      <w:r>
        <w:rPr>
          <w:rFonts w:hint="eastAsia" w:ascii="Times New Roman" w:hAnsi="Times New Roman" w:eastAsia="宋体" w:cs="Times New Roman"/>
        </w:rPr>
        <w:t>》</w:t>
      </w:r>
      <w:r>
        <w:rPr>
          <w:rFonts w:hint="eastAsia" w:ascii="Times New Roman" w:hAnsi="Times New Roman" w:eastAsia="宋体" w:cs="Times New Roman"/>
          <w:lang w:eastAsia="zh-CN"/>
        </w:rPr>
        <w:t>（</w:t>
      </w:r>
      <w:r>
        <w:rPr>
          <w:rFonts w:hint="eastAsia" w:ascii="Times New Roman" w:hAnsi="Times New Roman" w:eastAsia="宋体" w:cs="Times New Roman"/>
        </w:rPr>
        <w:t>GB/T29639-2020</w:t>
      </w:r>
      <w:r>
        <w:rPr>
          <w:rFonts w:hint="eastAsia" w:ascii="Times New Roman" w:hAnsi="Times New Roman" w:eastAsia="宋体" w:cs="Times New Roman"/>
          <w:lang w:eastAsia="zh-CN"/>
        </w:rPr>
        <w:t>）</w:t>
      </w:r>
      <w:r>
        <w:rPr>
          <w:rFonts w:hint="eastAsia" w:ascii="Times New Roman" w:hAnsi="Times New Roman" w:eastAsia="宋体" w:cs="Times New Roman"/>
        </w:rPr>
        <w:t>编制事故应急预案</w:t>
      </w:r>
      <w:r>
        <w:rPr>
          <w:rFonts w:hint="eastAsia" w:ascii="宋体" w:hAnsi="宋体" w:cs="宋体"/>
          <w:color w:val="auto"/>
        </w:rPr>
        <w:t>（包括综合预案、专项预案、现场处置方案）</w:t>
      </w:r>
      <w:r>
        <w:rPr>
          <w:rFonts w:hint="eastAsia" w:ascii="宋体" w:hAnsi="宋体" w:cs="宋体"/>
          <w:color w:val="auto"/>
          <w:lang w:eastAsia="zh-CN"/>
        </w:rPr>
        <w:t>，</w:t>
      </w:r>
      <w:r>
        <w:rPr>
          <w:rFonts w:hint="eastAsia" w:ascii="Times New Roman" w:hAnsi="Times New Roman" w:eastAsia="宋体" w:cs="Times New Roman"/>
        </w:rPr>
        <w:t>编制的预案应满足矿山安全生产需求</w:t>
      </w:r>
      <w:r>
        <w:rPr>
          <w:rFonts w:hint="eastAsia" w:cs="Times New Roman"/>
          <w:lang w:eastAsia="zh-CN"/>
        </w:rPr>
        <w:t>。</w:t>
      </w:r>
      <w:r>
        <w:rPr>
          <w:rFonts w:hint="eastAsia" w:ascii="宋体" w:hAnsi="宋体" w:cs="宋体"/>
          <w:color w:val="auto"/>
        </w:rPr>
        <w:t>应急预案在发布执行之日起</w:t>
      </w:r>
      <w:r>
        <w:rPr>
          <w:rFonts w:hint="eastAsia" w:ascii="宋体" w:hAnsi="宋体" w:cs="宋体"/>
          <w:color w:val="auto"/>
          <w:lang w:val="en-US" w:eastAsia="zh-CN"/>
        </w:rPr>
        <w:t>20</w:t>
      </w:r>
      <w:r>
        <w:rPr>
          <w:rFonts w:hint="eastAsia" w:ascii="宋体" w:hAnsi="宋体" w:cs="宋体"/>
          <w:color w:val="auto"/>
        </w:rPr>
        <w:t>日内应到属地应急管理部门备案，若备案后发生重大变更，应及时修订应急预案，并重新评审和备案</w:t>
      </w:r>
      <w:r>
        <w:rPr>
          <w:rFonts w:hint="eastAsia" w:ascii="Times New Roman" w:hAnsi="Times New Roman" w:eastAsia="宋体" w:cs="Times New Roman"/>
          <w:sz w:val="28"/>
          <w:szCs w:val="28"/>
          <w:lang w:val="en-US" w:eastAsia="zh-CN"/>
        </w:rPr>
        <w:t>。企业</w:t>
      </w:r>
      <w:r>
        <w:rPr>
          <w:rFonts w:hint="eastAsia" w:ascii="宋体" w:hAnsi="宋体" w:cs="宋体"/>
          <w:color w:val="auto"/>
        </w:rPr>
        <w:t>应配备齐全</w:t>
      </w:r>
      <w:r>
        <w:rPr>
          <w:rFonts w:hint="eastAsia" w:ascii="宋体" w:hAnsi="宋体" w:cs="宋体"/>
          <w:color w:val="auto"/>
          <w:lang w:val="en-US" w:eastAsia="zh-CN"/>
        </w:rPr>
        <w:t>的</w:t>
      </w:r>
      <w:r>
        <w:rPr>
          <w:rFonts w:hint="eastAsia" w:ascii="宋体" w:hAnsi="宋体" w:cs="宋体"/>
          <w:color w:val="auto"/>
        </w:rPr>
        <w:t>事故应急物资、器材和设施</w:t>
      </w:r>
      <w:r>
        <w:rPr>
          <w:rFonts w:hint="eastAsia" w:ascii="宋体" w:hAnsi="宋体" w:cs="宋体"/>
          <w:color w:val="auto"/>
          <w:lang w:eastAsia="zh-CN"/>
        </w:rPr>
        <w:t>，</w:t>
      </w:r>
      <w:r>
        <w:rPr>
          <w:rFonts w:hint="eastAsia" w:ascii="宋体" w:hAnsi="宋体" w:cs="宋体"/>
          <w:color w:val="auto"/>
        </w:rPr>
        <w:t>定期组织演练，</w:t>
      </w:r>
      <w:r>
        <w:rPr>
          <w:rFonts w:hint="eastAsia" w:ascii="Times New Roman" w:hAnsi="Times New Roman" w:eastAsia="宋体" w:cs="Times New Roman"/>
        </w:rPr>
        <w:t>并做好演练记录。</w:t>
      </w:r>
    </w:p>
    <w:p w14:paraId="528539DF">
      <w:pPr>
        <w:numPr>
          <w:ilvl w:val="0"/>
          <w:numId w:val="69"/>
        </w:numPr>
        <w:bidi w:val="0"/>
        <w:ind w:left="0" w:leftChars="0" w:firstLine="560" w:firstLineChars="200"/>
        <w:rPr>
          <w:rFonts w:hint="eastAsia" w:ascii="Times New Roman" w:hAnsi="Times New Roman" w:eastAsia="宋体" w:cs="Times New Roman"/>
        </w:rPr>
      </w:pPr>
      <w:r>
        <w:rPr>
          <w:rFonts w:hint="eastAsia" w:cs="Times New Roman"/>
          <w:lang w:eastAsia="zh-CN"/>
        </w:rPr>
        <w:t>按照</w:t>
      </w:r>
      <w:r>
        <w:rPr>
          <w:rFonts w:hint="eastAsia" w:ascii="Times New Roman" w:hAnsi="Times New Roman" w:eastAsia="宋体" w:cs="Times New Roman"/>
        </w:rPr>
        <w:t>《中华人民共和国安全生产法</w:t>
      </w:r>
      <w:r>
        <w:rPr>
          <w:rFonts w:hint="eastAsia" w:ascii="Times New Roman" w:hAnsi="Times New Roman" w:eastAsia="宋体" w:cs="Times New Roman"/>
          <w:lang w:eastAsia="zh-CN"/>
        </w:rPr>
        <w:t>》《</w:t>
      </w:r>
      <w:r>
        <w:rPr>
          <w:rFonts w:hint="eastAsia" w:ascii="Times New Roman" w:hAnsi="Times New Roman" w:eastAsia="宋体" w:cs="Times New Roman"/>
        </w:rPr>
        <w:t>金属非金属矿山安全规程》（</w:t>
      </w:r>
      <w:r>
        <w:rPr>
          <w:rFonts w:hint="eastAsia" w:ascii="Times New Roman" w:hAnsi="Times New Roman" w:eastAsia="宋体" w:cs="Times New Roman"/>
          <w:lang w:eastAsia="zh-CN"/>
        </w:rPr>
        <w:t>GB 16423-2020</w:t>
      </w:r>
      <w:r>
        <w:rPr>
          <w:rFonts w:hint="eastAsia" w:ascii="Times New Roman" w:hAnsi="Times New Roman" w:eastAsia="宋体" w:cs="Times New Roman"/>
        </w:rPr>
        <w:t>）等相关法律法规、标准规范的规定，设置安全生产领导、管理机构，配备专职安全管理人员。</w:t>
      </w:r>
    </w:p>
    <w:p w14:paraId="421CCA3F">
      <w:pPr>
        <w:numPr>
          <w:ilvl w:val="0"/>
          <w:numId w:val="69"/>
        </w:numPr>
        <w:bidi w:val="0"/>
        <w:ind w:left="0" w:leftChars="0" w:firstLine="560" w:firstLineChars="200"/>
        <w:rPr>
          <w:rFonts w:hint="eastAsia" w:ascii="Times New Roman" w:hAnsi="Times New Roman" w:eastAsia="宋体" w:cs="Times New Roman"/>
        </w:rPr>
      </w:pPr>
      <w:r>
        <w:rPr>
          <w:rFonts w:hint="eastAsia" w:ascii="Times New Roman" w:hAnsi="Times New Roman" w:eastAsia="宋体" w:cs="Times New Roman"/>
        </w:rPr>
        <w:t>安全警示标志</w:t>
      </w:r>
    </w:p>
    <w:p w14:paraId="19937294">
      <w:pPr>
        <w:keepNext w:val="0"/>
        <w:keepLines w:val="0"/>
        <w:pageBreakBefore w:val="0"/>
        <w:widowControl w:val="0"/>
        <w:numPr>
          <w:ilvl w:val="0"/>
          <w:numId w:val="72"/>
        </w:numPr>
        <w:tabs>
          <w:tab w:val="left" w:pos="397"/>
          <w:tab w:val="clear" w:pos="0"/>
        </w:tabs>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凡容易发生事故及危及生产安全的场所和设备，以及需要提醒操作人员注意的地点，均设置安全标志。</w:t>
      </w:r>
    </w:p>
    <w:p w14:paraId="220DE806">
      <w:pPr>
        <w:keepNext w:val="0"/>
        <w:keepLines w:val="0"/>
        <w:pageBreakBefore w:val="0"/>
        <w:widowControl w:val="0"/>
        <w:numPr>
          <w:ilvl w:val="0"/>
          <w:numId w:val="72"/>
        </w:numPr>
        <w:tabs>
          <w:tab w:val="left" w:pos="397"/>
          <w:tab w:val="clear" w:pos="0"/>
        </w:tabs>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凡需要迅速发现并引起注意以防发生事故的场所、部位均涂安全色，安全色按《</w:t>
      </w:r>
      <w:r>
        <w:rPr>
          <w:rFonts w:hint="eastAsia" w:ascii="宋体" w:hAnsi="宋体" w:cs="宋体"/>
          <w:lang w:eastAsia="zh-CN"/>
        </w:rPr>
        <w:t>安全色</w:t>
      </w:r>
      <w:r>
        <w:rPr>
          <w:rFonts w:hint="eastAsia" w:ascii="宋体" w:hAnsi="宋体" w:eastAsia="宋体" w:cs="宋体"/>
        </w:rPr>
        <w:t>》</w:t>
      </w:r>
      <w:r>
        <w:rPr>
          <w:rFonts w:hint="eastAsia" w:ascii="宋体" w:hAnsi="宋体" w:cs="宋体"/>
          <w:lang w:eastAsia="zh-CN"/>
        </w:rPr>
        <w:t>（GB 2893-2008）</w:t>
      </w:r>
      <w:r>
        <w:rPr>
          <w:rFonts w:hint="eastAsia" w:ascii="宋体" w:hAnsi="宋体" w:cs="宋体"/>
          <w:lang w:val="en-US" w:eastAsia="zh-CN"/>
        </w:rPr>
        <w:t>选</w:t>
      </w:r>
      <w:r>
        <w:rPr>
          <w:rFonts w:hint="eastAsia" w:ascii="宋体" w:hAnsi="宋体" w:eastAsia="宋体" w:cs="宋体"/>
        </w:rPr>
        <w:t>用。</w:t>
      </w:r>
    </w:p>
    <w:p w14:paraId="6C0E4196">
      <w:pPr>
        <w:keepNext w:val="0"/>
        <w:keepLines w:val="0"/>
        <w:pageBreakBefore w:val="0"/>
        <w:widowControl w:val="0"/>
        <w:numPr>
          <w:ilvl w:val="0"/>
          <w:numId w:val="72"/>
        </w:numPr>
        <w:tabs>
          <w:tab w:val="left" w:pos="397"/>
          <w:tab w:val="clear" w:pos="0"/>
        </w:tabs>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生产场所与作业地点的紧急通道和紧急出入口均设置明显的标志和指示箭头。</w:t>
      </w:r>
    </w:p>
    <w:p w14:paraId="6BBE4E45">
      <w:pPr>
        <w:keepNext w:val="0"/>
        <w:keepLines w:val="0"/>
        <w:pageBreakBefore w:val="0"/>
        <w:widowControl w:val="0"/>
        <w:numPr>
          <w:ilvl w:val="0"/>
          <w:numId w:val="72"/>
        </w:numPr>
        <w:tabs>
          <w:tab w:val="left" w:pos="397"/>
          <w:tab w:val="clear" w:pos="0"/>
        </w:tabs>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危险化学品</w:t>
      </w:r>
      <w:r>
        <w:rPr>
          <w:rFonts w:hint="eastAsia" w:ascii="宋体" w:hAnsi="宋体" w:eastAsia="宋体" w:cs="宋体"/>
          <w:lang w:eastAsia="zh-CN"/>
        </w:rPr>
        <w:t>（</w:t>
      </w:r>
      <w:r>
        <w:rPr>
          <w:rFonts w:hint="eastAsia" w:ascii="宋体" w:hAnsi="宋体" w:eastAsia="宋体" w:cs="宋体"/>
          <w:lang w:val="en-US" w:eastAsia="zh-CN"/>
        </w:rPr>
        <w:t>柴油</w:t>
      </w:r>
      <w:r>
        <w:rPr>
          <w:rFonts w:hint="eastAsia" w:ascii="宋体" w:hAnsi="宋体" w:eastAsia="宋体" w:cs="宋体"/>
          <w:lang w:eastAsia="zh-CN"/>
        </w:rPr>
        <w:t>）</w:t>
      </w:r>
      <w:r>
        <w:rPr>
          <w:rFonts w:hint="eastAsia" w:ascii="宋体" w:hAnsi="宋体" w:eastAsia="宋体" w:cs="宋体"/>
        </w:rPr>
        <w:t>应按规程进行危险化学品</w:t>
      </w:r>
      <w:r>
        <w:rPr>
          <w:rFonts w:hint="eastAsia" w:ascii="宋体" w:hAnsi="宋体" w:cs="宋体"/>
          <w:lang w:eastAsia="zh-CN"/>
        </w:rPr>
        <w:t>标志标识</w:t>
      </w:r>
      <w:r>
        <w:rPr>
          <w:rFonts w:hint="eastAsia" w:ascii="宋体" w:hAnsi="宋体" w:eastAsia="宋体" w:cs="宋体"/>
        </w:rPr>
        <w:t>。</w:t>
      </w:r>
    </w:p>
    <w:p w14:paraId="00C306D6">
      <w:pPr>
        <w:numPr>
          <w:ilvl w:val="0"/>
          <w:numId w:val="69"/>
        </w:numPr>
        <w:bidi w:val="0"/>
        <w:ind w:left="0" w:leftChars="0" w:firstLine="560" w:firstLineChars="200"/>
        <w:rPr>
          <w:rFonts w:hint="default" w:ascii="Times New Roman" w:hAnsi="Times New Roman" w:eastAsia="宋体" w:cs="Times New Roman"/>
          <w:lang w:val="en-US" w:eastAsia="zh-CN"/>
        </w:rPr>
      </w:pPr>
      <w:r>
        <w:rPr>
          <w:rFonts w:hint="eastAsia" w:ascii="宋体" w:hAnsi="宋体" w:eastAsia="宋体" w:cs="宋体"/>
          <w:color w:val="000000"/>
          <w:szCs w:val="20"/>
        </w:rPr>
        <w:t>建议改扩建完成后，针对新增设备建立相应的设备运行记录、检修记录、培训记录等相关安全生产管理档案。</w:t>
      </w:r>
    </w:p>
    <w:p w14:paraId="5663866D">
      <w:pPr>
        <w:numPr>
          <w:ilvl w:val="0"/>
          <w:numId w:val="69"/>
        </w:numPr>
        <w:bidi w:val="0"/>
        <w:ind w:left="0" w:leftChars="0" w:firstLine="560" w:firstLineChars="200"/>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职业健康管理</w:t>
      </w:r>
    </w:p>
    <w:p w14:paraId="1C6DC419">
      <w:pPr>
        <w:keepNext w:val="0"/>
        <w:keepLines w:val="0"/>
        <w:pageBreakBefore w:val="0"/>
        <w:widowControl w:val="0"/>
        <w:numPr>
          <w:ilvl w:val="0"/>
          <w:numId w:val="73"/>
        </w:numPr>
        <w:tabs>
          <w:tab w:val="left" w:pos="397"/>
          <w:tab w:val="clear" w:pos="0"/>
        </w:tabs>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矿山运输公路</w:t>
      </w:r>
      <w:r>
        <w:rPr>
          <w:rFonts w:hint="eastAsia" w:ascii="宋体" w:hAnsi="宋体" w:eastAsia="宋体" w:cs="宋体"/>
          <w:lang w:eastAsia="zh-CN"/>
        </w:rPr>
        <w:t>、</w:t>
      </w:r>
      <w:r>
        <w:rPr>
          <w:rFonts w:hint="eastAsia" w:ascii="宋体" w:hAnsi="宋体" w:eastAsia="宋体" w:cs="宋体"/>
          <w:lang w:val="en-US" w:eastAsia="zh-CN"/>
        </w:rPr>
        <w:t>铲装运输作业和</w:t>
      </w:r>
      <w:r>
        <w:rPr>
          <w:rFonts w:hint="eastAsia" w:ascii="宋体" w:hAnsi="宋体" w:eastAsia="宋体" w:cs="宋体"/>
        </w:rPr>
        <w:t>破碎</w:t>
      </w:r>
      <w:r>
        <w:rPr>
          <w:rFonts w:hint="eastAsia" w:ascii="宋体" w:hAnsi="宋体" w:eastAsia="宋体" w:cs="宋体"/>
          <w:lang w:val="en-US" w:eastAsia="zh-CN"/>
        </w:rPr>
        <w:t>加工作业时应采取湿式作业</w:t>
      </w:r>
      <w:r>
        <w:rPr>
          <w:rFonts w:hint="eastAsia" w:ascii="宋体" w:hAnsi="宋体" w:eastAsia="宋体" w:cs="宋体"/>
          <w:lang w:eastAsia="zh-CN"/>
        </w:rPr>
        <w:t>；</w:t>
      </w:r>
    </w:p>
    <w:p w14:paraId="447B50E3">
      <w:pPr>
        <w:keepNext w:val="0"/>
        <w:keepLines w:val="0"/>
        <w:pageBreakBefore w:val="0"/>
        <w:widowControl w:val="0"/>
        <w:numPr>
          <w:ilvl w:val="0"/>
          <w:numId w:val="73"/>
        </w:numPr>
        <w:tabs>
          <w:tab w:val="left" w:pos="397"/>
          <w:tab w:val="clear" w:pos="0"/>
        </w:tabs>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矿山应</w:t>
      </w:r>
      <w:r>
        <w:rPr>
          <w:rFonts w:hint="eastAsia" w:ascii="宋体" w:hAnsi="宋体" w:eastAsia="宋体" w:cs="宋体"/>
        </w:rPr>
        <w:t>为</w:t>
      </w:r>
      <w:r>
        <w:rPr>
          <w:rFonts w:hint="eastAsia" w:ascii="宋体" w:hAnsi="宋体" w:eastAsia="宋体" w:cs="宋体"/>
          <w:lang w:val="en-US" w:eastAsia="zh-CN"/>
        </w:rPr>
        <w:t>从业</w:t>
      </w:r>
      <w:r>
        <w:rPr>
          <w:rFonts w:hint="eastAsia" w:ascii="宋体" w:hAnsi="宋体" w:eastAsia="宋体" w:cs="宋体"/>
        </w:rPr>
        <w:t>人员提供符合国家标准的个人劳动保护用品</w:t>
      </w:r>
      <w:r>
        <w:rPr>
          <w:rFonts w:hint="eastAsia" w:ascii="宋体" w:hAnsi="宋体" w:eastAsia="宋体" w:cs="宋体"/>
          <w:lang w:eastAsia="zh-CN"/>
        </w:rPr>
        <w:t>，</w:t>
      </w:r>
      <w:r>
        <w:rPr>
          <w:rFonts w:hint="eastAsia" w:ascii="宋体" w:hAnsi="宋体" w:eastAsia="宋体" w:cs="宋体"/>
          <w:lang w:val="en-US" w:eastAsia="zh-CN"/>
        </w:rPr>
        <w:t>并指导和督促作业人员正确使用，有效遏制职业危害事故的发生；</w:t>
      </w:r>
    </w:p>
    <w:p w14:paraId="5ED89AC4">
      <w:pPr>
        <w:keepNext w:val="0"/>
        <w:keepLines w:val="0"/>
        <w:pageBreakBefore w:val="0"/>
        <w:widowControl w:val="0"/>
        <w:numPr>
          <w:ilvl w:val="0"/>
          <w:numId w:val="73"/>
        </w:numPr>
        <w:tabs>
          <w:tab w:val="left" w:pos="397"/>
          <w:tab w:val="clear" w:pos="0"/>
        </w:tabs>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按《中华人民共和国劳动法》规定，合理安排员工工作时间</w:t>
      </w:r>
      <w:r>
        <w:rPr>
          <w:rFonts w:hint="eastAsia" w:ascii="宋体" w:hAnsi="宋体" w:eastAsia="宋体" w:cs="宋体"/>
          <w:lang w:eastAsia="zh-CN"/>
        </w:rPr>
        <w:t>；</w:t>
      </w:r>
    </w:p>
    <w:p w14:paraId="3E39135E">
      <w:pPr>
        <w:keepNext w:val="0"/>
        <w:keepLines w:val="0"/>
        <w:pageBreakBefore w:val="0"/>
        <w:widowControl w:val="0"/>
        <w:numPr>
          <w:ilvl w:val="0"/>
          <w:numId w:val="73"/>
        </w:numPr>
        <w:tabs>
          <w:tab w:val="left" w:pos="397"/>
          <w:tab w:val="clear" w:pos="0"/>
        </w:tabs>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按照国家相关规定建立健全职业危害预防制度，定期或不定期委托有资质的单位对作业</w:t>
      </w:r>
      <w:r>
        <w:rPr>
          <w:rFonts w:hint="eastAsia" w:ascii="宋体" w:hAnsi="宋体" w:eastAsia="宋体" w:cs="宋体"/>
          <w:lang w:val="en-US" w:eastAsia="zh-CN"/>
        </w:rPr>
        <w:t>场所</w:t>
      </w:r>
      <w:r>
        <w:rPr>
          <w:rFonts w:hint="eastAsia" w:ascii="宋体" w:hAnsi="宋体" w:eastAsia="宋体" w:cs="宋体"/>
        </w:rPr>
        <w:t>进行</w:t>
      </w:r>
      <w:r>
        <w:rPr>
          <w:rFonts w:hint="eastAsia" w:ascii="宋体" w:hAnsi="宋体" w:eastAsia="宋体" w:cs="宋体"/>
          <w:lang w:val="en-US" w:eastAsia="zh-CN"/>
        </w:rPr>
        <w:t>职业危害因素监测</w:t>
      </w:r>
      <w:r>
        <w:rPr>
          <w:rFonts w:hint="eastAsia" w:ascii="宋体" w:hAnsi="宋体" w:eastAsia="宋体" w:cs="宋体"/>
        </w:rPr>
        <w:t>，掌握作业</w:t>
      </w:r>
      <w:r>
        <w:rPr>
          <w:rFonts w:hint="eastAsia" w:ascii="宋体" w:hAnsi="宋体" w:eastAsia="宋体" w:cs="宋体"/>
          <w:lang w:val="en-US" w:eastAsia="zh-CN"/>
        </w:rPr>
        <w:t>环境</w:t>
      </w:r>
      <w:r>
        <w:rPr>
          <w:rFonts w:hint="eastAsia" w:ascii="宋体" w:hAnsi="宋体" w:eastAsia="宋体" w:cs="宋体"/>
        </w:rPr>
        <w:t>状况，为预防作业人员职业危害决策提供依据</w:t>
      </w:r>
      <w:r>
        <w:rPr>
          <w:rFonts w:hint="eastAsia" w:ascii="宋体" w:hAnsi="宋体" w:eastAsia="宋体" w:cs="宋体"/>
          <w:lang w:eastAsia="zh-CN"/>
        </w:rPr>
        <w:t>；</w:t>
      </w:r>
    </w:p>
    <w:p w14:paraId="298755A2">
      <w:pPr>
        <w:keepNext w:val="0"/>
        <w:keepLines w:val="0"/>
        <w:pageBreakBefore w:val="0"/>
        <w:widowControl w:val="0"/>
        <w:numPr>
          <w:ilvl w:val="0"/>
          <w:numId w:val="73"/>
        </w:numPr>
        <w:tabs>
          <w:tab w:val="left" w:pos="397"/>
          <w:tab w:val="clear" w:pos="0"/>
        </w:tabs>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建立健全职业健康监护档案，有职业禁忌症者不得上岗；</w:t>
      </w:r>
    </w:p>
    <w:p w14:paraId="5496BDCC">
      <w:pPr>
        <w:keepNext w:val="0"/>
        <w:keepLines w:val="0"/>
        <w:pageBreakBefore w:val="0"/>
        <w:widowControl w:val="0"/>
        <w:numPr>
          <w:ilvl w:val="0"/>
          <w:numId w:val="73"/>
        </w:numPr>
        <w:tabs>
          <w:tab w:val="left" w:pos="397"/>
          <w:tab w:val="clear" w:pos="0"/>
        </w:tabs>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与有职业病专科的医院建立协作关系，定期对员工进行健康检查，为动态观察提供基础资料；</w:t>
      </w:r>
    </w:p>
    <w:p w14:paraId="4795088B">
      <w:pPr>
        <w:keepNext w:val="0"/>
        <w:keepLines w:val="0"/>
        <w:pageBreakBefore w:val="0"/>
        <w:widowControl w:val="0"/>
        <w:numPr>
          <w:ilvl w:val="0"/>
          <w:numId w:val="73"/>
        </w:numPr>
        <w:tabs>
          <w:tab w:val="left" w:pos="397"/>
          <w:tab w:val="clear" w:pos="0"/>
        </w:tabs>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入夏前应提前做好防暑降温设备</w:t>
      </w:r>
      <w:r>
        <w:rPr>
          <w:rFonts w:hint="eastAsia" w:ascii="宋体" w:hAnsi="宋体" w:eastAsia="宋体" w:cs="宋体"/>
          <w:lang w:eastAsia="zh-CN"/>
        </w:rPr>
        <w:t>、</w:t>
      </w:r>
      <w:r>
        <w:rPr>
          <w:rFonts w:hint="eastAsia" w:ascii="宋体" w:hAnsi="宋体" w:eastAsia="宋体" w:cs="宋体"/>
          <w:lang w:val="en-US" w:eastAsia="zh-CN"/>
        </w:rPr>
        <w:t>设施</w:t>
      </w:r>
      <w:r>
        <w:rPr>
          <w:rFonts w:hint="eastAsia" w:ascii="宋体" w:hAnsi="宋体" w:eastAsia="宋体" w:cs="宋体"/>
        </w:rPr>
        <w:t>的检修、检查；</w:t>
      </w:r>
    </w:p>
    <w:p w14:paraId="2BBCE062">
      <w:pPr>
        <w:keepNext w:val="0"/>
        <w:keepLines w:val="0"/>
        <w:pageBreakBefore w:val="0"/>
        <w:widowControl w:val="0"/>
        <w:numPr>
          <w:ilvl w:val="0"/>
          <w:numId w:val="73"/>
        </w:numPr>
        <w:tabs>
          <w:tab w:val="left" w:pos="397"/>
          <w:tab w:val="clear" w:pos="0"/>
        </w:tabs>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rPr>
      </w:pPr>
      <w:r>
        <w:rPr>
          <w:rFonts w:hint="eastAsia" w:ascii="宋体" w:hAnsi="宋体" w:eastAsia="宋体" w:cs="宋体"/>
        </w:rPr>
        <w:t>教育、培训职工掌握高温场所作业的特性和急救方法</w:t>
      </w:r>
      <w:r>
        <w:rPr>
          <w:rFonts w:hint="eastAsia" w:ascii="宋体" w:hAnsi="宋体" w:eastAsia="宋体" w:cs="宋体"/>
          <w:lang w:eastAsia="zh-CN"/>
        </w:rPr>
        <w:t>。</w:t>
      </w:r>
    </w:p>
    <w:p w14:paraId="63E451E8">
      <w:pPr>
        <w:numPr>
          <w:ilvl w:val="0"/>
          <w:numId w:val="69"/>
        </w:numPr>
        <w:bidi w:val="0"/>
        <w:ind w:left="0" w:leftChars="0" w:firstLine="560" w:firstLineChars="20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企业应严格按照评审通过后的安全设施设计要求建设，项目建设完成后试运行正常后，应当委托安全评价机构进行安全设施验收评价，并组织专家进行竣工验收，严格履行建设项目安全设施“三同时”程序。</w:t>
      </w:r>
    </w:p>
    <w:p w14:paraId="481E08E1">
      <w:pPr>
        <w:numPr>
          <w:ilvl w:val="0"/>
          <w:numId w:val="69"/>
        </w:numPr>
        <w:bidi w:val="0"/>
        <w:ind w:left="0" w:leftChars="0" w:firstLine="560" w:firstLineChars="200"/>
        <w:rPr>
          <w:rFonts w:hint="eastAsia" w:ascii="Times New Roman" w:hAnsi="Times New Roman" w:eastAsia="宋体" w:cs="Times New Roman"/>
          <w:lang w:val="en-US" w:eastAsia="zh-CN"/>
        </w:rPr>
      </w:pPr>
      <w:r>
        <w:rPr>
          <w:rFonts w:hint="eastAsia" w:ascii="Times New Roman" w:hAnsi="Times New Roman" w:eastAsia="宋体" w:cs="Times New Roman"/>
        </w:rPr>
        <w:t>建设项目的安全设施，应与主体工程同时设计、同时施工、同时投入生产和使用。安全设施投资，应纳入工程概算。</w:t>
      </w:r>
    </w:p>
    <w:p w14:paraId="6BF4FF64">
      <w:pPr>
        <w:rPr>
          <w:rFonts w:hint="eastAsia"/>
        </w:rPr>
      </w:pPr>
      <w:r>
        <w:br w:type="page"/>
      </w:r>
    </w:p>
    <w:p w14:paraId="43996E89">
      <w:pPr>
        <w:pStyle w:val="2"/>
        <w:bidi w:val="0"/>
        <w:rPr>
          <w:rFonts w:hint="eastAsia"/>
        </w:rPr>
      </w:pPr>
      <w:bookmarkStart w:id="246" w:name="_Toc26455"/>
      <w:r>
        <w:t>评价结论</w:t>
      </w:r>
      <w:bookmarkEnd w:id="246"/>
    </w:p>
    <w:p w14:paraId="6AFD2EFF">
      <w:pPr>
        <w:pStyle w:val="3"/>
        <w:bidi w:val="0"/>
        <w:rPr>
          <w:rFonts w:hint="eastAsia"/>
        </w:rPr>
      </w:pPr>
      <w:bookmarkStart w:id="247" w:name="_Toc17094"/>
      <w:bookmarkStart w:id="248" w:name="_Toc55300548"/>
      <w:bookmarkStart w:id="249" w:name="_Toc242849825"/>
      <w:bookmarkStart w:id="250" w:name="_Toc226963213"/>
      <w:bookmarkStart w:id="251" w:name="_Toc115141969"/>
      <w:bookmarkStart w:id="252" w:name="_Toc115120298"/>
      <w:bookmarkStart w:id="253" w:name="_Toc460862585"/>
      <w:bookmarkStart w:id="254" w:name="_Toc115120692"/>
      <w:r>
        <w:rPr>
          <w:rFonts w:hint="eastAsia"/>
        </w:rPr>
        <w:t>主要危险、有害因素评价结果</w:t>
      </w:r>
      <w:bookmarkEnd w:id="247"/>
      <w:bookmarkEnd w:id="248"/>
      <w:bookmarkEnd w:id="249"/>
      <w:bookmarkEnd w:id="250"/>
      <w:bookmarkEnd w:id="251"/>
      <w:bookmarkEnd w:id="252"/>
      <w:bookmarkEnd w:id="253"/>
      <w:bookmarkEnd w:id="254"/>
    </w:p>
    <w:p w14:paraId="168FD1A9">
      <w:pPr>
        <w:pStyle w:val="14"/>
        <w:spacing w:line="500" w:lineRule="exact"/>
        <w:ind w:firstLine="560" w:firstLineChars="200"/>
        <w:rPr>
          <w:rFonts w:hint="default" w:ascii="宋体" w:hAnsi="宋体" w:eastAsia="宋体" w:cs="Times New Roman"/>
          <w:color w:val="000000"/>
          <w:sz w:val="28"/>
          <w:szCs w:val="28"/>
        </w:rPr>
      </w:pPr>
      <w:r>
        <w:rPr>
          <w:rFonts w:hint="eastAsia" w:ascii="宋体" w:hAnsi="宋体" w:eastAsia="宋体" w:cs="Times New Roman"/>
          <w:color w:val="000000"/>
          <w:sz w:val="28"/>
          <w:szCs w:val="28"/>
        </w:rPr>
        <w:t>根据定性、定量分析与评价，</w:t>
      </w:r>
      <w:r>
        <w:rPr>
          <w:rFonts w:hint="eastAsia" w:ascii="宋体" w:hAnsi="宋体" w:eastAsia="宋体" w:cs="Times New Roman"/>
          <w:color w:val="000000"/>
          <w:sz w:val="28"/>
          <w:szCs w:val="28"/>
          <w:lang w:eastAsia="zh-CN"/>
        </w:rPr>
        <w:t>元谋中鼎砂石有限公司大物茂砂厂</w:t>
      </w:r>
      <w:r>
        <w:rPr>
          <w:rFonts w:hint="default" w:ascii="宋体" w:hAnsi="宋体" w:eastAsia="宋体" w:cs="Times New Roman"/>
          <w:color w:val="000000"/>
          <w:sz w:val="28"/>
          <w:szCs w:val="28"/>
        </w:rPr>
        <w:t>在建设和生产过程中主要危险因素有：</w:t>
      </w:r>
      <w:r>
        <w:rPr>
          <w:rFonts w:hint="eastAsia" w:ascii="宋体" w:hAnsi="宋体" w:eastAsia="宋体" w:cs="Times New Roman"/>
          <w:color w:val="000000"/>
          <w:sz w:val="28"/>
          <w:szCs w:val="28"/>
          <w:lang w:val="en-US" w:eastAsia="zh-CN"/>
        </w:rPr>
        <w:t>边坡失稳（</w:t>
      </w:r>
      <w:r>
        <w:rPr>
          <w:rFonts w:hint="eastAsia" w:ascii="宋体" w:hAnsi="宋体" w:eastAsia="宋体" w:cs="Times New Roman"/>
          <w:color w:val="000000"/>
          <w:sz w:val="28"/>
          <w:szCs w:val="28"/>
        </w:rPr>
        <w:t>滑坡、</w:t>
      </w:r>
      <w:r>
        <w:rPr>
          <w:rFonts w:hint="default" w:ascii="宋体" w:hAnsi="宋体" w:eastAsia="宋体" w:cs="Times New Roman"/>
          <w:color w:val="000000"/>
          <w:sz w:val="28"/>
          <w:szCs w:val="28"/>
        </w:rPr>
        <w:t>坍塌</w:t>
      </w:r>
      <w:r>
        <w:rPr>
          <w:rFonts w:hint="eastAsia" w:ascii="宋体" w:hAnsi="宋体" w:eastAsia="宋体" w:cs="Times New Roman"/>
          <w:color w:val="000000"/>
          <w:sz w:val="28"/>
          <w:szCs w:val="28"/>
          <w:lang w:eastAsia="zh-CN"/>
        </w:rPr>
        <w:t>）</w:t>
      </w:r>
      <w:r>
        <w:rPr>
          <w:rFonts w:hint="default" w:ascii="宋体" w:hAnsi="宋体" w:eastAsia="宋体" w:cs="Times New Roman"/>
          <w:color w:val="000000"/>
          <w:sz w:val="28"/>
          <w:szCs w:val="28"/>
        </w:rPr>
        <w:t>、物体打击、车辆伤害、机械伤害、触电、淹溺</w:t>
      </w:r>
      <w:r>
        <w:rPr>
          <w:rFonts w:hint="eastAsia" w:ascii="宋体" w:hAnsi="宋体" w:eastAsia="宋体" w:cs="Times New Roman"/>
          <w:color w:val="000000"/>
          <w:sz w:val="28"/>
          <w:szCs w:val="28"/>
          <w:lang w:eastAsia="zh-CN"/>
        </w:rPr>
        <w:t>、</w:t>
      </w:r>
      <w:r>
        <w:rPr>
          <w:rFonts w:hint="default" w:ascii="宋体" w:hAnsi="宋体" w:eastAsia="宋体" w:cs="Times New Roman"/>
          <w:color w:val="000000"/>
          <w:sz w:val="28"/>
          <w:szCs w:val="28"/>
        </w:rPr>
        <w:t>火灾、高处坠落等危险因素。</w:t>
      </w:r>
    </w:p>
    <w:p w14:paraId="752E682B">
      <w:pPr>
        <w:pStyle w:val="14"/>
        <w:spacing w:line="500" w:lineRule="exact"/>
        <w:ind w:firstLine="560" w:firstLineChars="200"/>
        <w:rPr>
          <w:rFonts w:hint="default" w:ascii="宋体" w:hAnsi="宋体" w:eastAsia="宋体" w:cs="Times New Roman"/>
          <w:color w:val="000000"/>
          <w:sz w:val="28"/>
          <w:szCs w:val="28"/>
        </w:rPr>
      </w:pPr>
      <w:r>
        <w:rPr>
          <w:rFonts w:hint="default" w:ascii="宋体" w:hAnsi="宋体" w:eastAsia="宋体" w:cs="Times New Roman"/>
          <w:color w:val="000000"/>
          <w:sz w:val="28"/>
          <w:szCs w:val="28"/>
        </w:rPr>
        <w:t>主要有害因素有：粉尘、噪声、振动等。</w:t>
      </w:r>
    </w:p>
    <w:p w14:paraId="1F9C6B43">
      <w:pPr>
        <w:pStyle w:val="14"/>
        <w:spacing w:line="500" w:lineRule="exact"/>
        <w:ind w:firstLine="560" w:firstLineChars="200"/>
        <w:rPr>
          <w:rFonts w:hint="default" w:ascii="宋体" w:hAnsi="宋体" w:eastAsia="宋体" w:cs="Times New Roman"/>
          <w:color w:val="000000"/>
          <w:sz w:val="28"/>
          <w:szCs w:val="28"/>
          <w:lang w:val="en-US" w:eastAsia="zh-CN"/>
        </w:rPr>
      </w:pPr>
      <w:bookmarkStart w:id="255" w:name="_Toc121748397"/>
      <w:r>
        <w:rPr>
          <w:rFonts w:hint="default" w:ascii="宋体" w:hAnsi="宋体" w:eastAsia="宋体" w:cs="Times New Roman"/>
          <w:color w:val="000000"/>
          <w:sz w:val="28"/>
          <w:szCs w:val="28"/>
        </w:rPr>
        <w:t>本项目存在的主要危险、有害因素存在的部位</w:t>
      </w:r>
      <w:bookmarkEnd w:id="255"/>
      <w:r>
        <w:rPr>
          <w:rFonts w:hint="eastAsia" w:ascii="宋体" w:hAnsi="宋体" w:eastAsia="宋体" w:cs="Times New Roman"/>
          <w:color w:val="000000"/>
          <w:sz w:val="28"/>
          <w:szCs w:val="28"/>
          <w:lang w:val="en-US" w:eastAsia="zh-CN"/>
        </w:rPr>
        <w:t>见下表。</w:t>
      </w:r>
    </w:p>
    <w:p w14:paraId="748C7898">
      <w:pPr>
        <w:pStyle w:val="11"/>
        <w:ind w:left="0" w:leftChars="0" w:firstLine="0" w:firstLineChars="0"/>
        <w:jc w:val="center"/>
        <w:rPr>
          <w:rFonts w:hint="eastAsia" w:eastAsia="宋体"/>
          <w:lang w:eastAsia="zh-CN"/>
        </w:rPr>
      </w:pPr>
      <w:r>
        <w:t xml:space="preserve">表 </w:t>
      </w:r>
      <w:r>
        <w:fldChar w:fldCharType="begin"/>
      </w:r>
      <w:r>
        <w:instrText xml:space="preserve"> STYLEREF 1 \s </w:instrText>
      </w:r>
      <w:r>
        <w:fldChar w:fldCharType="separate"/>
      </w:r>
      <w:r>
        <w:t>5</w:t>
      </w:r>
      <w:r>
        <w:fldChar w:fldCharType="end"/>
      </w:r>
      <w:r>
        <w:rPr>
          <w:rFonts w:hint="eastAsia"/>
          <w:lang w:eastAsia="zh-CN"/>
        </w:rPr>
        <w:t>-</w:t>
      </w:r>
      <w:r>
        <w:fldChar w:fldCharType="begin"/>
      </w:r>
      <w:r>
        <w:instrText xml:space="preserve"> SEQ 表 \* ARABIC \s 1 </w:instrText>
      </w:r>
      <w:r>
        <w:fldChar w:fldCharType="separate"/>
      </w:r>
      <w:r>
        <w:t>1</w:t>
      </w:r>
      <w:r>
        <w:fldChar w:fldCharType="end"/>
      </w:r>
      <w:r>
        <w:rPr>
          <w:rFonts w:hint="eastAsia"/>
          <w:lang w:eastAsia="zh-CN"/>
        </w:rPr>
        <w:t xml:space="preserve"> 矿山主要存在的危险、有害因素分布表</w:t>
      </w:r>
    </w:p>
    <w:tbl>
      <w:tblPr>
        <w:tblStyle w:val="29"/>
        <w:tblW w:w="4945" w:type="pct"/>
        <w:tblInd w:w="117"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57"/>
        <w:gridCol w:w="706"/>
        <w:gridCol w:w="1628"/>
        <w:gridCol w:w="5927"/>
      </w:tblGrid>
      <w:tr w14:paraId="42520B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blHeader/>
        </w:trPr>
        <w:tc>
          <w:tcPr>
            <w:tcW w:w="420" w:type="pct"/>
            <w:tcBorders>
              <w:tl2br w:val="nil"/>
              <w:tr2bl w:val="nil"/>
            </w:tcBorders>
            <w:vAlign w:val="center"/>
          </w:tcPr>
          <w:p w14:paraId="67E62C7D">
            <w:pPr>
              <w:adjustRightInd w:val="0"/>
              <w:snapToGrid w:val="0"/>
              <w:spacing w:line="240" w:lineRule="auto"/>
              <w:ind w:left="0" w:leftChars="0" w:right="0" w:rightChars="0" w:firstLine="0" w:firstLineChars="0"/>
              <w:jc w:val="center"/>
              <w:rPr>
                <w:rFonts w:hint="eastAsia" w:ascii="宋体" w:hAnsi="宋体" w:eastAsia="宋体" w:cs="宋体"/>
                <w:b/>
                <w:sz w:val="21"/>
                <w:szCs w:val="21"/>
              </w:rPr>
            </w:pPr>
            <w:r>
              <w:rPr>
                <w:rFonts w:hint="eastAsia" w:ascii="宋体" w:hAnsi="宋体" w:eastAsia="宋体" w:cs="宋体"/>
                <w:b/>
                <w:sz w:val="21"/>
                <w:szCs w:val="21"/>
              </w:rPr>
              <w:t>项目</w:t>
            </w:r>
          </w:p>
        </w:tc>
        <w:tc>
          <w:tcPr>
            <w:tcW w:w="391" w:type="pct"/>
            <w:tcBorders>
              <w:tl2br w:val="nil"/>
              <w:tr2bl w:val="nil"/>
            </w:tcBorders>
            <w:vAlign w:val="center"/>
          </w:tcPr>
          <w:p w14:paraId="523ED84F">
            <w:pPr>
              <w:adjustRightInd w:val="0"/>
              <w:snapToGrid w:val="0"/>
              <w:spacing w:line="240" w:lineRule="auto"/>
              <w:ind w:left="0" w:leftChars="0" w:right="0" w:rightChars="0" w:firstLine="0" w:firstLineChars="0"/>
              <w:jc w:val="center"/>
              <w:rPr>
                <w:rFonts w:hint="eastAsia" w:ascii="宋体" w:hAnsi="宋体" w:eastAsia="宋体" w:cs="宋体"/>
                <w:b/>
                <w:sz w:val="21"/>
                <w:szCs w:val="21"/>
              </w:rPr>
            </w:pPr>
            <w:r>
              <w:rPr>
                <w:rFonts w:hint="eastAsia" w:ascii="宋体" w:hAnsi="宋体" w:eastAsia="宋体" w:cs="宋体"/>
                <w:b/>
                <w:sz w:val="21"/>
                <w:szCs w:val="21"/>
              </w:rPr>
              <w:t>序号</w:t>
            </w:r>
          </w:p>
        </w:tc>
        <w:tc>
          <w:tcPr>
            <w:tcW w:w="902" w:type="pct"/>
            <w:tcBorders>
              <w:tl2br w:val="nil"/>
              <w:tr2bl w:val="nil"/>
            </w:tcBorders>
            <w:vAlign w:val="center"/>
          </w:tcPr>
          <w:p w14:paraId="7FA73649">
            <w:pPr>
              <w:adjustRightInd w:val="0"/>
              <w:snapToGrid w:val="0"/>
              <w:spacing w:line="240" w:lineRule="auto"/>
              <w:ind w:left="0" w:leftChars="0" w:right="0" w:rightChars="0" w:firstLine="0" w:firstLineChars="0"/>
              <w:jc w:val="center"/>
              <w:rPr>
                <w:rFonts w:hint="eastAsia" w:ascii="宋体" w:hAnsi="宋体" w:eastAsia="宋体" w:cs="宋体"/>
                <w:b/>
                <w:sz w:val="21"/>
                <w:szCs w:val="21"/>
              </w:rPr>
            </w:pPr>
            <w:r>
              <w:rPr>
                <w:rFonts w:hint="eastAsia" w:ascii="宋体" w:hAnsi="宋体" w:eastAsia="宋体" w:cs="宋体"/>
                <w:b/>
                <w:sz w:val="21"/>
                <w:szCs w:val="21"/>
              </w:rPr>
              <w:t>危险因素分类</w:t>
            </w:r>
          </w:p>
        </w:tc>
        <w:tc>
          <w:tcPr>
            <w:tcW w:w="3285" w:type="pct"/>
            <w:tcBorders>
              <w:tl2br w:val="nil"/>
              <w:tr2bl w:val="nil"/>
            </w:tcBorders>
            <w:vAlign w:val="center"/>
          </w:tcPr>
          <w:p w14:paraId="7504D9A4">
            <w:pPr>
              <w:adjustRightInd w:val="0"/>
              <w:snapToGrid w:val="0"/>
              <w:spacing w:line="240" w:lineRule="auto"/>
              <w:ind w:left="0" w:leftChars="0" w:right="0" w:rightChars="0" w:firstLine="0" w:firstLineChars="0"/>
              <w:jc w:val="center"/>
              <w:rPr>
                <w:rFonts w:hint="eastAsia" w:ascii="宋体" w:hAnsi="宋体" w:eastAsia="宋体" w:cs="宋体"/>
                <w:b/>
                <w:sz w:val="21"/>
                <w:szCs w:val="21"/>
              </w:rPr>
            </w:pPr>
            <w:r>
              <w:rPr>
                <w:rFonts w:hint="eastAsia" w:ascii="宋体" w:hAnsi="宋体" w:eastAsia="宋体" w:cs="宋体"/>
                <w:b/>
                <w:sz w:val="21"/>
                <w:szCs w:val="21"/>
              </w:rPr>
              <w:t>可能存在部位</w:t>
            </w:r>
          </w:p>
        </w:tc>
      </w:tr>
      <w:tr w14:paraId="7F73A3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420" w:type="pct"/>
            <w:vMerge w:val="restart"/>
            <w:tcBorders>
              <w:tl2br w:val="nil"/>
              <w:tr2bl w:val="nil"/>
            </w:tcBorders>
            <w:vAlign w:val="center"/>
          </w:tcPr>
          <w:p w14:paraId="285224C6">
            <w:pPr>
              <w:spacing w:line="240" w:lineRule="auto"/>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rPr>
              <w:t>危险</w:t>
            </w:r>
          </w:p>
          <w:p w14:paraId="3719CF1E">
            <w:pPr>
              <w:spacing w:line="240" w:lineRule="auto"/>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rPr>
              <w:t>因素</w:t>
            </w:r>
          </w:p>
        </w:tc>
        <w:tc>
          <w:tcPr>
            <w:tcW w:w="391" w:type="pct"/>
            <w:tcBorders>
              <w:tl2br w:val="nil"/>
              <w:tr2bl w:val="nil"/>
            </w:tcBorders>
            <w:vAlign w:val="center"/>
          </w:tcPr>
          <w:p w14:paraId="145F6C0B">
            <w:pPr>
              <w:numPr>
                <w:ilvl w:val="0"/>
                <w:numId w:val="74"/>
              </w:numPr>
              <w:spacing w:line="240" w:lineRule="auto"/>
              <w:ind w:left="0" w:leftChars="0" w:right="0" w:rightChars="0" w:firstLine="0" w:firstLineChars="0"/>
              <w:jc w:val="center"/>
              <w:rPr>
                <w:rFonts w:hint="eastAsia" w:ascii="宋体" w:hAnsi="宋体" w:eastAsia="宋体" w:cs="宋体"/>
                <w:sz w:val="21"/>
                <w:szCs w:val="21"/>
              </w:rPr>
            </w:pPr>
          </w:p>
        </w:tc>
        <w:tc>
          <w:tcPr>
            <w:tcW w:w="902" w:type="pct"/>
            <w:tcBorders>
              <w:tl2br w:val="nil"/>
              <w:tr2bl w:val="nil"/>
            </w:tcBorders>
            <w:vAlign w:val="center"/>
          </w:tcPr>
          <w:p w14:paraId="610EAA85">
            <w:pPr>
              <w:spacing w:line="240" w:lineRule="auto"/>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rPr>
              <w:t>滑坡、坍塌</w:t>
            </w:r>
          </w:p>
        </w:tc>
        <w:tc>
          <w:tcPr>
            <w:tcW w:w="3285" w:type="pct"/>
            <w:tcBorders>
              <w:tl2br w:val="nil"/>
              <w:tr2bl w:val="nil"/>
            </w:tcBorders>
            <w:vAlign w:val="center"/>
          </w:tcPr>
          <w:p w14:paraId="16FC65A5">
            <w:pPr>
              <w:spacing w:line="240" w:lineRule="auto"/>
              <w:ind w:left="0" w:leftChars="0" w:right="0" w:rightChars="0" w:firstLine="0" w:firstLineChars="0"/>
              <w:jc w:val="both"/>
              <w:rPr>
                <w:rFonts w:hint="eastAsia" w:ascii="宋体" w:hAnsi="宋体" w:eastAsia="宋体" w:cs="宋体"/>
                <w:sz w:val="21"/>
                <w:szCs w:val="21"/>
              </w:rPr>
            </w:pPr>
            <w:r>
              <w:rPr>
                <w:rFonts w:hint="eastAsia" w:ascii="宋体" w:hAnsi="宋体" w:eastAsia="宋体" w:cs="宋体"/>
                <w:sz w:val="21"/>
                <w:szCs w:val="21"/>
              </w:rPr>
              <w:t>开采坡面、采剥作业工作面</w:t>
            </w:r>
          </w:p>
        </w:tc>
      </w:tr>
      <w:tr w14:paraId="77C6B2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420" w:type="pct"/>
            <w:vMerge w:val="continue"/>
            <w:tcBorders>
              <w:tl2br w:val="nil"/>
              <w:tr2bl w:val="nil"/>
            </w:tcBorders>
            <w:vAlign w:val="center"/>
          </w:tcPr>
          <w:p w14:paraId="1C512585">
            <w:pPr>
              <w:spacing w:line="240" w:lineRule="auto"/>
              <w:ind w:left="0" w:leftChars="0" w:right="0" w:rightChars="0" w:firstLine="0" w:firstLineChars="0"/>
              <w:jc w:val="center"/>
              <w:rPr>
                <w:rFonts w:hint="eastAsia" w:ascii="宋体" w:hAnsi="宋体" w:eastAsia="宋体" w:cs="宋体"/>
                <w:sz w:val="21"/>
                <w:szCs w:val="21"/>
              </w:rPr>
            </w:pPr>
          </w:p>
        </w:tc>
        <w:tc>
          <w:tcPr>
            <w:tcW w:w="391" w:type="pct"/>
            <w:tcBorders>
              <w:tl2br w:val="nil"/>
              <w:tr2bl w:val="nil"/>
            </w:tcBorders>
            <w:vAlign w:val="center"/>
          </w:tcPr>
          <w:p w14:paraId="1C7FF4B7">
            <w:pPr>
              <w:numPr>
                <w:ilvl w:val="0"/>
                <w:numId w:val="74"/>
              </w:numPr>
              <w:spacing w:line="240" w:lineRule="auto"/>
              <w:ind w:left="0" w:leftChars="0" w:right="0" w:rightChars="0" w:firstLine="0" w:firstLineChars="0"/>
              <w:jc w:val="center"/>
              <w:rPr>
                <w:rFonts w:hint="eastAsia" w:ascii="宋体" w:hAnsi="宋体" w:eastAsia="宋体" w:cs="宋体"/>
                <w:sz w:val="21"/>
                <w:szCs w:val="21"/>
              </w:rPr>
            </w:pPr>
          </w:p>
        </w:tc>
        <w:tc>
          <w:tcPr>
            <w:tcW w:w="902" w:type="pct"/>
            <w:tcBorders>
              <w:tl2br w:val="nil"/>
              <w:tr2bl w:val="nil"/>
            </w:tcBorders>
            <w:vAlign w:val="center"/>
          </w:tcPr>
          <w:p w14:paraId="68076173">
            <w:pPr>
              <w:spacing w:line="240" w:lineRule="auto"/>
              <w:ind w:left="0" w:leftChars="0" w:right="0" w:rightChars="0"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物体打击</w:t>
            </w:r>
          </w:p>
        </w:tc>
        <w:tc>
          <w:tcPr>
            <w:tcW w:w="3285" w:type="pct"/>
            <w:tcBorders>
              <w:tl2br w:val="nil"/>
              <w:tr2bl w:val="nil"/>
            </w:tcBorders>
            <w:vAlign w:val="center"/>
          </w:tcPr>
          <w:p w14:paraId="73EB99A9">
            <w:pPr>
              <w:spacing w:line="240" w:lineRule="auto"/>
              <w:ind w:left="0" w:leftChars="0" w:right="0" w:rightChars="0" w:firstLine="0" w:firstLineChars="0"/>
              <w:jc w:val="both"/>
              <w:rPr>
                <w:rFonts w:hint="eastAsia" w:ascii="宋体" w:hAnsi="宋体" w:eastAsia="宋体" w:cs="宋体"/>
                <w:kern w:val="2"/>
                <w:sz w:val="21"/>
                <w:szCs w:val="21"/>
                <w:lang w:val="en-US" w:eastAsia="zh-CN" w:bidi="ar-SA"/>
              </w:rPr>
            </w:pPr>
            <w:r>
              <w:rPr>
                <w:rFonts w:hint="eastAsia" w:ascii="宋体" w:hAnsi="宋体" w:eastAsia="宋体" w:cs="宋体"/>
                <w:sz w:val="21"/>
                <w:szCs w:val="21"/>
              </w:rPr>
              <w:t>铲装运输作业、采场</w:t>
            </w:r>
            <w:r>
              <w:rPr>
                <w:rFonts w:hint="eastAsia" w:ascii="宋体" w:hAnsi="宋体" w:cs="宋体"/>
                <w:sz w:val="21"/>
                <w:szCs w:val="21"/>
                <w:lang w:eastAsia="zh-CN"/>
              </w:rPr>
              <w:t>、</w:t>
            </w:r>
            <w:r>
              <w:rPr>
                <w:rFonts w:hint="eastAsia" w:ascii="宋体" w:hAnsi="宋体" w:cs="宋体"/>
                <w:sz w:val="21"/>
                <w:szCs w:val="21"/>
                <w:lang w:val="en-US" w:eastAsia="zh-CN"/>
              </w:rPr>
              <w:t>破碎加工区</w:t>
            </w:r>
          </w:p>
        </w:tc>
      </w:tr>
      <w:tr w14:paraId="64F31D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420" w:type="pct"/>
            <w:vMerge w:val="continue"/>
            <w:tcBorders>
              <w:tl2br w:val="nil"/>
              <w:tr2bl w:val="nil"/>
            </w:tcBorders>
            <w:vAlign w:val="center"/>
          </w:tcPr>
          <w:p w14:paraId="51FA12CB">
            <w:pPr>
              <w:spacing w:line="240" w:lineRule="auto"/>
              <w:ind w:left="0" w:leftChars="0" w:right="0" w:rightChars="0" w:firstLine="0" w:firstLineChars="0"/>
              <w:jc w:val="center"/>
              <w:rPr>
                <w:rFonts w:hint="eastAsia" w:ascii="宋体" w:hAnsi="宋体" w:eastAsia="宋体" w:cs="宋体"/>
                <w:sz w:val="21"/>
                <w:szCs w:val="21"/>
              </w:rPr>
            </w:pPr>
          </w:p>
        </w:tc>
        <w:tc>
          <w:tcPr>
            <w:tcW w:w="391" w:type="pct"/>
            <w:tcBorders>
              <w:tl2br w:val="nil"/>
              <w:tr2bl w:val="nil"/>
            </w:tcBorders>
            <w:vAlign w:val="center"/>
          </w:tcPr>
          <w:p w14:paraId="7F11941D">
            <w:pPr>
              <w:numPr>
                <w:ilvl w:val="0"/>
                <w:numId w:val="74"/>
              </w:numPr>
              <w:spacing w:line="240" w:lineRule="auto"/>
              <w:ind w:left="0" w:leftChars="0" w:right="0" w:rightChars="0" w:firstLine="0" w:firstLineChars="0"/>
              <w:jc w:val="center"/>
              <w:rPr>
                <w:rFonts w:hint="eastAsia" w:ascii="宋体" w:hAnsi="宋体" w:eastAsia="宋体" w:cs="宋体"/>
                <w:sz w:val="21"/>
                <w:szCs w:val="21"/>
              </w:rPr>
            </w:pPr>
          </w:p>
        </w:tc>
        <w:tc>
          <w:tcPr>
            <w:tcW w:w="902" w:type="pct"/>
            <w:tcBorders>
              <w:tl2br w:val="nil"/>
              <w:tr2bl w:val="nil"/>
            </w:tcBorders>
            <w:vAlign w:val="center"/>
          </w:tcPr>
          <w:p w14:paraId="414E139F">
            <w:pPr>
              <w:spacing w:line="240" w:lineRule="auto"/>
              <w:ind w:left="0" w:leftChars="0" w:right="0" w:righ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机械伤害</w:t>
            </w:r>
          </w:p>
        </w:tc>
        <w:tc>
          <w:tcPr>
            <w:tcW w:w="3285" w:type="pct"/>
            <w:tcBorders>
              <w:tl2br w:val="nil"/>
              <w:tr2bl w:val="nil"/>
            </w:tcBorders>
            <w:vAlign w:val="center"/>
          </w:tcPr>
          <w:p w14:paraId="5A5EC177">
            <w:pPr>
              <w:spacing w:line="240" w:lineRule="auto"/>
              <w:ind w:left="0" w:leftChars="0" w:right="0" w:rightChars="0" w:firstLine="0" w:firstLineChars="0"/>
              <w:jc w:val="both"/>
              <w:rPr>
                <w:rFonts w:hint="default" w:ascii="宋体" w:hAnsi="宋体" w:eastAsia="宋体" w:cs="宋体"/>
                <w:kern w:val="2"/>
                <w:sz w:val="21"/>
                <w:szCs w:val="21"/>
                <w:lang w:val="en-US" w:eastAsia="zh-CN" w:bidi="ar-SA"/>
              </w:rPr>
            </w:pPr>
            <w:r>
              <w:rPr>
                <w:rFonts w:hint="eastAsia" w:ascii="宋体" w:hAnsi="宋体" w:eastAsia="宋体" w:cs="宋体"/>
                <w:sz w:val="21"/>
                <w:szCs w:val="21"/>
              </w:rPr>
              <w:t>铲装运输</w:t>
            </w:r>
            <w:r>
              <w:rPr>
                <w:rFonts w:hint="eastAsia" w:ascii="宋体" w:hAnsi="宋体" w:cs="宋体"/>
                <w:sz w:val="21"/>
                <w:szCs w:val="21"/>
                <w:lang w:eastAsia="zh-CN"/>
              </w:rPr>
              <w:t>、</w:t>
            </w:r>
            <w:r>
              <w:rPr>
                <w:rFonts w:hint="eastAsia" w:ascii="宋体" w:hAnsi="宋体" w:cs="宋体"/>
                <w:sz w:val="21"/>
                <w:szCs w:val="21"/>
                <w:lang w:val="en-US" w:eastAsia="zh-CN"/>
              </w:rPr>
              <w:t>破碎加工区、带式输送机、洗砂机</w:t>
            </w:r>
          </w:p>
        </w:tc>
      </w:tr>
      <w:tr w14:paraId="1A38C6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420" w:type="pct"/>
            <w:vMerge w:val="continue"/>
            <w:tcBorders>
              <w:tl2br w:val="nil"/>
              <w:tr2bl w:val="nil"/>
            </w:tcBorders>
            <w:vAlign w:val="center"/>
          </w:tcPr>
          <w:p w14:paraId="0ACAA5F7">
            <w:pPr>
              <w:spacing w:line="240" w:lineRule="auto"/>
              <w:ind w:left="0" w:leftChars="0" w:right="0" w:rightChars="0" w:firstLine="0" w:firstLineChars="0"/>
              <w:jc w:val="center"/>
              <w:rPr>
                <w:rFonts w:hint="eastAsia" w:ascii="宋体" w:hAnsi="宋体" w:eastAsia="宋体" w:cs="宋体"/>
                <w:sz w:val="21"/>
                <w:szCs w:val="21"/>
              </w:rPr>
            </w:pPr>
          </w:p>
        </w:tc>
        <w:tc>
          <w:tcPr>
            <w:tcW w:w="391" w:type="pct"/>
            <w:tcBorders>
              <w:tl2br w:val="nil"/>
              <w:tr2bl w:val="nil"/>
            </w:tcBorders>
            <w:vAlign w:val="center"/>
          </w:tcPr>
          <w:p w14:paraId="5708AB9C">
            <w:pPr>
              <w:numPr>
                <w:ilvl w:val="0"/>
                <w:numId w:val="74"/>
              </w:numPr>
              <w:spacing w:line="240" w:lineRule="auto"/>
              <w:ind w:left="0" w:leftChars="0" w:right="0" w:rightChars="0" w:firstLine="0" w:firstLineChars="0"/>
              <w:jc w:val="center"/>
              <w:rPr>
                <w:rFonts w:hint="eastAsia" w:ascii="宋体" w:hAnsi="宋体" w:eastAsia="宋体" w:cs="宋体"/>
                <w:sz w:val="21"/>
                <w:szCs w:val="21"/>
              </w:rPr>
            </w:pPr>
          </w:p>
        </w:tc>
        <w:tc>
          <w:tcPr>
            <w:tcW w:w="902" w:type="pct"/>
            <w:tcBorders>
              <w:tl2br w:val="nil"/>
              <w:tr2bl w:val="nil"/>
            </w:tcBorders>
            <w:vAlign w:val="center"/>
          </w:tcPr>
          <w:p w14:paraId="2EAF7470">
            <w:pPr>
              <w:spacing w:line="240" w:lineRule="auto"/>
              <w:ind w:left="0" w:leftChars="0" w:right="0" w:righ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车辆伤害</w:t>
            </w:r>
          </w:p>
        </w:tc>
        <w:tc>
          <w:tcPr>
            <w:tcW w:w="3285" w:type="pct"/>
            <w:tcBorders>
              <w:tl2br w:val="nil"/>
              <w:tr2bl w:val="nil"/>
            </w:tcBorders>
            <w:vAlign w:val="center"/>
          </w:tcPr>
          <w:p w14:paraId="7687ED46">
            <w:pPr>
              <w:spacing w:line="240" w:lineRule="auto"/>
              <w:ind w:left="0" w:leftChars="0" w:right="0" w:rightChars="0" w:firstLine="0" w:firstLineChars="0"/>
              <w:jc w:val="both"/>
              <w:rPr>
                <w:rFonts w:hint="eastAsia" w:ascii="宋体" w:hAnsi="宋体" w:eastAsia="宋体" w:cs="宋体"/>
                <w:kern w:val="2"/>
                <w:sz w:val="21"/>
                <w:szCs w:val="21"/>
                <w:lang w:val="en-US" w:eastAsia="zh-CN" w:bidi="ar-SA"/>
              </w:rPr>
            </w:pPr>
            <w:r>
              <w:rPr>
                <w:rFonts w:hint="eastAsia" w:ascii="宋体" w:hAnsi="宋体" w:eastAsia="宋体" w:cs="宋体"/>
                <w:sz w:val="21"/>
                <w:szCs w:val="21"/>
              </w:rPr>
              <w:t>运输过程中的各种车辆设备</w:t>
            </w:r>
          </w:p>
        </w:tc>
      </w:tr>
      <w:tr w14:paraId="2A979F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420" w:type="pct"/>
            <w:vMerge w:val="continue"/>
            <w:tcBorders>
              <w:tl2br w:val="nil"/>
              <w:tr2bl w:val="nil"/>
            </w:tcBorders>
            <w:vAlign w:val="center"/>
          </w:tcPr>
          <w:p w14:paraId="130C61D1">
            <w:pPr>
              <w:spacing w:line="240" w:lineRule="auto"/>
              <w:ind w:left="0" w:leftChars="0" w:right="0" w:rightChars="0" w:firstLine="0" w:firstLineChars="0"/>
              <w:jc w:val="center"/>
              <w:rPr>
                <w:rFonts w:hint="eastAsia" w:ascii="宋体" w:hAnsi="宋体" w:eastAsia="宋体" w:cs="宋体"/>
                <w:sz w:val="21"/>
                <w:szCs w:val="21"/>
              </w:rPr>
            </w:pPr>
          </w:p>
        </w:tc>
        <w:tc>
          <w:tcPr>
            <w:tcW w:w="391" w:type="pct"/>
            <w:tcBorders>
              <w:tl2br w:val="nil"/>
              <w:tr2bl w:val="nil"/>
            </w:tcBorders>
            <w:vAlign w:val="center"/>
          </w:tcPr>
          <w:p w14:paraId="6D03F087">
            <w:pPr>
              <w:numPr>
                <w:ilvl w:val="0"/>
                <w:numId w:val="74"/>
              </w:numPr>
              <w:spacing w:line="240" w:lineRule="auto"/>
              <w:ind w:left="0" w:leftChars="0" w:right="0" w:rightChars="0" w:firstLine="0" w:firstLineChars="0"/>
              <w:jc w:val="center"/>
              <w:rPr>
                <w:rFonts w:hint="eastAsia" w:ascii="宋体" w:hAnsi="宋体" w:eastAsia="宋体" w:cs="宋体"/>
                <w:sz w:val="21"/>
                <w:szCs w:val="21"/>
              </w:rPr>
            </w:pPr>
          </w:p>
        </w:tc>
        <w:tc>
          <w:tcPr>
            <w:tcW w:w="902" w:type="pct"/>
            <w:tcBorders>
              <w:tl2br w:val="nil"/>
              <w:tr2bl w:val="nil"/>
            </w:tcBorders>
            <w:vAlign w:val="center"/>
          </w:tcPr>
          <w:p w14:paraId="1EE9B74A">
            <w:pPr>
              <w:spacing w:line="240" w:lineRule="auto"/>
              <w:ind w:left="0" w:leftChars="0" w:right="0" w:righ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rPr>
              <w:t>触电</w:t>
            </w:r>
          </w:p>
        </w:tc>
        <w:tc>
          <w:tcPr>
            <w:tcW w:w="3285" w:type="pct"/>
            <w:tcBorders>
              <w:tl2br w:val="nil"/>
              <w:tr2bl w:val="nil"/>
            </w:tcBorders>
            <w:vAlign w:val="center"/>
          </w:tcPr>
          <w:p w14:paraId="7885FFC5">
            <w:pPr>
              <w:spacing w:line="240" w:lineRule="auto"/>
              <w:ind w:left="0" w:leftChars="0" w:right="0" w:rightChars="0" w:firstLine="0" w:firstLineChars="0"/>
              <w:jc w:val="both"/>
              <w:rPr>
                <w:rFonts w:hint="eastAsia" w:ascii="宋体" w:hAnsi="宋体" w:eastAsia="宋体" w:cs="宋体"/>
                <w:kern w:val="2"/>
                <w:sz w:val="21"/>
                <w:szCs w:val="21"/>
                <w:lang w:val="en-US" w:eastAsia="zh-CN" w:bidi="ar-SA"/>
              </w:rPr>
            </w:pPr>
            <w:r>
              <w:rPr>
                <w:rFonts w:hint="eastAsia" w:ascii="宋体" w:hAnsi="宋体" w:eastAsia="宋体" w:cs="宋体"/>
                <w:sz w:val="21"/>
                <w:szCs w:val="21"/>
              </w:rPr>
              <w:t>变配电设施</w:t>
            </w:r>
            <w:r>
              <w:rPr>
                <w:rFonts w:hint="eastAsia" w:ascii="宋体" w:hAnsi="宋体" w:cs="宋体"/>
                <w:sz w:val="21"/>
                <w:szCs w:val="21"/>
                <w:lang w:eastAsia="zh-CN"/>
              </w:rPr>
              <w:t>（</w:t>
            </w:r>
            <w:r>
              <w:rPr>
                <w:rFonts w:hint="eastAsia" w:ascii="宋体" w:hAnsi="宋体" w:eastAsia="宋体" w:cs="宋体"/>
                <w:sz w:val="21"/>
                <w:szCs w:val="21"/>
              </w:rPr>
              <w:t>变压器、配电室</w:t>
            </w:r>
            <w:r>
              <w:rPr>
                <w:rFonts w:hint="eastAsia" w:ascii="宋体" w:hAnsi="宋体" w:cs="宋体"/>
                <w:sz w:val="21"/>
                <w:szCs w:val="21"/>
                <w:lang w:eastAsia="zh-CN"/>
              </w:rPr>
              <w:t>）</w:t>
            </w:r>
            <w:r>
              <w:rPr>
                <w:rFonts w:hint="eastAsia" w:ascii="宋体" w:hAnsi="宋体" w:eastAsia="宋体" w:cs="宋体"/>
                <w:sz w:val="21"/>
                <w:szCs w:val="21"/>
              </w:rPr>
              <w:t>、用电设备、供电线路等</w:t>
            </w:r>
          </w:p>
        </w:tc>
      </w:tr>
      <w:tr w14:paraId="1B8272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420" w:type="pct"/>
            <w:vMerge w:val="continue"/>
            <w:tcBorders>
              <w:tl2br w:val="nil"/>
              <w:tr2bl w:val="nil"/>
            </w:tcBorders>
            <w:vAlign w:val="center"/>
          </w:tcPr>
          <w:p w14:paraId="6A64248E">
            <w:pPr>
              <w:spacing w:line="240" w:lineRule="auto"/>
              <w:ind w:left="0" w:leftChars="0" w:right="0" w:rightChars="0" w:firstLine="0" w:firstLineChars="0"/>
              <w:jc w:val="center"/>
              <w:rPr>
                <w:rFonts w:hint="eastAsia" w:ascii="宋体" w:hAnsi="宋体" w:eastAsia="宋体" w:cs="宋体"/>
                <w:sz w:val="21"/>
                <w:szCs w:val="21"/>
              </w:rPr>
            </w:pPr>
          </w:p>
        </w:tc>
        <w:tc>
          <w:tcPr>
            <w:tcW w:w="391" w:type="pct"/>
            <w:tcBorders>
              <w:tl2br w:val="nil"/>
              <w:tr2bl w:val="nil"/>
            </w:tcBorders>
            <w:vAlign w:val="center"/>
          </w:tcPr>
          <w:p w14:paraId="79DF5445">
            <w:pPr>
              <w:numPr>
                <w:ilvl w:val="0"/>
                <w:numId w:val="74"/>
              </w:numPr>
              <w:spacing w:line="240" w:lineRule="auto"/>
              <w:ind w:left="0" w:leftChars="0" w:right="0" w:rightChars="0" w:firstLine="0" w:firstLineChars="0"/>
              <w:jc w:val="center"/>
              <w:rPr>
                <w:rFonts w:hint="eastAsia" w:ascii="宋体" w:hAnsi="宋体" w:eastAsia="宋体" w:cs="宋体"/>
                <w:sz w:val="21"/>
                <w:szCs w:val="21"/>
              </w:rPr>
            </w:pPr>
          </w:p>
        </w:tc>
        <w:tc>
          <w:tcPr>
            <w:tcW w:w="902" w:type="pct"/>
            <w:tcBorders>
              <w:tl2br w:val="nil"/>
              <w:tr2bl w:val="nil"/>
            </w:tcBorders>
            <w:vAlign w:val="center"/>
          </w:tcPr>
          <w:p w14:paraId="3CC35524">
            <w:pPr>
              <w:spacing w:line="240" w:lineRule="auto"/>
              <w:ind w:left="0" w:leftChars="0" w:right="0" w:rightChars="0" w:firstLine="0" w:firstLineChars="0"/>
              <w:jc w:val="center"/>
              <w:rPr>
                <w:rFonts w:hint="eastAsia" w:ascii="宋体" w:hAnsi="宋体" w:eastAsia="宋体" w:cs="宋体"/>
                <w:sz w:val="21"/>
                <w:szCs w:val="21"/>
              </w:rPr>
            </w:pPr>
            <w:r>
              <w:rPr>
                <w:rFonts w:hint="default" w:ascii="宋体" w:hAnsi="宋体" w:eastAsia="宋体" w:cs="宋体"/>
                <w:sz w:val="21"/>
                <w:szCs w:val="21"/>
              </w:rPr>
              <w:t>淹溺</w:t>
            </w:r>
          </w:p>
        </w:tc>
        <w:tc>
          <w:tcPr>
            <w:tcW w:w="3285" w:type="pct"/>
            <w:tcBorders>
              <w:tl2br w:val="nil"/>
              <w:tr2bl w:val="nil"/>
            </w:tcBorders>
            <w:vAlign w:val="center"/>
          </w:tcPr>
          <w:p w14:paraId="421FB6C8">
            <w:pPr>
              <w:spacing w:line="240" w:lineRule="auto"/>
              <w:ind w:left="0" w:leftChars="0" w:right="0" w:rightChars="0" w:firstLine="0" w:firstLineChars="0"/>
              <w:jc w:val="both"/>
              <w:rPr>
                <w:rFonts w:hint="default" w:ascii="宋体" w:hAnsi="宋体" w:eastAsia="宋体" w:cs="宋体"/>
                <w:sz w:val="21"/>
                <w:szCs w:val="21"/>
                <w:lang w:val="en-US" w:eastAsia="zh-CN"/>
              </w:rPr>
            </w:pPr>
            <w:r>
              <w:rPr>
                <w:rFonts w:hint="eastAsia" w:ascii="宋体" w:hAnsi="宋体" w:cs="宋体"/>
                <w:sz w:val="21"/>
                <w:szCs w:val="21"/>
                <w:lang w:val="en-US" w:eastAsia="zh-CN"/>
              </w:rPr>
              <w:t>沉淀池、蓄水池</w:t>
            </w:r>
          </w:p>
        </w:tc>
      </w:tr>
      <w:tr w14:paraId="405471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420" w:type="pct"/>
            <w:vMerge w:val="continue"/>
            <w:tcBorders>
              <w:tl2br w:val="nil"/>
              <w:tr2bl w:val="nil"/>
            </w:tcBorders>
            <w:vAlign w:val="center"/>
          </w:tcPr>
          <w:p w14:paraId="031FEE5F">
            <w:pPr>
              <w:spacing w:line="240" w:lineRule="auto"/>
              <w:ind w:left="0" w:leftChars="0" w:right="0" w:rightChars="0" w:firstLine="0" w:firstLineChars="0"/>
              <w:jc w:val="center"/>
              <w:rPr>
                <w:rFonts w:hint="eastAsia" w:ascii="宋体" w:hAnsi="宋体" w:eastAsia="宋体" w:cs="宋体"/>
                <w:sz w:val="21"/>
                <w:szCs w:val="21"/>
              </w:rPr>
            </w:pPr>
          </w:p>
        </w:tc>
        <w:tc>
          <w:tcPr>
            <w:tcW w:w="391" w:type="pct"/>
            <w:tcBorders>
              <w:tl2br w:val="nil"/>
              <w:tr2bl w:val="nil"/>
            </w:tcBorders>
            <w:vAlign w:val="center"/>
          </w:tcPr>
          <w:p w14:paraId="73BD6408">
            <w:pPr>
              <w:numPr>
                <w:ilvl w:val="0"/>
                <w:numId w:val="74"/>
              </w:numPr>
              <w:spacing w:line="240" w:lineRule="auto"/>
              <w:ind w:left="0" w:leftChars="0" w:right="0" w:rightChars="0" w:firstLine="0" w:firstLineChars="0"/>
              <w:jc w:val="center"/>
              <w:rPr>
                <w:rFonts w:hint="eastAsia" w:ascii="宋体" w:hAnsi="宋体" w:eastAsia="宋体" w:cs="宋体"/>
                <w:sz w:val="21"/>
                <w:szCs w:val="21"/>
              </w:rPr>
            </w:pPr>
          </w:p>
        </w:tc>
        <w:tc>
          <w:tcPr>
            <w:tcW w:w="902" w:type="pct"/>
            <w:tcBorders>
              <w:tl2br w:val="nil"/>
              <w:tr2bl w:val="nil"/>
            </w:tcBorders>
            <w:vAlign w:val="center"/>
          </w:tcPr>
          <w:p w14:paraId="27CD1D40">
            <w:pPr>
              <w:spacing w:line="240" w:lineRule="auto"/>
              <w:ind w:left="0" w:leftChars="0" w:right="0" w:rightChars="0"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火灾</w:t>
            </w:r>
          </w:p>
        </w:tc>
        <w:tc>
          <w:tcPr>
            <w:tcW w:w="3285" w:type="pct"/>
            <w:tcBorders>
              <w:tl2br w:val="nil"/>
              <w:tr2bl w:val="nil"/>
            </w:tcBorders>
            <w:vAlign w:val="center"/>
          </w:tcPr>
          <w:p w14:paraId="07E09541">
            <w:pPr>
              <w:spacing w:line="240" w:lineRule="auto"/>
              <w:ind w:left="0" w:leftChars="0" w:right="0" w:rightChars="0" w:firstLine="0" w:firstLineChars="0"/>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变配设施、供电线路、供气设备、公用工程（电气火灾、明火）</w:t>
            </w:r>
          </w:p>
        </w:tc>
      </w:tr>
      <w:tr w14:paraId="754ABD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420" w:type="pct"/>
            <w:vMerge w:val="continue"/>
            <w:tcBorders>
              <w:tl2br w:val="nil"/>
              <w:tr2bl w:val="nil"/>
            </w:tcBorders>
            <w:vAlign w:val="center"/>
          </w:tcPr>
          <w:p w14:paraId="06B364D4">
            <w:pPr>
              <w:spacing w:line="240" w:lineRule="auto"/>
              <w:ind w:left="0" w:leftChars="0" w:right="0" w:rightChars="0" w:firstLine="0" w:firstLineChars="0"/>
              <w:jc w:val="center"/>
              <w:rPr>
                <w:rFonts w:hint="eastAsia" w:ascii="宋体" w:hAnsi="宋体" w:eastAsia="宋体" w:cs="宋体"/>
                <w:sz w:val="21"/>
                <w:szCs w:val="21"/>
              </w:rPr>
            </w:pPr>
          </w:p>
        </w:tc>
        <w:tc>
          <w:tcPr>
            <w:tcW w:w="391" w:type="pct"/>
            <w:tcBorders>
              <w:tl2br w:val="nil"/>
              <w:tr2bl w:val="nil"/>
            </w:tcBorders>
            <w:vAlign w:val="center"/>
          </w:tcPr>
          <w:p w14:paraId="755597AC">
            <w:pPr>
              <w:numPr>
                <w:ilvl w:val="0"/>
                <w:numId w:val="74"/>
              </w:numPr>
              <w:spacing w:line="240" w:lineRule="auto"/>
              <w:ind w:left="0" w:leftChars="0" w:right="0" w:rightChars="0" w:firstLine="0" w:firstLineChars="0"/>
              <w:jc w:val="center"/>
              <w:rPr>
                <w:rFonts w:hint="eastAsia" w:ascii="宋体" w:hAnsi="宋体" w:eastAsia="宋体" w:cs="宋体"/>
                <w:sz w:val="21"/>
                <w:szCs w:val="21"/>
                <w:lang w:val="en-US" w:eastAsia="zh-CN"/>
              </w:rPr>
            </w:pPr>
          </w:p>
        </w:tc>
        <w:tc>
          <w:tcPr>
            <w:tcW w:w="902" w:type="pct"/>
            <w:tcBorders>
              <w:tl2br w:val="nil"/>
              <w:tr2bl w:val="nil"/>
            </w:tcBorders>
            <w:vAlign w:val="center"/>
          </w:tcPr>
          <w:p w14:paraId="0C274900">
            <w:pPr>
              <w:spacing w:line="240" w:lineRule="auto"/>
              <w:ind w:left="0" w:leftChars="0" w:right="0" w:rightChars="0" w:firstLine="0" w:firstLineChars="0"/>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高处坠落</w:t>
            </w:r>
          </w:p>
        </w:tc>
        <w:tc>
          <w:tcPr>
            <w:tcW w:w="3285" w:type="pct"/>
            <w:tcBorders>
              <w:tl2br w:val="nil"/>
              <w:tr2bl w:val="nil"/>
            </w:tcBorders>
            <w:vAlign w:val="center"/>
          </w:tcPr>
          <w:p w14:paraId="539FAC1C">
            <w:pPr>
              <w:spacing w:line="240" w:lineRule="auto"/>
              <w:ind w:left="0" w:leftChars="0" w:right="0" w:rightChars="0" w:firstLine="0" w:firstLineChars="0"/>
              <w:jc w:val="both"/>
              <w:rPr>
                <w:rFonts w:hint="eastAsia" w:ascii="宋体" w:hAnsi="宋体" w:eastAsia="宋体" w:cs="宋体"/>
                <w:kern w:val="2"/>
                <w:sz w:val="21"/>
                <w:szCs w:val="21"/>
                <w:lang w:val="en-US" w:eastAsia="zh-CN" w:bidi="ar-SA"/>
              </w:rPr>
            </w:pPr>
            <w:r>
              <w:rPr>
                <w:rFonts w:hint="eastAsia" w:ascii="宋体" w:hAnsi="宋体" w:eastAsia="宋体" w:cs="宋体"/>
                <w:sz w:val="21"/>
                <w:szCs w:val="21"/>
              </w:rPr>
              <w:t>高于基准面2米的各种设备</w:t>
            </w:r>
            <w:r>
              <w:rPr>
                <w:rFonts w:hint="eastAsia" w:ascii="宋体" w:hAnsi="宋体" w:cs="宋体"/>
                <w:sz w:val="21"/>
                <w:szCs w:val="21"/>
                <w:lang w:eastAsia="zh-CN"/>
              </w:rPr>
              <w:t>、</w:t>
            </w:r>
            <w:r>
              <w:rPr>
                <w:rFonts w:hint="eastAsia" w:ascii="宋体" w:hAnsi="宋体" w:cs="宋体"/>
                <w:sz w:val="21"/>
                <w:szCs w:val="21"/>
                <w:lang w:val="en-US" w:eastAsia="zh-CN"/>
              </w:rPr>
              <w:t>平台</w:t>
            </w:r>
            <w:r>
              <w:rPr>
                <w:rFonts w:hint="eastAsia" w:ascii="宋体" w:hAnsi="宋体" w:eastAsia="宋体" w:cs="宋体"/>
                <w:sz w:val="21"/>
                <w:szCs w:val="21"/>
              </w:rPr>
              <w:t>及进行采剥作业的岗位</w:t>
            </w:r>
          </w:p>
        </w:tc>
      </w:tr>
      <w:tr w14:paraId="1FC043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420" w:type="pct"/>
            <w:vMerge w:val="restart"/>
            <w:tcBorders>
              <w:tl2br w:val="nil"/>
              <w:tr2bl w:val="nil"/>
            </w:tcBorders>
            <w:vAlign w:val="center"/>
          </w:tcPr>
          <w:p w14:paraId="067FA96F">
            <w:pPr>
              <w:spacing w:line="240" w:lineRule="auto"/>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rPr>
              <w:t>有害</w:t>
            </w:r>
          </w:p>
          <w:p w14:paraId="35E76359">
            <w:pPr>
              <w:spacing w:line="240" w:lineRule="auto"/>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rPr>
              <w:t>因素</w:t>
            </w:r>
          </w:p>
        </w:tc>
        <w:tc>
          <w:tcPr>
            <w:tcW w:w="391" w:type="pct"/>
            <w:tcBorders>
              <w:tl2br w:val="nil"/>
              <w:tr2bl w:val="nil"/>
            </w:tcBorders>
            <w:vAlign w:val="center"/>
          </w:tcPr>
          <w:p w14:paraId="12845DC0">
            <w:pPr>
              <w:spacing w:line="240" w:lineRule="auto"/>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rPr>
              <w:t>1</w:t>
            </w:r>
          </w:p>
        </w:tc>
        <w:tc>
          <w:tcPr>
            <w:tcW w:w="902" w:type="pct"/>
            <w:tcBorders>
              <w:tl2br w:val="nil"/>
              <w:tr2bl w:val="nil"/>
            </w:tcBorders>
            <w:vAlign w:val="center"/>
          </w:tcPr>
          <w:p w14:paraId="7E42030E">
            <w:pPr>
              <w:spacing w:line="240" w:lineRule="auto"/>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rPr>
              <w:t>粉尘</w:t>
            </w:r>
          </w:p>
        </w:tc>
        <w:tc>
          <w:tcPr>
            <w:tcW w:w="3285" w:type="pct"/>
            <w:tcBorders>
              <w:tl2br w:val="nil"/>
              <w:tr2bl w:val="nil"/>
            </w:tcBorders>
            <w:vAlign w:val="center"/>
          </w:tcPr>
          <w:p w14:paraId="3C7C01B1">
            <w:pPr>
              <w:spacing w:line="240" w:lineRule="auto"/>
              <w:ind w:left="0" w:leftChars="0" w:right="0" w:rightChars="0" w:firstLine="0" w:firstLineChars="0"/>
              <w:jc w:val="both"/>
              <w:rPr>
                <w:rFonts w:hint="default" w:ascii="宋体" w:hAnsi="宋体" w:eastAsia="宋体" w:cs="宋体"/>
                <w:sz w:val="21"/>
                <w:szCs w:val="21"/>
                <w:lang w:val="en-US"/>
              </w:rPr>
            </w:pPr>
            <w:r>
              <w:rPr>
                <w:rFonts w:hint="eastAsia" w:ascii="宋体" w:hAnsi="宋体" w:eastAsia="宋体" w:cs="宋体"/>
                <w:sz w:val="21"/>
                <w:szCs w:val="21"/>
              </w:rPr>
              <w:t>运输道路、开采工作面</w:t>
            </w:r>
            <w:r>
              <w:rPr>
                <w:rFonts w:hint="eastAsia" w:ascii="宋体" w:hAnsi="宋体" w:cs="宋体"/>
                <w:sz w:val="21"/>
                <w:szCs w:val="21"/>
                <w:lang w:eastAsia="zh-CN"/>
              </w:rPr>
              <w:t>、</w:t>
            </w:r>
            <w:r>
              <w:rPr>
                <w:rFonts w:hint="eastAsia" w:ascii="宋体" w:hAnsi="宋体" w:cs="宋体"/>
                <w:sz w:val="21"/>
                <w:szCs w:val="21"/>
                <w:lang w:val="en-US" w:eastAsia="zh-CN"/>
              </w:rPr>
              <w:t>破碎加工区</w:t>
            </w:r>
          </w:p>
        </w:tc>
      </w:tr>
      <w:tr w14:paraId="31155E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420" w:type="pct"/>
            <w:vMerge w:val="continue"/>
            <w:tcBorders>
              <w:tl2br w:val="nil"/>
              <w:tr2bl w:val="nil"/>
            </w:tcBorders>
            <w:vAlign w:val="center"/>
          </w:tcPr>
          <w:p w14:paraId="77A90CFD">
            <w:pPr>
              <w:spacing w:line="240" w:lineRule="auto"/>
              <w:ind w:left="0" w:leftChars="0" w:right="0" w:rightChars="0" w:firstLine="0" w:firstLineChars="0"/>
              <w:jc w:val="center"/>
              <w:rPr>
                <w:rFonts w:hint="eastAsia" w:ascii="宋体" w:hAnsi="宋体" w:eastAsia="宋体" w:cs="宋体"/>
                <w:sz w:val="21"/>
                <w:szCs w:val="21"/>
              </w:rPr>
            </w:pPr>
          </w:p>
        </w:tc>
        <w:tc>
          <w:tcPr>
            <w:tcW w:w="391" w:type="pct"/>
            <w:tcBorders>
              <w:tl2br w:val="nil"/>
              <w:tr2bl w:val="nil"/>
            </w:tcBorders>
            <w:vAlign w:val="center"/>
          </w:tcPr>
          <w:p w14:paraId="4F936DC2">
            <w:pPr>
              <w:spacing w:line="240" w:lineRule="auto"/>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rPr>
              <w:t>2</w:t>
            </w:r>
          </w:p>
        </w:tc>
        <w:tc>
          <w:tcPr>
            <w:tcW w:w="902" w:type="pct"/>
            <w:tcBorders>
              <w:tl2br w:val="nil"/>
              <w:tr2bl w:val="nil"/>
            </w:tcBorders>
            <w:vAlign w:val="center"/>
          </w:tcPr>
          <w:p w14:paraId="6DC53580">
            <w:pPr>
              <w:spacing w:line="240" w:lineRule="auto"/>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sz w:val="21"/>
                <w:szCs w:val="21"/>
              </w:rPr>
              <w:t>噪声</w:t>
            </w:r>
          </w:p>
        </w:tc>
        <w:tc>
          <w:tcPr>
            <w:tcW w:w="3285" w:type="pct"/>
            <w:tcBorders>
              <w:tl2br w:val="nil"/>
              <w:tr2bl w:val="nil"/>
            </w:tcBorders>
            <w:vAlign w:val="center"/>
          </w:tcPr>
          <w:p w14:paraId="2E6321CD">
            <w:pPr>
              <w:spacing w:line="240" w:lineRule="auto"/>
              <w:ind w:left="0" w:leftChars="0" w:right="0" w:rightChars="0" w:firstLine="0" w:firstLineChars="0"/>
              <w:jc w:val="both"/>
              <w:rPr>
                <w:rFonts w:hint="default" w:ascii="宋体" w:hAnsi="宋体" w:eastAsia="宋体" w:cs="宋体"/>
                <w:sz w:val="21"/>
                <w:szCs w:val="21"/>
                <w:lang w:val="en-US"/>
              </w:rPr>
            </w:pPr>
            <w:r>
              <w:rPr>
                <w:rFonts w:hint="eastAsia" w:ascii="宋体" w:hAnsi="宋体" w:eastAsia="宋体" w:cs="宋体"/>
                <w:sz w:val="21"/>
                <w:szCs w:val="21"/>
                <w:lang w:val="en-US" w:eastAsia="zh-CN"/>
              </w:rPr>
              <w:t>车辆</w:t>
            </w:r>
            <w:r>
              <w:rPr>
                <w:rFonts w:hint="eastAsia" w:ascii="宋体" w:hAnsi="宋体" w:cs="宋体"/>
                <w:sz w:val="21"/>
                <w:szCs w:val="21"/>
                <w:lang w:val="en-US" w:eastAsia="zh-CN"/>
              </w:rPr>
              <w:t>、破碎加工区、洗砂机</w:t>
            </w:r>
          </w:p>
        </w:tc>
      </w:tr>
      <w:tr w14:paraId="137EEE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0" w:type="pct"/>
            <w:vMerge w:val="continue"/>
            <w:tcBorders>
              <w:tl2br w:val="nil"/>
              <w:tr2bl w:val="nil"/>
            </w:tcBorders>
            <w:vAlign w:val="center"/>
          </w:tcPr>
          <w:p w14:paraId="504492C8">
            <w:pPr>
              <w:spacing w:line="240" w:lineRule="auto"/>
              <w:ind w:left="0" w:leftChars="0" w:right="0" w:rightChars="0" w:firstLine="0" w:firstLineChars="0"/>
              <w:jc w:val="center"/>
              <w:rPr>
                <w:rFonts w:hint="eastAsia" w:ascii="宋体" w:hAnsi="宋体" w:eastAsia="宋体" w:cs="宋体"/>
                <w:sz w:val="21"/>
                <w:szCs w:val="21"/>
              </w:rPr>
            </w:pPr>
          </w:p>
        </w:tc>
        <w:tc>
          <w:tcPr>
            <w:tcW w:w="391" w:type="pct"/>
            <w:tcBorders>
              <w:tl2br w:val="nil"/>
              <w:tr2bl w:val="nil"/>
            </w:tcBorders>
            <w:vAlign w:val="center"/>
          </w:tcPr>
          <w:p w14:paraId="76341086">
            <w:pPr>
              <w:spacing w:line="240" w:lineRule="auto"/>
              <w:ind w:left="0" w:leftChars="0" w:right="0" w:righ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902" w:type="pct"/>
            <w:tcBorders>
              <w:tl2br w:val="nil"/>
              <w:tr2bl w:val="nil"/>
            </w:tcBorders>
            <w:vAlign w:val="center"/>
          </w:tcPr>
          <w:p w14:paraId="43C6206B">
            <w:pPr>
              <w:spacing w:line="240" w:lineRule="auto"/>
              <w:ind w:left="0" w:leftChars="0" w:right="0" w:rightChars="0" w:firstLine="0" w:firstLine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振动</w:t>
            </w:r>
          </w:p>
        </w:tc>
        <w:tc>
          <w:tcPr>
            <w:tcW w:w="3285" w:type="pct"/>
            <w:tcBorders>
              <w:tl2br w:val="nil"/>
              <w:tr2bl w:val="nil"/>
            </w:tcBorders>
            <w:vAlign w:val="center"/>
          </w:tcPr>
          <w:p w14:paraId="127DB6D8">
            <w:pPr>
              <w:spacing w:line="240" w:lineRule="auto"/>
              <w:ind w:left="0" w:leftChars="0" w:right="0" w:rightChars="0" w:firstLine="0" w:firstLineChars="0"/>
              <w:jc w:val="both"/>
              <w:rPr>
                <w:rFonts w:hint="default" w:ascii="宋体" w:hAnsi="宋体" w:eastAsia="宋体" w:cs="宋体"/>
                <w:sz w:val="21"/>
                <w:szCs w:val="21"/>
                <w:lang w:val="en-US"/>
              </w:rPr>
            </w:pPr>
            <w:r>
              <w:rPr>
                <w:rFonts w:hint="eastAsia" w:ascii="宋体" w:hAnsi="宋体" w:cs="宋体"/>
                <w:sz w:val="21"/>
                <w:szCs w:val="21"/>
                <w:lang w:val="en-US" w:eastAsia="zh-CN"/>
              </w:rPr>
              <w:t>破碎加工区、洗砂机</w:t>
            </w:r>
          </w:p>
        </w:tc>
      </w:tr>
    </w:tbl>
    <w:p w14:paraId="3A4BC593">
      <w:pPr>
        <w:pStyle w:val="3"/>
        <w:bidi w:val="0"/>
        <w:rPr>
          <w:rFonts w:hint="eastAsia"/>
        </w:rPr>
      </w:pPr>
      <w:bookmarkStart w:id="256" w:name="_Toc23754"/>
      <w:bookmarkStart w:id="257" w:name="_Toc365552909"/>
      <w:bookmarkStart w:id="258" w:name="_Toc343500449"/>
      <w:bookmarkStart w:id="259" w:name="_Toc441841800"/>
      <w:bookmarkStart w:id="260" w:name="_Toc3797"/>
      <w:bookmarkStart w:id="261" w:name="_Toc362956546"/>
      <w:bookmarkStart w:id="262" w:name="_Toc115120696"/>
      <w:bookmarkStart w:id="263" w:name="_Toc242849829"/>
      <w:bookmarkStart w:id="264" w:name="_Toc55300552"/>
      <w:bookmarkStart w:id="265" w:name="_Toc115141973"/>
      <w:bookmarkStart w:id="266" w:name="_Toc115120302"/>
      <w:bookmarkStart w:id="267" w:name="_Toc226963217"/>
      <w:bookmarkStart w:id="268" w:name="_Toc460862589"/>
      <w:r>
        <w:rPr>
          <w:rFonts w:hint="eastAsia"/>
        </w:rPr>
        <w:t>项目应重点防范的重大危险、有害因素</w:t>
      </w:r>
      <w:bookmarkEnd w:id="256"/>
      <w:bookmarkEnd w:id="257"/>
      <w:bookmarkEnd w:id="258"/>
      <w:bookmarkEnd w:id="259"/>
      <w:bookmarkEnd w:id="260"/>
      <w:bookmarkEnd w:id="261"/>
    </w:p>
    <w:p w14:paraId="5F4D50ED">
      <w:pPr>
        <w:spacing w:line="500" w:lineRule="exact"/>
        <w:ind w:firstLine="560" w:firstLineChars="200"/>
        <w:rPr>
          <w:rFonts w:hint="eastAsia" w:ascii="宋体" w:hAnsi="宋体" w:eastAsia="宋体" w:cs="Times New Roman"/>
          <w:sz w:val="28"/>
          <w:szCs w:val="28"/>
        </w:rPr>
      </w:pPr>
      <w:r>
        <w:rPr>
          <w:rFonts w:hint="eastAsia" w:ascii="宋体" w:hAnsi="宋体" w:eastAsia="宋体" w:cs="Times New Roman"/>
          <w:sz w:val="28"/>
          <w:szCs w:val="28"/>
        </w:rPr>
        <w:t>本项目应重点防范的危险、有害因素为</w:t>
      </w:r>
      <w:r>
        <w:rPr>
          <w:rFonts w:hint="eastAsia" w:ascii="宋体" w:hAnsi="宋体" w:eastAsia="宋体" w:cs="Times New Roman"/>
          <w:sz w:val="28"/>
          <w:szCs w:val="28"/>
          <w:lang w:eastAsia="zh-CN"/>
        </w:rPr>
        <w:t>：</w:t>
      </w:r>
      <w:r>
        <w:rPr>
          <w:rFonts w:hint="eastAsia" w:ascii="宋体" w:hAnsi="宋体" w:eastAsia="宋体" w:cs="Times New Roman"/>
          <w:sz w:val="28"/>
          <w:szCs w:val="28"/>
        </w:rPr>
        <w:t>边坡失稳</w:t>
      </w:r>
      <w:r>
        <w:rPr>
          <w:rFonts w:hint="eastAsia" w:ascii="宋体" w:hAnsi="宋体" w:eastAsia="宋体" w:cs="Times New Roman"/>
          <w:sz w:val="28"/>
          <w:szCs w:val="28"/>
          <w:lang w:eastAsia="zh-CN"/>
        </w:rPr>
        <w:t>（</w:t>
      </w:r>
      <w:r>
        <w:rPr>
          <w:rFonts w:hint="eastAsia" w:ascii="宋体" w:hAnsi="宋体" w:eastAsia="宋体" w:cs="Times New Roman"/>
          <w:sz w:val="28"/>
          <w:szCs w:val="28"/>
        </w:rPr>
        <w:t>滑坡、坍塌</w:t>
      </w:r>
      <w:r>
        <w:rPr>
          <w:rFonts w:hint="eastAsia" w:ascii="宋体" w:hAnsi="宋体" w:eastAsia="宋体" w:cs="Times New Roman"/>
          <w:sz w:val="28"/>
          <w:szCs w:val="28"/>
          <w:lang w:eastAsia="zh-CN"/>
        </w:rPr>
        <w:t>）</w:t>
      </w:r>
      <w:r>
        <w:rPr>
          <w:rFonts w:hint="eastAsia" w:ascii="宋体" w:hAnsi="宋体" w:eastAsia="宋体" w:cs="Times New Roman"/>
          <w:sz w:val="28"/>
          <w:szCs w:val="28"/>
        </w:rPr>
        <w:t>、物体打击</w:t>
      </w:r>
      <w:r>
        <w:rPr>
          <w:rFonts w:hint="eastAsia" w:ascii="宋体" w:hAnsi="宋体" w:eastAsia="宋体" w:cs="Times New Roman"/>
          <w:sz w:val="28"/>
          <w:szCs w:val="28"/>
          <w:lang w:eastAsia="zh-CN"/>
        </w:rPr>
        <w:t>、</w:t>
      </w:r>
      <w:r>
        <w:rPr>
          <w:rFonts w:hint="eastAsia" w:ascii="宋体" w:hAnsi="宋体" w:eastAsia="宋体" w:cs="Times New Roman"/>
          <w:sz w:val="28"/>
          <w:szCs w:val="28"/>
          <w:lang w:val="en-US" w:eastAsia="zh-CN"/>
        </w:rPr>
        <w:t>车辆伤害、</w:t>
      </w:r>
      <w:r>
        <w:rPr>
          <w:rFonts w:hint="eastAsia" w:ascii="宋体" w:hAnsi="宋体" w:eastAsia="宋体" w:cs="Times New Roman"/>
          <w:sz w:val="28"/>
          <w:szCs w:val="28"/>
        </w:rPr>
        <w:t>机械伤害</w:t>
      </w:r>
      <w:r>
        <w:rPr>
          <w:rFonts w:hint="eastAsia" w:ascii="宋体" w:hAnsi="宋体" w:eastAsia="宋体" w:cs="Times New Roman"/>
          <w:sz w:val="28"/>
          <w:szCs w:val="28"/>
          <w:lang w:eastAsia="zh-CN"/>
        </w:rPr>
        <w:t>、</w:t>
      </w:r>
      <w:r>
        <w:rPr>
          <w:rFonts w:hint="eastAsia" w:ascii="宋体" w:hAnsi="宋体" w:eastAsia="宋体" w:cs="Times New Roman"/>
          <w:sz w:val="28"/>
          <w:szCs w:val="28"/>
          <w:lang w:val="en-US" w:eastAsia="zh-CN"/>
        </w:rPr>
        <w:t>触电、火灾、</w:t>
      </w:r>
      <w:r>
        <w:rPr>
          <w:rFonts w:hint="eastAsia" w:ascii="宋体" w:hAnsi="宋体" w:eastAsia="宋体" w:cs="Times New Roman"/>
          <w:sz w:val="28"/>
          <w:szCs w:val="28"/>
        </w:rPr>
        <w:t>高处坠落等。</w:t>
      </w:r>
    </w:p>
    <w:p w14:paraId="4818BCAC">
      <w:pPr>
        <w:pStyle w:val="3"/>
        <w:bidi w:val="0"/>
        <w:rPr>
          <w:rFonts w:hint="eastAsia"/>
        </w:rPr>
      </w:pPr>
      <w:bookmarkStart w:id="269" w:name="_Toc28616"/>
      <w:r>
        <w:rPr>
          <w:rFonts w:hint="eastAsia"/>
        </w:rPr>
        <w:t>项目应重视的安全对策措施建议</w:t>
      </w:r>
      <w:bookmarkEnd w:id="262"/>
      <w:bookmarkEnd w:id="263"/>
      <w:bookmarkEnd w:id="264"/>
      <w:bookmarkEnd w:id="265"/>
      <w:bookmarkEnd w:id="266"/>
      <w:bookmarkEnd w:id="267"/>
      <w:bookmarkEnd w:id="268"/>
      <w:bookmarkEnd w:id="269"/>
    </w:p>
    <w:p w14:paraId="6E4C133E">
      <w:pPr>
        <w:keepNext w:val="0"/>
        <w:keepLines w:val="0"/>
        <w:pageBreakBefore w:val="0"/>
        <w:widowControl w:val="0"/>
        <w:numPr>
          <w:ilvl w:val="0"/>
          <w:numId w:val="75"/>
        </w:numPr>
        <w:kinsoku/>
        <w:wordWrap/>
        <w:overflowPunct/>
        <w:topLinePunct w:val="0"/>
        <w:autoSpaceDE/>
        <w:autoSpaceDN/>
        <w:bidi w:val="0"/>
        <w:adjustRightInd/>
        <w:snapToGrid/>
        <w:textAlignment w:val="auto"/>
        <w:rPr>
          <w:rFonts w:hint="eastAsia"/>
          <w:lang w:val="en-US" w:eastAsia="zh-CN"/>
        </w:rPr>
      </w:pPr>
      <w:r>
        <w:rPr>
          <w:rFonts w:hint="eastAsia"/>
        </w:rPr>
        <w:t>矿山</w:t>
      </w:r>
      <w:r>
        <w:rPr>
          <w:rFonts w:hint="eastAsia"/>
          <w:lang w:val="en-US" w:eastAsia="zh-CN"/>
        </w:rPr>
        <w:t>应当在有较大危险因素的生产经营场所和有关设施、设备上，设置明显的安全警示标志。</w:t>
      </w:r>
    </w:p>
    <w:p w14:paraId="035619E4">
      <w:pPr>
        <w:keepNext w:val="0"/>
        <w:keepLines w:val="0"/>
        <w:pageBreakBefore w:val="0"/>
        <w:widowControl w:val="0"/>
        <w:numPr>
          <w:ilvl w:val="0"/>
          <w:numId w:val="75"/>
        </w:numPr>
        <w:kinsoku/>
        <w:wordWrap/>
        <w:overflowPunct/>
        <w:topLinePunct w:val="0"/>
        <w:autoSpaceDE/>
        <w:autoSpaceDN/>
        <w:bidi w:val="0"/>
        <w:adjustRightInd/>
        <w:snapToGrid/>
        <w:textAlignment w:val="auto"/>
        <w:rPr>
          <w:rFonts w:hint="eastAsia"/>
        </w:rPr>
      </w:pPr>
      <w:r>
        <w:rPr>
          <w:rFonts w:hint="eastAsia" w:ascii="Times New Roman" w:hAnsi="Times New Roman" w:cs="Times New Roman"/>
          <w:lang w:val="en-US" w:eastAsia="zh-CN"/>
        </w:rPr>
        <w:t>建议矿山在今后的施工及生产过程中，建立厂内道路养护制度及运输车辆保养、检修制度。运输道路的高陡路基路段，或者或者弯道、坡度较大填方地段以及高堤路基路段远离山体一侧应设置高度不小于</w:t>
      </w:r>
      <w:r>
        <w:rPr>
          <w:rFonts w:hint="default" w:ascii="Times New Roman" w:hAnsi="Times New Roman" w:cs="Times New Roman"/>
          <w:lang w:val="en-US" w:eastAsia="zh-CN"/>
        </w:rPr>
        <w:t>车轮轮胎直径1/2的护栏、挡车墙等安全设施及醒目的警示标志</w:t>
      </w:r>
      <w:r>
        <w:rPr>
          <w:rFonts w:hint="eastAsia"/>
          <w:lang w:val="en-US" w:eastAsia="zh-CN"/>
        </w:rPr>
        <w:t>。</w:t>
      </w:r>
    </w:p>
    <w:p w14:paraId="54D40400">
      <w:pPr>
        <w:keepNext w:val="0"/>
        <w:keepLines w:val="0"/>
        <w:pageBreakBefore w:val="0"/>
        <w:widowControl w:val="0"/>
        <w:numPr>
          <w:ilvl w:val="0"/>
          <w:numId w:val="75"/>
        </w:numPr>
        <w:kinsoku/>
        <w:wordWrap/>
        <w:overflowPunct/>
        <w:topLinePunct w:val="0"/>
        <w:autoSpaceDE/>
        <w:autoSpaceDN/>
        <w:bidi w:val="0"/>
        <w:adjustRightInd/>
        <w:snapToGrid/>
        <w:textAlignment w:val="auto"/>
        <w:rPr>
          <w:rFonts w:hint="eastAsia"/>
          <w:lang w:val="en-US" w:eastAsia="zh-CN"/>
        </w:rPr>
      </w:pPr>
      <w:r>
        <w:rPr>
          <w:rFonts w:hint="eastAsia" w:ascii="宋体" w:hAnsi="宋体" w:eastAsia="宋体" w:cs="宋体"/>
          <w:lang w:val="en-US" w:eastAsia="zh-CN"/>
        </w:rPr>
        <w:t>目前</w:t>
      </w:r>
      <w:r>
        <w:rPr>
          <w:rFonts w:hint="eastAsia" w:ascii="宋体" w:hAnsi="宋体" w:eastAsia="宋体" w:cs="宋体"/>
          <w:lang w:val="zh-CN" w:eastAsia="zh-CN"/>
        </w:rPr>
        <w:t>矿山破碎站北面及西面</w:t>
      </w:r>
      <w:r>
        <w:rPr>
          <w:rFonts w:hint="eastAsia" w:ascii="宋体" w:hAnsi="宋体" w:eastAsia="宋体" w:cs="宋体"/>
          <w:lang w:val="en-US" w:eastAsia="zh-CN"/>
        </w:rPr>
        <w:t>已形成</w:t>
      </w:r>
      <w:r>
        <w:rPr>
          <w:rFonts w:hint="eastAsia" w:ascii="宋体" w:hAnsi="宋体" w:eastAsia="宋体" w:cs="宋体"/>
          <w:lang w:val="zh-CN" w:eastAsia="zh-CN"/>
        </w:rPr>
        <w:t>高陡边坡，</w:t>
      </w:r>
      <w:r>
        <w:rPr>
          <w:rFonts w:hint="eastAsia" w:ascii="宋体" w:hAnsi="宋体" w:eastAsia="宋体" w:cs="宋体"/>
          <w:lang w:val="en-US" w:eastAsia="zh-CN"/>
        </w:rPr>
        <w:t>建议企业下一步</w:t>
      </w:r>
      <w:r>
        <w:rPr>
          <w:rFonts w:hint="eastAsia" w:ascii="宋体" w:hAnsi="宋体" w:eastAsia="宋体" w:cs="宋体"/>
          <w:lang w:val="zh-CN" w:eastAsia="zh-CN"/>
        </w:rPr>
        <w:t>按照设计要求进行</w:t>
      </w:r>
      <w:r>
        <w:rPr>
          <w:rFonts w:hint="eastAsia" w:ascii="宋体" w:hAnsi="宋体" w:eastAsia="宋体" w:cs="宋体"/>
          <w:lang w:val="en-US" w:eastAsia="zh-CN"/>
        </w:rPr>
        <w:t>高陡边坡治理完毕后再</w:t>
      </w:r>
      <w:r>
        <w:rPr>
          <w:rFonts w:hint="eastAsia" w:ascii="宋体" w:hAnsi="宋体" w:eastAsia="宋体" w:cs="宋体"/>
          <w:lang w:val="zh-CN" w:eastAsia="zh-CN"/>
        </w:rPr>
        <w:t>开采。</w:t>
      </w:r>
    </w:p>
    <w:p w14:paraId="2D2DB08C">
      <w:pPr>
        <w:keepNext w:val="0"/>
        <w:keepLines w:val="0"/>
        <w:pageBreakBefore w:val="0"/>
        <w:widowControl w:val="0"/>
        <w:numPr>
          <w:ilvl w:val="0"/>
          <w:numId w:val="75"/>
        </w:numPr>
        <w:kinsoku/>
        <w:wordWrap/>
        <w:overflowPunct/>
        <w:topLinePunct w:val="0"/>
        <w:autoSpaceDE/>
        <w:autoSpaceDN/>
        <w:bidi w:val="0"/>
        <w:adjustRightInd/>
        <w:snapToGrid/>
        <w:textAlignment w:val="auto"/>
        <w:rPr>
          <w:rFonts w:hint="eastAsia"/>
          <w:lang w:val="en-US" w:eastAsia="zh-CN"/>
        </w:rPr>
      </w:pPr>
      <w:r>
        <w:rPr>
          <w:rFonts w:hint="eastAsia"/>
          <w:lang w:val="en-US" w:eastAsia="zh-CN"/>
        </w:rPr>
        <w:t>矿山应按照设计及规范要求实行自上而下分台阶顺序开采，按照设计要求的边坡参数进行施工。严禁从底部进行掏采。</w:t>
      </w:r>
    </w:p>
    <w:p w14:paraId="00F6A13D">
      <w:pPr>
        <w:numPr>
          <w:ilvl w:val="0"/>
          <w:numId w:val="75"/>
        </w:numPr>
        <w:bidi w:val="0"/>
        <w:rPr>
          <w:rFonts w:hint="eastAsia"/>
          <w:lang w:val="en-US" w:eastAsia="zh-CN"/>
        </w:rPr>
      </w:pPr>
      <w:r>
        <w:rPr>
          <w:rFonts w:hint="eastAsia"/>
          <w:lang w:val="en-US" w:eastAsia="zh-CN"/>
        </w:rPr>
        <w:t>供配电设施的设置、电源、电压等级的确定应满足规范的要求，并按规范设置保护和接地装置；电力设备按规范设置保护装置；电缆铺设满足规范要求。</w:t>
      </w:r>
    </w:p>
    <w:p w14:paraId="1E98DDDD">
      <w:pPr>
        <w:numPr>
          <w:ilvl w:val="0"/>
          <w:numId w:val="75"/>
        </w:numPr>
        <w:bidi w:val="0"/>
        <w:rPr>
          <w:rFonts w:hint="eastAsia"/>
          <w:lang w:val="en-US" w:eastAsia="zh-CN"/>
        </w:rPr>
      </w:pPr>
      <w:r>
        <w:rPr>
          <w:rFonts w:hint="eastAsia" w:ascii="宋体" w:hAnsi="宋体" w:eastAsia="宋体" w:cs="宋体"/>
          <w:color w:val="auto"/>
          <w:sz w:val="28"/>
          <w:szCs w:val="28"/>
        </w:rPr>
        <w:t>加强</w:t>
      </w:r>
      <w:r>
        <w:rPr>
          <w:rFonts w:hint="eastAsia" w:ascii="宋体" w:hAnsi="宋体" w:eastAsia="宋体" w:cs="宋体"/>
          <w:color w:val="auto"/>
          <w:sz w:val="28"/>
          <w:szCs w:val="28"/>
          <w:lang w:val="en-US" w:eastAsia="zh-CN"/>
        </w:rPr>
        <w:t>员工日常</w:t>
      </w:r>
      <w:r>
        <w:rPr>
          <w:rFonts w:hint="eastAsia" w:ascii="宋体" w:hAnsi="宋体" w:eastAsia="宋体" w:cs="宋体"/>
          <w:color w:val="auto"/>
          <w:sz w:val="28"/>
          <w:szCs w:val="28"/>
        </w:rPr>
        <w:t>安全教育和培训</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督促和指导员工正确佩戴个人劳动防护用品，</w:t>
      </w:r>
      <w:r>
        <w:rPr>
          <w:rFonts w:hint="eastAsia" w:asciiTheme="minorEastAsia" w:hAnsiTheme="minorEastAsia" w:eastAsiaTheme="minorEastAsia" w:cstheme="minorEastAsia"/>
          <w:sz w:val="28"/>
          <w:szCs w:val="28"/>
        </w:rPr>
        <w:t>有效防止职业危害的发生</w:t>
      </w:r>
      <w:r>
        <w:rPr>
          <w:rFonts w:hint="eastAsia" w:ascii="宋体" w:hAnsi="宋体" w:cs="宋体"/>
          <w:kern w:val="10"/>
          <w:sz w:val="28"/>
          <w:szCs w:val="28"/>
        </w:rPr>
        <w:t>。</w:t>
      </w:r>
    </w:p>
    <w:p w14:paraId="2CE3E903">
      <w:pPr>
        <w:pStyle w:val="3"/>
        <w:bidi w:val="0"/>
        <w:rPr>
          <w:rFonts w:hint="eastAsia"/>
        </w:rPr>
      </w:pPr>
      <w:bookmarkStart w:id="270" w:name="_Toc7419"/>
      <w:bookmarkStart w:id="271" w:name="_Toc55300553"/>
      <w:bookmarkStart w:id="272" w:name="_Toc460862590"/>
      <w:r>
        <w:rPr>
          <w:rFonts w:hint="eastAsia"/>
        </w:rPr>
        <w:t>评价结果综述</w:t>
      </w:r>
      <w:bookmarkEnd w:id="270"/>
      <w:bookmarkEnd w:id="271"/>
      <w:bookmarkEnd w:id="272"/>
    </w:p>
    <w:p w14:paraId="2244F644">
      <w:pPr>
        <w:pStyle w:val="14"/>
        <w:keepNext w:val="0"/>
        <w:keepLines w:val="0"/>
        <w:pageBreakBefore w:val="0"/>
        <w:widowControl w:val="0"/>
        <w:kinsoku/>
        <w:wordWrap/>
        <w:overflowPunct/>
        <w:topLinePunct w:val="0"/>
        <w:autoSpaceDE/>
        <w:autoSpaceDN/>
        <w:bidi w:val="0"/>
        <w:adjustRightInd w:val="0"/>
        <w:snapToGrid w:val="0"/>
        <w:textAlignment w:val="auto"/>
        <w:rPr>
          <w:rFonts w:hint="eastAsia"/>
        </w:rPr>
      </w:pPr>
      <w:r>
        <w:rPr>
          <w:rFonts w:hint="eastAsia"/>
        </w:rPr>
        <w:t>昭通市鼎安科技有限公司本着合法性、科学性、公正性、针对性的评价原则及对工作高度负责的态度，根据《安全评价通则</w:t>
      </w:r>
      <w:r>
        <w:rPr>
          <w:rFonts w:hint="eastAsia"/>
          <w:lang w:eastAsia="zh-CN"/>
        </w:rPr>
        <w:t>》《</w:t>
      </w:r>
      <w:r>
        <w:rPr>
          <w:rFonts w:hint="eastAsia"/>
        </w:rPr>
        <w:t>安全预评价导则</w:t>
      </w:r>
      <w:r>
        <w:rPr>
          <w:rFonts w:hint="eastAsia"/>
          <w:lang w:eastAsia="zh-CN"/>
        </w:rPr>
        <w:t>》《</w:t>
      </w:r>
      <w:r>
        <w:rPr>
          <w:rFonts w:hint="eastAsia"/>
        </w:rPr>
        <w:t>安全生产许可证条例》和《非煤矿矿山企业安全生产许可证实施办法》的规定，依据</w:t>
      </w:r>
      <w:r>
        <w:rPr>
          <w:rFonts w:hint="eastAsia"/>
          <w:lang w:eastAsia="zh-CN"/>
        </w:rPr>
        <w:t>《中华人民共和国安全生产法》《</w:t>
      </w:r>
      <w:r>
        <w:rPr>
          <w:rFonts w:hint="eastAsia"/>
        </w:rPr>
        <w:t>矿山安全法</w:t>
      </w:r>
      <w:r>
        <w:rPr>
          <w:rFonts w:hint="eastAsia"/>
          <w:lang w:eastAsia="zh-CN"/>
        </w:rPr>
        <w:t>》《</w:t>
      </w:r>
      <w:r>
        <w:rPr>
          <w:rFonts w:hint="eastAsia" w:ascii="Times New Roman" w:hAnsi="Times New Roman" w:eastAsia="宋体" w:cs="Times New Roman"/>
        </w:rPr>
        <w:t>金属非金属矿山安全规程》等国家和地方</w:t>
      </w:r>
      <w:r>
        <w:rPr>
          <w:rFonts w:hint="eastAsia" w:cs="Times New Roman"/>
          <w:lang w:eastAsia="zh-CN"/>
        </w:rPr>
        <w:t>法律法规</w:t>
      </w:r>
      <w:r>
        <w:rPr>
          <w:rFonts w:hint="eastAsia" w:ascii="Times New Roman" w:hAnsi="Times New Roman" w:eastAsia="宋体" w:cs="Times New Roman"/>
        </w:rPr>
        <w:t>、标准、规范</w:t>
      </w:r>
      <w:r>
        <w:rPr>
          <w:rFonts w:hint="eastAsia"/>
        </w:rPr>
        <w:t>及政策文件的要求，对本建设项目</w:t>
      </w:r>
      <w:r>
        <w:rPr>
          <w:rFonts w:hint="eastAsia"/>
          <w:lang w:eastAsia="zh-CN"/>
        </w:rPr>
        <w:t>《元谋中鼎砂石有限公司大物茂砂厂（10万t/a）露天采矿工程初步设计》</w:t>
      </w:r>
      <w:r>
        <w:rPr>
          <w:rFonts w:hint="eastAsia"/>
        </w:rPr>
        <w:t>所涉及</w:t>
      </w:r>
      <w:r>
        <w:rPr>
          <w:rFonts w:hint="eastAsia" w:ascii="Times New Roman" w:hAnsi="Times New Roman" w:eastAsia="宋体"/>
        </w:rPr>
        <w:t>总平面布置、开拓运输、采剥、矿山供配电</w:t>
      </w:r>
      <w:r>
        <w:rPr>
          <w:rFonts w:hint="eastAsia"/>
          <w:lang w:val="en-US" w:eastAsia="zh-CN"/>
        </w:rPr>
        <w:t>设施</w:t>
      </w:r>
      <w:r>
        <w:rPr>
          <w:rFonts w:hint="eastAsia" w:ascii="Times New Roman" w:hAnsi="Times New Roman" w:eastAsia="宋体"/>
        </w:rPr>
        <w:t>、防排水、安全管理</w:t>
      </w:r>
      <w:r>
        <w:rPr>
          <w:rFonts w:hint="eastAsia"/>
          <w:lang w:val="en-US" w:eastAsia="zh-CN"/>
        </w:rPr>
        <w:t>及其他</w:t>
      </w:r>
      <w:r>
        <w:rPr>
          <w:rFonts w:hint="eastAsia" w:ascii="Times New Roman" w:hAnsi="Times New Roman" w:eastAsia="宋体"/>
          <w:lang w:eastAsia="zh-CN"/>
        </w:rPr>
        <w:t>、</w:t>
      </w:r>
      <w:r>
        <w:rPr>
          <w:rFonts w:hint="eastAsia" w:ascii="Times New Roman" w:hAnsi="Times New Roman" w:eastAsia="宋体"/>
          <w:lang w:val="en-US" w:eastAsia="zh-CN"/>
        </w:rPr>
        <w:t>重大危险源辨识</w:t>
      </w:r>
      <w:r>
        <w:rPr>
          <w:rFonts w:hint="eastAsia"/>
        </w:rPr>
        <w:t>等</w:t>
      </w:r>
      <w:r>
        <w:rPr>
          <w:rFonts w:hint="eastAsia"/>
          <w:lang w:val="en-US" w:eastAsia="zh-CN"/>
        </w:rPr>
        <w:t>分别</w:t>
      </w:r>
      <w:r>
        <w:rPr>
          <w:rFonts w:hint="eastAsia"/>
        </w:rPr>
        <w:t>进行了安全预评价。</w:t>
      </w:r>
    </w:p>
    <w:p w14:paraId="7C811408">
      <w:pPr>
        <w:pStyle w:val="14"/>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eastAsia="宋体" w:cs="Times New Roman"/>
          <w:lang w:val="en-US" w:eastAsia="zh-CN"/>
        </w:rPr>
      </w:pPr>
      <w:r>
        <w:rPr>
          <w:rFonts w:hint="eastAsia" w:ascii="Times New Roman" w:hAnsi="Times New Roman" w:eastAsia="宋体" w:cs="Times New Roman"/>
        </w:rPr>
        <w:t>依据各单元主要危险有害因素辨识、定性定量评价分析结果</w:t>
      </w:r>
      <w:r>
        <w:rPr>
          <w:rFonts w:hint="eastAsia" w:ascii="Times New Roman" w:hAnsi="Times New Roman" w:eastAsia="宋体" w:cs="Times New Roman"/>
          <w:lang w:val="en-US" w:eastAsia="zh-CN"/>
        </w:rPr>
        <w:t>及</w:t>
      </w:r>
      <w:r>
        <w:rPr>
          <w:rFonts w:hint="eastAsia" w:ascii="Times New Roman" w:hAnsi="Times New Roman" w:eastAsia="宋体" w:cs="Times New Roman"/>
        </w:rPr>
        <w:t>安全评价结论：</w:t>
      </w:r>
      <w:r>
        <w:rPr>
          <w:rFonts w:hint="eastAsia" w:ascii="Times New Roman" w:hAnsi="Times New Roman" w:eastAsia="宋体" w:cs="Times New Roman"/>
          <w:lang w:val="en-US" w:eastAsia="zh-CN"/>
        </w:rPr>
        <w:t>本</w:t>
      </w:r>
      <w:r>
        <w:rPr>
          <w:rFonts w:hint="eastAsia" w:ascii="Times New Roman" w:hAnsi="Times New Roman" w:eastAsia="宋体" w:cs="Times New Roman"/>
        </w:rPr>
        <w:t>项目《</w:t>
      </w:r>
      <w:r>
        <w:rPr>
          <w:rFonts w:hint="eastAsia" w:cs="Times New Roman"/>
          <w:lang w:eastAsia="zh-CN"/>
        </w:rPr>
        <w:t>元谋中鼎砂石有限公司大物茂砂厂（10万t/a）露天采矿工程初步设计</w:t>
      </w:r>
      <w:r>
        <w:rPr>
          <w:rFonts w:hint="eastAsia" w:ascii="Times New Roman" w:hAnsi="Times New Roman" w:eastAsia="宋体" w:cs="Times New Roman"/>
        </w:rPr>
        <w:t>》</w:t>
      </w:r>
      <w:r>
        <w:rPr>
          <w:rFonts w:hint="eastAsia" w:ascii="Times New Roman" w:hAnsi="Times New Roman" w:eastAsia="宋体" w:cs="Times New Roman"/>
          <w:lang w:val="en-US" w:eastAsia="zh-CN"/>
        </w:rPr>
        <w:t>中</w:t>
      </w:r>
      <w:r>
        <w:rPr>
          <w:rFonts w:hint="eastAsia" w:ascii="Times New Roman" w:hAnsi="Times New Roman" w:eastAsia="宋体" w:cs="Times New Roman"/>
        </w:rPr>
        <w:t>所涉及的总平面布置单元、开拓运输单元</w:t>
      </w:r>
      <w:r>
        <w:rPr>
          <w:rFonts w:hint="eastAsia" w:ascii="Times New Roman" w:hAnsi="Times New Roman" w:eastAsia="宋体" w:cs="Times New Roman"/>
          <w:lang w:eastAsia="zh-CN"/>
        </w:rPr>
        <w:t>、</w:t>
      </w:r>
      <w:r>
        <w:rPr>
          <w:rFonts w:hint="eastAsia" w:ascii="Times New Roman" w:hAnsi="Times New Roman" w:eastAsia="宋体" w:cs="Times New Roman"/>
        </w:rPr>
        <w:t>采剥单元、矿山供配电</w:t>
      </w:r>
      <w:r>
        <w:rPr>
          <w:rFonts w:hint="eastAsia" w:ascii="Times New Roman" w:hAnsi="Times New Roman" w:eastAsia="宋体" w:cs="Times New Roman"/>
          <w:lang w:val="en-US" w:eastAsia="zh-CN"/>
        </w:rPr>
        <w:t>设施单元、</w:t>
      </w:r>
      <w:r>
        <w:rPr>
          <w:rFonts w:hint="eastAsia" w:ascii="Times New Roman" w:hAnsi="Times New Roman" w:eastAsia="宋体" w:cs="Times New Roman"/>
        </w:rPr>
        <w:t>防排水单元</w:t>
      </w:r>
      <w:r>
        <w:rPr>
          <w:rFonts w:hint="eastAsia" w:ascii="Times New Roman" w:hAnsi="Times New Roman" w:eastAsia="宋体" w:cs="Times New Roman"/>
          <w:lang w:eastAsia="zh-CN"/>
        </w:rPr>
        <w:t>、</w:t>
      </w:r>
      <w:r>
        <w:rPr>
          <w:rFonts w:hint="eastAsia" w:ascii="Times New Roman" w:hAnsi="Times New Roman" w:eastAsia="宋体" w:cs="Times New Roman"/>
        </w:rPr>
        <w:t>安全管理</w:t>
      </w:r>
      <w:r>
        <w:rPr>
          <w:rFonts w:hint="eastAsia" w:ascii="Times New Roman" w:hAnsi="Times New Roman" w:eastAsia="宋体" w:cs="Times New Roman"/>
          <w:lang w:val="en-US" w:eastAsia="zh-CN"/>
        </w:rPr>
        <w:t>及其他</w:t>
      </w:r>
      <w:r>
        <w:rPr>
          <w:rFonts w:hint="eastAsia" w:ascii="Times New Roman" w:hAnsi="Times New Roman" w:eastAsia="宋体" w:cs="Times New Roman"/>
        </w:rPr>
        <w:t>单元</w:t>
      </w:r>
      <w:r>
        <w:rPr>
          <w:rFonts w:hint="eastAsia" w:ascii="Times New Roman" w:hAnsi="Times New Roman" w:eastAsia="宋体" w:cs="Times New Roman"/>
          <w:lang w:eastAsia="zh-CN"/>
        </w:rPr>
        <w:t>、</w:t>
      </w:r>
      <w:r>
        <w:rPr>
          <w:rFonts w:hint="eastAsia" w:ascii="Times New Roman" w:hAnsi="Times New Roman" w:eastAsia="宋体" w:cs="Times New Roman"/>
          <w:lang w:val="en-US" w:eastAsia="zh-CN"/>
        </w:rPr>
        <w:t>重大危险源辨识单元</w:t>
      </w:r>
      <w:r>
        <w:rPr>
          <w:rFonts w:hint="eastAsia" w:ascii="Times New Roman" w:hAnsi="Times New Roman" w:eastAsia="宋体" w:cs="Times New Roman"/>
        </w:rPr>
        <w:t>等符合设计阶段安全要求。</w:t>
      </w:r>
    </w:p>
    <w:p w14:paraId="61F2EC6E">
      <w:pPr>
        <w:pStyle w:val="3"/>
        <w:bidi w:val="0"/>
        <w:rPr>
          <w:rFonts w:hint="eastAsia"/>
        </w:rPr>
      </w:pPr>
      <w:bookmarkStart w:id="273" w:name="_Toc1773"/>
      <w:bookmarkStart w:id="274" w:name="_Toc460862591"/>
      <w:bookmarkStart w:id="275" w:name="_Toc226963218"/>
      <w:bookmarkStart w:id="276" w:name="_Toc242849830"/>
      <w:bookmarkStart w:id="277" w:name="_Toc115120697"/>
      <w:bookmarkStart w:id="278" w:name="_Toc115120303"/>
      <w:bookmarkStart w:id="279" w:name="_Toc115141974"/>
      <w:bookmarkStart w:id="280" w:name="_Toc55300554"/>
      <w:r>
        <w:rPr>
          <w:rFonts w:hint="eastAsia"/>
        </w:rPr>
        <w:t>安全预评价结论</w:t>
      </w:r>
      <w:bookmarkEnd w:id="273"/>
      <w:bookmarkEnd w:id="274"/>
      <w:bookmarkEnd w:id="275"/>
      <w:bookmarkEnd w:id="276"/>
      <w:bookmarkEnd w:id="277"/>
      <w:bookmarkEnd w:id="278"/>
      <w:bookmarkEnd w:id="279"/>
      <w:bookmarkEnd w:id="280"/>
    </w:p>
    <w:p w14:paraId="59201434">
      <w:pPr>
        <w:bidi w:val="0"/>
        <w:rPr>
          <w:rFonts w:hint="eastAsia"/>
        </w:rPr>
      </w:pPr>
      <w:r>
        <w:rPr>
          <w:rFonts w:hint="eastAsia"/>
        </w:rPr>
        <w:t>评价组根据对评价项目的现场调查和相关资料的分析，完成了项目主要危险、有害因素的辨识和分析，对项目进行了较为科学合理的单元划分，并按照所选择的评价方法，对项目中存在的危险、有害因素进行了全面的定性评价，提出了合理可行的安全对策措施。</w:t>
      </w:r>
    </w:p>
    <w:p w14:paraId="460BCB8C">
      <w:pPr>
        <w:bidi w:val="0"/>
        <w:rPr>
          <w:rFonts w:hint="eastAsia"/>
        </w:rPr>
      </w:pPr>
      <w:r>
        <w:rPr>
          <w:rFonts w:hint="eastAsia"/>
        </w:rPr>
        <w:t>按照评价要求和各单元的分析评价结论，对</w:t>
      </w:r>
      <w:r>
        <w:rPr>
          <w:rFonts w:hint="eastAsia"/>
          <w:lang w:eastAsia="zh-CN"/>
        </w:rPr>
        <w:t>元谋中鼎砂石有限公司大物茂砂厂</w:t>
      </w:r>
      <w:r>
        <w:rPr>
          <w:rFonts w:hint="eastAsia"/>
        </w:rPr>
        <w:t>建设项目形成以下评价意见：</w:t>
      </w:r>
    </w:p>
    <w:p w14:paraId="18B43307">
      <w:pPr>
        <w:numPr>
          <w:ilvl w:val="0"/>
          <w:numId w:val="76"/>
        </w:numPr>
        <w:bidi w:val="0"/>
        <w:rPr>
          <w:rFonts w:hint="eastAsia" w:ascii="宋体" w:hAnsi="宋体" w:eastAsia="宋体" w:cs="宋体"/>
        </w:rPr>
      </w:pPr>
      <w:r>
        <w:rPr>
          <w:rFonts w:hint="eastAsia" w:ascii="宋体" w:hAnsi="宋体" w:eastAsia="宋体" w:cs="宋体"/>
        </w:rPr>
        <w:t>建设项目前期证照齐全、有效，建设项目建设程序合法。</w:t>
      </w:r>
    </w:p>
    <w:p w14:paraId="41E2F958">
      <w:pPr>
        <w:numPr>
          <w:ilvl w:val="0"/>
          <w:numId w:val="76"/>
        </w:numPr>
        <w:bidi w:val="0"/>
        <w:rPr>
          <w:rFonts w:hint="eastAsia" w:ascii="宋体" w:hAnsi="宋体" w:eastAsia="宋体" w:cs="宋体"/>
        </w:rPr>
      </w:pPr>
      <w:r>
        <w:rPr>
          <w:rFonts w:hint="eastAsia" w:ascii="Times New Roman" w:hAnsi="Times New Roman" w:cs="Times New Roman"/>
          <w:color w:val="000000"/>
          <w:szCs w:val="20"/>
          <w:lang w:val="en-US" w:eastAsia="zh-CN"/>
        </w:rPr>
        <w:t>建设项目</w:t>
      </w:r>
      <w:r>
        <w:rPr>
          <w:rFonts w:ascii="Times New Roman" w:hAnsi="Times New Roman" w:cs="Times New Roman"/>
          <w:color w:val="000000"/>
          <w:szCs w:val="20"/>
        </w:rPr>
        <w:t>总平面布置合理，符合有关</w:t>
      </w:r>
      <w:r>
        <w:rPr>
          <w:rFonts w:hint="eastAsia" w:cs="Times New Roman"/>
          <w:color w:val="000000"/>
          <w:szCs w:val="20"/>
          <w:lang w:eastAsia="zh-CN"/>
        </w:rPr>
        <w:t>法律法规</w:t>
      </w:r>
      <w:r>
        <w:rPr>
          <w:rFonts w:ascii="Times New Roman" w:hAnsi="Times New Roman" w:cs="Times New Roman"/>
          <w:color w:val="000000"/>
          <w:szCs w:val="20"/>
        </w:rPr>
        <w:t>、标准和规程的规定</w:t>
      </w:r>
      <w:r>
        <w:rPr>
          <w:rFonts w:hint="eastAsia" w:ascii="Times New Roman" w:hAnsi="Times New Roman" w:cs="Times New Roman"/>
          <w:color w:val="000000"/>
          <w:szCs w:val="20"/>
          <w:lang w:eastAsia="zh-CN"/>
        </w:rPr>
        <w:t>。</w:t>
      </w:r>
    </w:p>
    <w:p w14:paraId="696AA81B">
      <w:pPr>
        <w:numPr>
          <w:ilvl w:val="0"/>
          <w:numId w:val="76"/>
        </w:numPr>
        <w:bidi w:val="0"/>
        <w:rPr>
          <w:rFonts w:hint="eastAsia" w:ascii="宋体" w:hAnsi="宋体" w:eastAsia="宋体" w:cs="宋体"/>
        </w:rPr>
      </w:pPr>
      <w:r>
        <w:rPr>
          <w:rFonts w:hint="eastAsia" w:ascii="宋体" w:hAnsi="宋体" w:cs="宋体"/>
          <w:lang w:eastAsia="zh-CN"/>
        </w:rPr>
        <w:t>元谋中鼎砂石有限公司大物茂砂厂（10万t/a）露天采矿工程初步设计</w:t>
      </w:r>
      <w:r>
        <w:rPr>
          <w:rFonts w:ascii="Times New Roman" w:hAnsi="Times New Roman" w:cs="Times New Roman"/>
          <w:color w:val="000000"/>
          <w:szCs w:val="20"/>
        </w:rPr>
        <w:t>报告</w:t>
      </w:r>
      <w:r>
        <w:rPr>
          <w:rFonts w:hint="eastAsia" w:ascii="宋体" w:hAnsi="宋体" w:eastAsia="宋体" w:cs="宋体"/>
        </w:rPr>
        <w:t>中工艺</w:t>
      </w:r>
      <w:r>
        <w:rPr>
          <w:rFonts w:ascii="Times New Roman" w:hAnsi="Times New Roman" w:cs="Times New Roman"/>
          <w:color w:val="000000"/>
          <w:szCs w:val="20"/>
        </w:rPr>
        <w:t>设计</w:t>
      </w:r>
      <w:r>
        <w:rPr>
          <w:rFonts w:hint="eastAsia" w:ascii="宋体" w:hAnsi="宋体" w:eastAsia="宋体" w:cs="宋体"/>
        </w:rPr>
        <w:t>方案符合《金属非金属矿山安全规程》</w:t>
      </w:r>
      <w:r>
        <w:rPr>
          <w:rFonts w:hint="eastAsia" w:ascii="宋体" w:hAnsi="宋体" w:cs="宋体"/>
          <w:lang w:eastAsia="zh-CN"/>
        </w:rPr>
        <w:t>（</w:t>
      </w:r>
      <w:r>
        <w:rPr>
          <w:rFonts w:hint="eastAsia" w:ascii="宋体" w:hAnsi="宋体" w:eastAsia="宋体" w:cs="宋体"/>
        </w:rPr>
        <w:t>GB16423-2020</w:t>
      </w:r>
      <w:r>
        <w:rPr>
          <w:rFonts w:hint="eastAsia" w:ascii="宋体" w:hAnsi="宋体" w:cs="宋体"/>
          <w:lang w:eastAsia="zh-CN"/>
        </w:rPr>
        <w:t>）</w:t>
      </w:r>
      <w:r>
        <w:rPr>
          <w:rFonts w:hint="eastAsia" w:ascii="宋体" w:hAnsi="宋体" w:eastAsia="宋体" w:cs="宋体"/>
          <w:lang w:val="en-US" w:eastAsia="zh-CN"/>
        </w:rPr>
        <w:t>的有关</w:t>
      </w:r>
      <w:r>
        <w:rPr>
          <w:rFonts w:hint="eastAsia" w:ascii="宋体" w:hAnsi="宋体" w:eastAsia="宋体" w:cs="宋体"/>
        </w:rPr>
        <w:t>规定，露天开采各工艺参数符合相关规范要求。</w:t>
      </w:r>
    </w:p>
    <w:p w14:paraId="2961CCBA">
      <w:pPr>
        <w:numPr>
          <w:ilvl w:val="0"/>
          <w:numId w:val="76"/>
        </w:numPr>
        <w:bidi w:val="0"/>
        <w:rPr>
          <w:rFonts w:hint="eastAsia" w:ascii="宋体" w:hAnsi="宋体" w:eastAsia="宋体" w:cs="宋体"/>
        </w:rPr>
      </w:pPr>
      <w:r>
        <w:rPr>
          <w:rFonts w:hint="eastAsia" w:ascii="宋体" w:hAnsi="宋体" w:eastAsia="宋体" w:cs="宋体"/>
        </w:rPr>
        <w:t>项目中虽然存在</w:t>
      </w:r>
      <w:r>
        <w:rPr>
          <w:rFonts w:hint="eastAsia" w:ascii="宋体" w:hAnsi="宋体" w:cs="宋体"/>
          <w:lang w:val="en-US" w:eastAsia="zh-CN"/>
        </w:rPr>
        <w:t>边坡失稳（</w:t>
      </w:r>
      <w:r>
        <w:rPr>
          <w:rFonts w:hint="eastAsia" w:ascii="宋体" w:hAnsi="宋体" w:eastAsia="宋体" w:cs="Times New Roman"/>
          <w:color w:val="000000"/>
          <w:sz w:val="28"/>
          <w:szCs w:val="28"/>
        </w:rPr>
        <w:t>滑坡、</w:t>
      </w:r>
      <w:r>
        <w:rPr>
          <w:rFonts w:hint="default" w:ascii="宋体" w:hAnsi="宋体" w:eastAsia="宋体" w:cs="Times New Roman"/>
          <w:color w:val="000000"/>
          <w:sz w:val="28"/>
          <w:szCs w:val="28"/>
        </w:rPr>
        <w:t>坍塌</w:t>
      </w:r>
      <w:r>
        <w:rPr>
          <w:rFonts w:hint="eastAsia" w:ascii="宋体" w:hAnsi="宋体" w:eastAsia="宋体" w:cs="Times New Roman"/>
          <w:color w:val="000000"/>
          <w:sz w:val="28"/>
          <w:szCs w:val="28"/>
          <w:lang w:eastAsia="zh-CN"/>
        </w:rPr>
        <w:t>）</w:t>
      </w:r>
      <w:r>
        <w:rPr>
          <w:rFonts w:hint="default" w:ascii="宋体" w:hAnsi="宋体" w:eastAsia="宋体" w:cs="Times New Roman"/>
          <w:color w:val="000000"/>
          <w:sz w:val="28"/>
          <w:szCs w:val="28"/>
        </w:rPr>
        <w:t>、物体打击、车辆伤害、机械伤害、触电、淹溺</w:t>
      </w:r>
      <w:r>
        <w:rPr>
          <w:rFonts w:hint="eastAsia" w:ascii="宋体" w:hAnsi="宋体" w:eastAsia="宋体" w:cs="Times New Roman"/>
          <w:color w:val="000000"/>
          <w:sz w:val="28"/>
          <w:szCs w:val="28"/>
          <w:lang w:eastAsia="zh-CN"/>
        </w:rPr>
        <w:t>、</w:t>
      </w:r>
      <w:r>
        <w:rPr>
          <w:rFonts w:hint="default" w:ascii="宋体" w:hAnsi="宋体" w:eastAsia="宋体" w:cs="Times New Roman"/>
          <w:color w:val="000000"/>
          <w:sz w:val="28"/>
          <w:szCs w:val="28"/>
        </w:rPr>
        <w:t>火灾、高处坠落</w:t>
      </w:r>
      <w:r>
        <w:rPr>
          <w:rFonts w:hint="eastAsia" w:ascii="宋体" w:hAnsi="宋体" w:eastAsia="宋体" w:cs="Times New Roman"/>
          <w:color w:val="000000"/>
          <w:sz w:val="28"/>
          <w:szCs w:val="28"/>
          <w:lang w:eastAsia="zh-CN"/>
        </w:rPr>
        <w:t>、</w:t>
      </w:r>
      <w:r>
        <w:rPr>
          <w:rFonts w:hint="eastAsia" w:ascii="宋体" w:hAnsi="宋体" w:eastAsia="宋体" w:cs="宋体"/>
        </w:rPr>
        <w:t>粉尘、噪声</w:t>
      </w:r>
      <w:r>
        <w:rPr>
          <w:rFonts w:hint="eastAsia" w:ascii="宋体" w:hAnsi="宋体" w:eastAsia="宋体" w:cs="宋体"/>
          <w:lang w:eastAsia="zh-CN"/>
        </w:rPr>
        <w:t>、</w:t>
      </w:r>
      <w:r>
        <w:rPr>
          <w:rFonts w:hint="eastAsia" w:ascii="宋体" w:hAnsi="宋体" w:eastAsia="宋体" w:cs="宋体"/>
          <w:lang w:val="en-US" w:eastAsia="zh-CN"/>
        </w:rPr>
        <w:t>振动</w:t>
      </w:r>
      <w:r>
        <w:rPr>
          <w:rFonts w:hint="eastAsia" w:ascii="宋体" w:hAnsi="宋体" w:eastAsia="宋体" w:cs="宋体"/>
        </w:rPr>
        <w:t>等危险和有害因素。</w:t>
      </w:r>
      <w:r>
        <w:rPr>
          <w:rFonts w:ascii="Times New Roman" w:hAnsi="Times New Roman" w:cs="Times New Roman"/>
          <w:color w:val="000000"/>
          <w:szCs w:val="20"/>
        </w:rPr>
        <w:t>但在项目下一步</w:t>
      </w:r>
      <w:r>
        <w:rPr>
          <w:rFonts w:hint="eastAsia" w:cs="Times New Roman"/>
          <w:color w:val="000000"/>
          <w:szCs w:val="20"/>
          <w:lang w:val="en-US" w:eastAsia="zh-CN"/>
        </w:rPr>
        <w:t>安全设施</w:t>
      </w:r>
      <w:r>
        <w:rPr>
          <w:rFonts w:ascii="Times New Roman" w:hAnsi="Times New Roman" w:cs="Times New Roman"/>
          <w:color w:val="000000"/>
          <w:szCs w:val="20"/>
        </w:rPr>
        <w:t>设计、建设施工和生产过程中，落实本次预评价报告补充的对策措施，并在建设施工和生产过程中落实设计中的各项安全设施，切实针对项目中危险、有害因素对安全生产设施进一步优化和完善，在生产中认真落实国家相关安全生产的法规、标准、规程、规范，加强事故预防和安全管理工作，即可为本项目奠定基本的安全生产条件，从而满足本项目安全生产的要求，其项目风险是可以控制和接受的</w:t>
      </w:r>
      <w:r>
        <w:rPr>
          <w:rFonts w:hint="eastAsia" w:ascii="宋体" w:hAnsi="宋体" w:eastAsia="宋体" w:cs="宋体"/>
        </w:rPr>
        <w:t>。</w:t>
      </w:r>
    </w:p>
    <w:p w14:paraId="180477D7">
      <w:pPr>
        <w:bidi w:val="0"/>
        <w:rPr>
          <w:rFonts w:hint="eastAsia"/>
          <w:b/>
          <w:bCs/>
        </w:rPr>
      </w:pPr>
      <w:r>
        <w:rPr>
          <w:rFonts w:hint="eastAsia"/>
          <w:b/>
          <w:bCs/>
        </w:rPr>
        <w:t>评价结论：</w:t>
      </w:r>
      <w:r>
        <w:rPr>
          <w:rFonts w:hint="eastAsia"/>
          <w:b/>
          <w:bCs/>
          <w:lang w:eastAsia="zh-CN"/>
        </w:rPr>
        <w:t>元谋中鼎砂石有限公司大物茂砂厂</w:t>
      </w:r>
      <w:r>
        <w:rPr>
          <w:rFonts w:hint="eastAsia"/>
          <w:b/>
          <w:bCs/>
        </w:rPr>
        <w:t>建设项目从安全角度出发符合国家有关</w:t>
      </w:r>
      <w:r>
        <w:rPr>
          <w:rFonts w:hint="eastAsia"/>
          <w:b/>
          <w:bCs/>
          <w:lang w:eastAsia="zh-CN"/>
        </w:rPr>
        <w:t>法律法规</w:t>
      </w:r>
      <w:r>
        <w:rPr>
          <w:rFonts w:hint="eastAsia"/>
          <w:b/>
          <w:bCs/>
        </w:rPr>
        <w:t>、规章、标准及规范的要求。</w:t>
      </w:r>
    </w:p>
    <w:p w14:paraId="5024C696">
      <w:pPr>
        <w:spacing w:line="500" w:lineRule="exact"/>
        <w:ind w:firstLine="560" w:firstLineChars="200"/>
        <w:rPr>
          <w:rFonts w:hint="eastAsia" w:ascii="宋体" w:hAnsi="宋体"/>
          <w:sz w:val="28"/>
          <w:szCs w:val="28"/>
        </w:rPr>
      </w:pPr>
      <w:r>
        <w:rPr>
          <w:rFonts w:hint="eastAsia" w:ascii="宋体" w:hAnsi="宋体"/>
          <w:sz w:val="28"/>
          <w:szCs w:val="28"/>
        </w:rPr>
        <w:t>在下一步安全设施设计、施工和生产过程中，建设单位应按有关法规和标准的要求，认真落实各项安全措施和预防手段，确保该</w:t>
      </w:r>
      <w:r>
        <w:rPr>
          <w:rFonts w:hint="eastAsia" w:ascii="宋体" w:hAnsi="宋体"/>
          <w:sz w:val="28"/>
          <w:szCs w:val="28"/>
          <w:lang w:val="en-US" w:eastAsia="zh-CN"/>
        </w:rPr>
        <w:t>建设</w:t>
      </w:r>
      <w:r>
        <w:rPr>
          <w:rFonts w:hint="eastAsia" w:ascii="宋体" w:hAnsi="宋体"/>
          <w:sz w:val="28"/>
          <w:szCs w:val="28"/>
        </w:rPr>
        <w:t>项目的安全设施与主体工程同时设计、同时施工、同时投入生产和使用。</w:t>
      </w:r>
    </w:p>
    <w:p w14:paraId="356D5EB7">
      <w:pPr>
        <w:rPr>
          <w:rFonts w:hint="eastAsia" w:ascii="宋体" w:hAnsi="宋体"/>
          <w:sz w:val="28"/>
          <w:szCs w:val="28"/>
        </w:rPr>
      </w:pPr>
      <w:r>
        <w:rPr>
          <w:rFonts w:hint="eastAsia" w:ascii="宋体" w:hAnsi="宋体"/>
          <w:sz w:val="28"/>
          <w:szCs w:val="28"/>
        </w:rPr>
        <w:t>总之，安全生产是一个不断完善的过程，企业应按照本报告提出的对策措施和建议进行整改完善。在今后的安全生产过程中，应根据安全生产条件的变化和国家法规的进一步要求，不断完善安全技术措施和管理措施，提升安全技术水平，防止安全事故的发生，切实保障人民生命和企业财产的安全。</w:t>
      </w:r>
    </w:p>
    <w:p w14:paraId="1A2188DF">
      <w:r>
        <w:br w:type="page"/>
      </w:r>
    </w:p>
    <w:p w14:paraId="3D93C52E">
      <w:pPr>
        <w:pStyle w:val="2"/>
        <w:bidi w:val="0"/>
      </w:pPr>
      <w:bookmarkStart w:id="281" w:name="_Toc3944"/>
      <w:r>
        <w:t>附</w:t>
      </w:r>
      <w:r>
        <w:rPr>
          <w:rFonts w:hint="eastAsia"/>
        </w:rPr>
        <w:t>件</w:t>
      </w:r>
      <w:r>
        <w:rPr>
          <w:rFonts w:hint="eastAsia"/>
          <w:lang w:val="en-US" w:eastAsia="zh-CN"/>
        </w:rPr>
        <w:t>及附图</w:t>
      </w:r>
      <w:bookmarkEnd w:id="281"/>
    </w:p>
    <w:p w14:paraId="1A766D0A">
      <w:pPr>
        <w:pStyle w:val="3"/>
        <w:bidi w:val="0"/>
        <w:rPr>
          <w:rFonts w:hint="default"/>
          <w:lang w:val="en-US" w:eastAsia="zh-CN"/>
        </w:rPr>
      </w:pPr>
      <w:bookmarkStart w:id="282" w:name="_Toc4658"/>
      <w:r>
        <w:rPr>
          <w:rFonts w:hint="eastAsia"/>
          <w:lang w:val="en-US" w:eastAsia="zh-CN"/>
        </w:rPr>
        <w:t>附件</w:t>
      </w:r>
      <w:bookmarkEnd w:id="282"/>
    </w:p>
    <w:p w14:paraId="59307C6F">
      <w:pPr>
        <w:numPr>
          <w:ilvl w:val="0"/>
          <w:numId w:val="77"/>
        </w:numPr>
        <w:bidi w:val="0"/>
        <w:ind w:left="0" w:leftChars="0" w:firstLine="560" w:firstLineChars="200"/>
      </w:pPr>
      <w:r>
        <w:rPr>
          <w:rFonts w:hint="eastAsia"/>
        </w:rPr>
        <w:t>委托书</w:t>
      </w:r>
    </w:p>
    <w:p w14:paraId="5E038B9C">
      <w:pPr>
        <w:numPr>
          <w:ilvl w:val="0"/>
          <w:numId w:val="77"/>
        </w:numPr>
        <w:bidi w:val="0"/>
        <w:ind w:left="0" w:leftChars="0" w:firstLine="560" w:firstLineChars="200"/>
      </w:pPr>
      <w:r>
        <w:rPr>
          <w:rFonts w:hint="eastAsia"/>
        </w:rPr>
        <w:t>材料真实性承诺书</w:t>
      </w:r>
    </w:p>
    <w:p w14:paraId="73EBE6CD">
      <w:pPr>
        <w:numPr>
          <w:ilvl w:val="0"/>
          <w:numId w:val="77"/>
        </w:numPr>
        <w:bidi w:val="0"/>
        <w:ind w:left="0" w:leftChars="0" w:firstLine="560" w:firstLineChars="200"/>
      </w:pPr>
      <w:r>
        <w:rPr>
          <w:rFonts w:hint="eastAsia"/>
        </w:rPr>
        <w:t>营业执照</w:t>
      </w:r>
    </w:p>
    <w:p w14:paraId="76F57180">
      <w:pPr>
        <w:numPr>
          <w:ilvl w:val="0"/>
          <w:numId w:val="77"/>
        </w:numPr>
        <w:bidi w:val="0"/>
        <w:ind w:left="0" w:leftChars="0" w:firstLine="560" w:firstLineChars="200"/>
      </w:pPr>
      <w:r>
        <w:rPr>
          <w:rFonts w:hint="eastAsia"/>
        </w:rPr>
        <w:t>采矿许可证</w:t>
      </w:r>
    </w:p>
    <w:p w14:paraId="1A963AE6">
      <w:pPr>
        <w:numPr>
          <w:ilvl w:val="0"/>
          <w:numId w:val="77"/>
        </w:numPr>
        <w:bidi w:val="0"/>
        <w:ind w:left="0" w:leftChars="0" w:firstLine="560" w:firstLineChars="200"/>
      </w:pPr>
      <w:r>
        <w:rPr>
          <w:rFonts w:hint="eastAsia"/>
        </w:rPr>
        <w:t>《</w:t>
      </w:r>
      <w:r>
        <w:rPr>
          <w:rFonts w:hint="eastAsia"/>
          <w:lang w:eastAsia="zh-CN"/>
        </w:rPr>
        <w:t>元谋中鼎砂石有限公司大物茂砂厂</w:t>
      </w:r>
      <w:r>
        <w:rPr>
          <w:rFonts w:hint="eastAsia"/>
          <w:lang w:val="en-US" w:eastAsia="zh-CN"/>
        </w:rPr>
        <w:t>建筑用砂矿</w:t>
      </w:r>
      <w:r>
        <w:rPr>
          <w:rFonts w:hint="eastAsia"/>
        </w:rPr>
        <w:t>资源储量核实报告》扉页、评审备案证明及评审意见书</w:t>
      </w:r>
    </w:p>
    <w:p w14:paraId="7750F867">
      <w:pPr>
        <w:numPr>
          <w:ilvl w:val="0"/>
          <w:numId w:val="77"/>
        </w:numPr>
        <w:bidi w:val="0"/>
        <w:ind w:left="0" w:leftChars="0" w:firstLine="560" w:firstLineChars="200"/>
        <w:rPr>
          <w:rFonts w:hint="default"/>
          <w:lang w:val="en-US" w:eastAsia="zh-CN"/>
        </w:rPr>
      </w:pPr>
      <w:r>
        <w:rPr>
          <w:rFonts w:hint="eastAsia"/>
          <w:lang w:val="en-US" w:eastAsia="zh-CN"/>
        </w:rPr>
        <w:t>《</w:t>
      </w:r>
      <w:r>
        <w:rPr>
          <w:rFonts w:hint="eastAsia"/>
          <w:lang w:eastAsia="zh-CN"/>
        </w:rPr>
        <w:t>元谋中鼎砂石有限公司大物茂砂厂</w:t>
      </w:r>
      <w:r>
        <w:rPr>
          <w:rFonts w:hint="eastAsia"/>
          <w:lang w:val="en-US" w:eastAsia="zh-CN"/>
        </w:rPr>
        <w:t>建筑用砂矿矿产资源开发利用方案》</w:t>
      </w:r>
      <w:r>
        <w:rPr>
          <w:rFonts w:hint="eastAsia"/>
        </w:rPr>
        <w:t>扉页、</w:t>
      </w:r>
      <w:r>
        <w:rPr>
          <w:rFonts w:hint="eastAsia"/>
          <w:lang w:val="en-US" w:eastAsia="zh-CN"/>
        </w:rPr>
        <w:t>专家</w:t>
      </w:r>
      <w:r>
        <w:rPr>
          <w:rFonts w:hint="eastAsia"/>
        </w:rPr>
        <w:t>评审意见</w:t>
      </w:r>
    </w:p>
    <w:p w14:paraId="7266CE0A">
      <w:pPr>
        <w:numPr>
          <w:ilvl w:val="0"/>
          <w:numId w:val="77"/>
        </w:numPr>
        <w:bidi w:val="0"/>
        <w:ind w:left="0" w:leftChars="0" w:firstLine="560" w:firstLineChars="200"/>
        <w:rPr>
          <w:rFonts w:hint="eastAsia" w:ascii="Times New Roman" w:hAnsi="Times New Roman" w:eastAsia="宋体" w:cs="Times New Roman"/>
          <w:lang w:val="en-US" w:eastAsia="zh-CN"/>
        </w:rPr>
      </w:pPr>
      <w:r>
        <w:rPr>
          <w:rFonts w:hint="eastAsia" w:cs="Times New Roman"/>
          <w:lang w:val="en-US" w:eastAsia="zh-CN"/>
        </w:rPr>
        <w:t>《元谋中鼎砂石有限公司大物茂砂厂（10万t/a）露天采矿工程初步设计》</w:t>
      </w:r>
      <w:r>
        <w:rPr>
          <w:rFonts w:hint="eastAsia"/>
          <w:lang w:val="en-US" w:eastAsia="zh-CN"/>
        </w:rPr>
        <w:t>封面、资质、扉页</w:t>
      </w:r>
    </w:p>
    <w:p w14:paraId="336E7DD1">
      <w:pPr>
        <w:numPr>
          <w:ilvl w:val="0"/>
          <w:numId w:val="77"/>
        </w:numPr>
        <w:bidi w:val="0"/>
        <w:ind w:left="0" w:leftChars="0" w:firstLine="560" w:firstLineChars="200"/>
        <w:rPr>
          <w:rFonts w:hint="default"/>
          <w:lang w:val="en-US" w:eastAsia="zh-CN"/>
        </w:rPr>
      </w:pPr>
      <w:r>
        <w:rPr>
          <w:rFonts w:hint="default"/>
          <w:lang w:val="en-US" w:eastAsia="zh-CN"/>
        </w:rPr>
        <w:t>联堪联审及相关规划审查意见</w:t>
      </w:r>
    </w:p>
    <w:p w14:paraId="21BE856B">
      <w:pPr>
        <w:numPr>
          <w:ilvl w:val="0"/>
          <w:numId w:val="77"/>
        </w:numPr>
        <w:bidi w:val="0"/>
        <w:ind w:left="0" w:leftChars="0" w:firstLine="560" w:firstLineChars="200"/>
        <w:rPr>
          <w:rFonts w:hint="default" w:ascii="Times New Roman" w:hAnsi="Times New Roman" w:cs="Times New Roman"/>
          <w:lang w:val="en-US" w:eastAsia="zh-CN"/>
        </w:rPr>
      </w:pPr>
      <w:r>
        <w:rPr>
          <w:rFonts w:hint="eastAsia" w:ascii="Times New Roman" w:hAnsi="Times New Roman" w:cs="Times New Roman"/>
          <w:lang w:val="en-US" w:eastAsia="zh-CN"/>
        </w:rPr>
        <w:t>生产规模变更批复</w:t>
      </w:r>
    </w:p>
    <w:p w14:paraId="487BDBB4">
      <w:pPr>
        <w:numPr>
          <w:ilvl w:val="0"/>
          <w:numId w:val="77"/>
        </w:numPr>
        <w:bidi w:val="0"/>
        <w:ind w:left="0" w:leftChars="0" w:firstLine="560" w:firstLineChars="200"/>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砂场淤泥废土改造土地协议</w:t>
      </w:r>
    </w:p>
    <w:p w14:paraId="77B7C04C">
      <w:pPr>
        <w:pStyle w:val="3"/>
        <w:bidi w:val="0"/>
      </w:pPr>
      <w:bookmarkStart w:id="283" w:name="_Toc10135"/>
      <w:r>
        <w:rPr>
          <w:rFonts w:hint="eastAsia"/>
          <w:lang w:val="en-US" w:eastAsia="zh-CN"/>
        </w:rPr>
        <w:t>附图</w:t>
      </w:r>
      <w:bookmarkEnd w:id="283"/>
    </w:p>
    <w:p w14:paraId="65BE4672">
      <w:pPr>
        <w:numPr>
          <w:ilvl w:val="0"/>
          <w:numId w:val="78"/>
        </w:numPr>
        <w:bidi w:val="0"/>
        <w:ind w:left="0" w:leftChars="0" w:firstLine="560" w:firstLineChars="200"/>
        <w:rPr>
          <w:rFonts w:hint="eastAsia" w:eastAsia="宋体"/>
          <w:lang w:val="en-US" w:eastAsia="zh-CN"/>
        </w:rPr>
      </w:pPr>
      <w:r>
        <w:rPr>
          <w:rFonts w:hint="eastAsia" w:ascii="宋体" w:hAnsi="宋体"/>
          <w:color w:val="000000" w:themeColor="text1"/>
          <w:sz w:val="28"/>
          <w:szCs w:val="28"/>
          <w14:textFill>
            <w14:solidFill>
              <w14:schemeClr w14:val="tx1"/>
            </w14:solidFill>
          </w14:textFill>
        </w:rPr>
        <w:t>地形地质</w:t>
      </w:r>
      <w:r>
        <w:rPr>
          <w:rFonts w:hint="eastAsia" w:ascii="宋体" w:hAnsi="宋体"/>
          <w:color w:val="000000" w:themeColor="text1"/>
          <w:sz w:val="28"/>
          <w:szCs w:val="28"/>
          <w:lang w:val="en-US" w:eastAsia="zh-CN"/>
          <w14:textFill>
            <w14:solidFill>
              <w14:schemeClr w14:val="tx1"/>
            </w14:solidFill>
          </w14:textFill>
        </w:rPr>
        <w:t>及</w:t>
      </w:r>
      <w:r>
        <w:rPr>
          <w:rFonts w:hint="eastAsia" w:ascii="宋体" w:hAnsi="宋体"/>
          <w:color w:val="000000" w:themeColor="text1"/>
          <w:sz w:val="28"/>
          <w:szCs w:val="28"/>
          <w14:textFill>
            <w14:solidFill>
              <w14:schemeClr w14:val="tx1"/>
            </w14:solidFill>
          </w14:textFill>
        </w:rPr>
        <w:t>矿区范围图</w:t>
      </w:r>
      <w:r>
        <w:rPr>
          <w:rFonts w:hint="eastAsia" w:eastAsia="宋体"/>
          <w:lang w:val="en-US" w:eastAsia="zh-CN"/>
        </w:rPr>
        <w:t>；</w:t>
      </w:r>
    </w:p>
    <w:p w14:paraId="7E03DA45">
      <w:pPr>
        <w:numPr>
          <w:ilvl w:val="0"/>
          <w:numId w:val="78"/>
        </w:numPr>
        <w:bidi w:val="0"/>
        <w:ind w:left="0" w:leftChars="0" w:firstLine="560" w:firstLineChars="200"/>
        <w:rPr>
          <w:rFonts w:hint="default" w:eastAsia="宋体"/>
          <w:lang w:val="en-US" w:eastAsia="zh-CN"/>
        </w:rPr>
      </w:pPr>
      <w:r>
        <w:rPr>
          <w:rFonts w:hint="eastAsia" w:eastAsia="宋体"/>
          <w:lang w:val="en-US" w:eastAsia="zh-CN"/>
        </w:rPr>
        <w:t>总平面布置图；</w:t>
      </w:r>
    </w:p>
    <w:p w14:paraId="7012F0FA">
      <w:pPr>
        <w:numPr>
          <w:ilvl w:val="0"/>
          <w:numId w:val="78"/>
        </w:numPr>
        <w:bidi w:val="0"/>
        <w:ind w:left="0" w:leftChars="0" w:firstLine="560" w:firstLineChars="200"/>
        <w:rPr>
          <w:rFonts w:hint="default" w:eastAsia="宋体"/>
          <w:lang w:val="en-US" w:eastAsia="zh-CN"/>
        </w:rPr>
      </w:pPr>
      <w:r>
        <w:rPr>
          <w:rFonts w:hint="eastAsia" w:ascii="宋体" w:hAnsi="宋体"/>
          <w:color w:val="000000" w:themeColor="text1"/>
          <w:sz w:val="28"/>
          <w:szCs w:val="28"/>
          <w14:textFill>
            <w14:solidFill>
              <w14:schemeClr w14:val="tx1"/>
            </w14:solidFill>
          </w14:textFill>
        </w:rPr>
        <w:t>开采终了图</w:t>
      </w:r>
      <w:r>
        <w:rPr>
          <w:rFonts w:hint="eastAsia" w:eastAsia="宋体"/>
          <w:lang w:val="en-US" w:eastAsia="zh-CN"/>
        </w:rPr>
        <w:t>；</w:t>
      </w:r>
    </w:p>
    <w:p w14:paraId="7AFC6AFB">
      <w:pPr>
        <w:numPr>
          <w:ilvl w:val="0"/>
          <w:numId w:val="78"/>
        </w:numPr>
        <w:bidi w:val="0"/>
        <w:ind w:left="0" w:leftChars="0" w:firstLine="560" w:firstLineChars="200"/>
        <w:rPr>
          <w:rFonts w:hint="eastAsia" w:ascii="宋体" w:hAnsi="宋体" w:eastAsia="宋体" w:cs="Times New Roman"/>
          <w:color w:val="000000" w:themeColor="text1"/>
          <w:sz w:val="28"/>
          <w:szCs w:val="28"/>
          <w:lang w:val="en-US" w:eastAsia="zh-CN"/>
          <w14:textFill>
            <w14:solidFill>
              <w14:schemeClr w14:val="tx1"/>
            </w14:solidFill>
          </w14:textFill>
        </w:rPr>
      </w:pPr>
      <w:r>
        <w:rPr>
          <w:rFonts w:hint="eastAsia" w:ascii="宋体" w:hAnsi="宋体" w:eastAsia="宋体" w:cs="Times New Roman"/>
          <w:color w:val="000000" w:themeColor="text1"/>
          <w:sz w:val="28"/>
          <w:szCs w:val="28"/>
          <w:lang w:val="en-US" w:eastAsia="zh-CN"/>
          <w14:textFill>
            <w14:solidFill>
              <w14:schemeClr w14:val="tx1"/>
            </w14:solidFill>
          </w14:textFill>
        </w:rPr>
        <w:t>基建终了图；</w:t>
      </w:r>
    </w:p>
    <w:p w14:paraId="40698BB7">
      <w:pPr>
        <w:numPr>
          <w:ilvl w:val="0"/>
          <w:numId w:val="78"/>
        </w:numPr>
        <w:bidi w:val="0"/>
        <w:ind w:left="0" w:leftChars="0" w:firstLine="560" w:firstLineChars="200"/>
        <w:rPr>
          <w:rFonts w:hint="eastAsia" w:ascii="宋体" w:hAnsi="宋体" w:eastAsia="宋体" w:cs="Times New Roman"/>
          <w:color w:val="000000" w:themeColor="text1"/>
          <w:sz w:val="28"/>
          <w:szCs w:val="28"/>
          <w:lang w:val="en-US" w:eastAsia="zh-CN"/>
          <w14:textFill>
            <w14:solidFill>
              <w14:schemeClr w14:val="tx1"/>
            </w14:solidFill>
          </w14:textFill>
        </w:rPr>
      </w:pPr>
      <w:r>
        <w:rPr>
          <w:rFonts w:hint="eastAsia" w:ascii="宋体" w:hAnsi="宋体" w:cs="Times New Roman"/>
          <w:color w:val="000000" w:themeColor="text1"/>
          <w:sz w:val="28"/>
          <w:szCs w:val="28"/>
          <w:lang w:val="en-US" w:eastAsia="zh-CN"/>
          <w14:textFill>
            <w14:solidFill>
              <w14:schemeClr w14:val="tx1"/>
            </w14:solidFill>
          </w14:textFill>
        </w:rPr>
        <w:t>开采</w:t>
      </w:r>
      <w:r>
        <w:rPr>
          <w:rFonts w:hint="eastAsia" w:ascii="宋体" w:hAnsi="宋体" w:eastAsia="宋体" w:cs="Times New Roman"/>
          <w:color w:val="000000" w:themeColor="text1"/>
          <w:sz w:val="28"/>
          <w:szCs w:val="28"/>
          <w14:textFill>
            <w14:solidFill>
              <w14:schemeClr w14:val="tx1"/>
            </w14:solidFill>
          </w14:textFill>
        </w:rPr>
        <w:t>剖面图</w:t>
      </w:r>
      <w:r>
        <w:rPr>
          <w:rFonts w:hint="eastAsia" w:ascii="宋体" w:hAnsi="宋体" w:cs="Times New Roman"/>
          <w:color w:val="000000" w:themeColor="text1"/>
          <w:sz w:val="28"/>
          <w:szCs w:val="28"/>
          <w:lang w:eastAsia="zh-CN"/>
          <w14:textFill>
            <w14:solidFill>
              <w14:schemeClr w14:val="tx1"/>
            </w14:solidFill>
          </w14:textFill>
        </w:rPr>
        <w:t>；</w:t>
      </w:r>
    </w:p>
    <w:p w14:paraId="6825D33F">
      <w:pPr>
        <w:numPr>
          <w:ilvl w:val="0"/>
          <w:numId w:val="78"/>
        </w:numPr>
        <w:bidi w:val="0"/>
        <w:ind w:left="0" w:leftChars="0" w:firstLine="560" w:firstLineChars="200"/>
        <w:rPr>
          <w:rFonts w:hint="eastAsia" w:ascii="宋体" w:hAnsi="宋体" w:eastAsia="宋体" w:cs="Times New Roman"/>
          <w:color w:val="000000" w:themeColor="text1"/>
          <w:sz w:val="28"/>
          <w:szCs w:val="28"/>
          <w:lang w:val="en-US" w:eastAsia="zh-CN"/>
          <w14:textFill>
            <w14:solidFill>
              <w14:schemeClr w14:val="tx1"/>
            </w14:solidFill>
          </w14:textFill>
        </w:rPr>
      </w:pPr>
      <w:r>
        <w:rPr>
          <w:rFonts w:hint="eastAsia" w:ascii="宋体" w:hAnsi="宋体" w:cs="Times New Roman"/>
          <w:color w:val="000000" w:themeColor="text1"/>
          <w:sz w:val="28"/>
          <w:szCs w:val="28"/>
          <w:lang w:val="en-US" w:eastAsia="zh-CN"/>
          <w14:textFill>
            <w14:solidFill>
              <w14:schemeClr w14:val="tx1"/>
            </w14:solidFill>
          </w14:textFill>
        </w:rPr>
        <w:t>防排水系统图；</w:t>
      </w:r>
    </w:p>
    <w:p w14:paraId="17FD6E76">
      <w:pPr>
        <w:numPr>
          <w:ilvl w:val="0"/>
          <w:numId w:val="78"/>
        </w:numPr>
        <w:bidi w:val="0"/>
        <w:ind w:left="0" w:leftChars="0" w:firstLine="560" w:firstLineChars="200"/>
        <w:rPr>
          <w:rFonts w:hint="eastAsia" w:ascii="宋体" w:hAnsi="宋体" w:eastAsia="宋体" w:cs="Times New Roman"/>
          <w:color w:val="000000" w:themeColor="text1"/>
          <w:sz w:val="28"/>
          <w:szCs w:val="28"/>
          <w:lang w:val="en-US" w:eastAsia="zh-CN"/>
          <w14:textFill>
            <w14:solidFill>
              <w14:schemeClr w14:val="tx1"/>
            </w14:solidFill>
          </w14:textFill>
        </w:rPr>
      </w:pPr>
      <w:r>
        <w:rPr>
          <w:rFonts w:hint="eastAsia" w:ascii="宋体" w:hAnsi="宋体" w:eastAsia="宋体" w:cs="宋体"/>
          <w:lang w:val="en-US" w:eastAsia="zh-CN"/>
        </w:rPr>
        <w:t>高陡边坡治理布置图</w:t>
      </w:r>
      <w:r>
        <w:rPr>
          <w:rFonts w:hint="eastAsia" w:ascii="宋体" w:hAnsi="宋体" w:cs="Times New Roman"/>
          <w:color w:val="000000" w:themeColor="text1"/>
          <w:sz w:val="28"/>
          <w:szCs w:val="28"/>
          <w:lang w:val="en-US" w:eastAsia="zh-CN"/>
          <w14:textFill>
            <w14:solidFill>
              <w14:schemeClr w14:val="tx1"/>
            </w14:solidFill>
          </w14:textFill>
        </w:rPr>
        <w:t>。</w:t>
      </w:r>
    </w:p>
    <w:p w14:paraId="73A85FA7">
      <w:pPr>
        <w:pStyle w:val="17"/>
        <w:rPr>
          <w:rFonts w:hint="eastAsia"/>
          <w:lang w:val="en-US" w:eastAsia="zh-CN"/>
        </w:rPr>
      </w:pPr>
    </w:p>
    <w:sectPr>
      <w:headerReference r:id="rId10" w:type="default"/>
      <w:footerReference r:id="rId11" w:type="default"/>
      <w:pgSz w:w="11906" w:h="16838"/>
      <w:pgMar w:top="1417" w:right="1417" w:bottom="1417" w:left="1587" w:header="851" w:footer="992"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Narrow">
    <w:panose1 w:val="020B0606020202030204"/>
    <w:charset w:val="00"/>
    <w:family w:val="swiss"/>
    <w:pitch w:val="default"/>
    <w:sig w:usb0="00000287" w:usb1="00000800" w:usb2="00000000" w:usb3="00000000" w:csb0="2000009F" w:csb1="DFD70000"/>
  </w:font>
  <w:font w:name="Plotter">
    <w:altName w:val="Lucida Console"/>
    <w:panose1 w:val="00000000000000000000"/>
    <w:charset w:val="00"/>
    <w:family w:val="auto"/>
    <w:pitch w:val="default"/>
    <w:sig w:usb0="00000000" w:usb1="00000000" w:usb2="00000000" w:usb3="00000000" w:csb0="00000001" w:csb1="00000000"/>
  </w:font>
  <w:font w:name="Lucida Console">
    <w:panose1 w:val="020B0609040504020204"/>
    <w:charset w:val="00"/>
    <w:family w:val="auto"/>
    <w:pitch w:val="default"/>
    <w:sig w:usb0="8000028F" w:usb1="00001800" w:usb2="00000000" w:usb3="00000000" w:csb0="0000001F" w:csb1="D7D70000"/>
  </w:font>
  <w:font w:name="Helvetica">
    <w:altName w:val="Aria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康欧文字符-宋体">
    <w:panose1 w:val="02020500000000000000"/>
    <w:charset w:val="86"/>
    <w:family w:val="auto"/>
    <w:pitch w:val="default"/>
    <w:sig w:usb0="8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18E4D3">
    <w:pPr>
      <w:pStyle w:val="20"/>
      <w:ind w:left="0" w:leftChars="0" w:firstLine="0" w:firstLineChars="0"/>
    </w:pPr>
    <w:r>
      <w:rPr>
        <w:rFonts w:hint="eastAsia"/>
      </w:rPr>
      <w:t>昭通市鼎安科技有限公司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A2BC81">
    <w:pPr>
      <w:pStyle w:val="2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8839855">
                          <w:pPr>
                            <w:pStyle w:val="20"/>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58839855">
                    <w:pPr>
                      <w:pStyle w:val="20"/>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rPr>
      <w:t>昭通市鼎安科技有限公司</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8AC729">
    <w:pPr>
      <w:pStyle w:val="20"/>
      <w:ind w:left="0" w:leftChars="0" w:firstLine="0" w:firstLineChars="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02C9CAD">
                          <w:pPr>
                            <w:pStyle w:val="20"/>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602C9CAD">
                    <w:pPr>
                      <w:pStyle w:val="20"/>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rPr>
      <w:t>昭通市鼎安科技有限公司</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A45838">
    <w:pPr>
      <w:pStyle w:val="21"/>
      <w:pBdr>
        <w:bottom w:val="single" w:color="auto" w:sz="4" w:space="1"/>
      </w:pBdr>
      <w:ind w:left="0" w:leftChars="0" w:firstLine="0" w:firstLineChars="0"/>
      <w:jc w:val="center"/>
      <w:rPr>
        <w:rFonts w:hint="eastAsia" w:eastAsia="宋体"/>
        <w:sz w:val="21"/>
        <w:szCs w:val="21"/>
        <w:lang w:eastAsia="zh-CN"/>
      </w:rPr>
    </w:pPr>
    <w:r>
      <w:rPr>
        <w:rFonts w:hint="eastAsia"/>
        <w:sz w:val="21"/>
        <w:szCs w:val="21"/>
        <w:lang w:eastAsia="zh-CN"/>
      </w:rPr>
      <w:t>元谋中鼎砂石有限公司大物茂砂厂安全预评价</w:t>
    </w:r>
    <w:r>
      <w:rPr>
        <w:rFonts w:hint="eastAsia"/>
        <w:sz w:val="21"/>
        <w:szCs w:val="21"/>
      </w:rPr>
      <w:t>报告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126DF2">
    <w:pPr>
      <w:pStyle w:val="21"/>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3F821C">
    <w:pPr>
      <w:pStyle w:val="21"/>
      <w:pBdr>
        <w:bottom w:val="single" w:color="auto" w:sz="4" w:space="1"/>
      </w:pBdr>
      <w:ind w:left="0" w:leftChars="0" w:firstLine="0" w:firstLineChars="0"/>
      <w:jc w:val="center"/>
      <w:rPr>
        <w:sz w:val="21"/>
        <w:szCs w:val="21"/>
      </w:rPr>
    </w:pPr>
    <w:r>
      <w:rPr>
        <w:rFonts w:hint="eastAsia"/>
        <w:sz w:val="21"/>
        <w:szCs w:val="21"/>
        <w:lang w:eastAsia="zh-CN"/>
      </w:rPr>
      <w:t>元谋中鼎砂石有限公司大物茂砂厂安全预评价</w:t>
    </w:r>
    <w:r>
      <w:rPr>
        <w:rFonts w:hint="eastAsia"/>
        <w:sz w:val="21"/>
        <w:szCs w:val="21"/>
      </w:rPr>
      <w:t>报告</w:t>
    </w:r>
    <w:r>
      <w:rPr>
        <w:rFonts w:hint="eastAsia"/>
        <w:sz w:val="21"/>
        <w:szCs w:val="21"/>
        <w:lang w:eastAsia="zh-CN"/>
      </w:rPr>
      <w:t>（</w:t>
    </w:r>
    <w:r>
      <w:rPr>
        <w:rFonts w:hint="eastAsia"/>
        <w:sz w:val="21"/>
        <w:szCs w:val="21"/>
        <w:lang w:val="en-US" w:eastAsia="zh-CN"/>
      </w:rPr>
      <w:t>送审稿</w:t>
    </w:r>
    <w:r>
      <w:rPr>
        <w:rFonts w:hint="eastAsia"/>
        <w:sz w:val="21"/>
        <w:szCs w:val="21"/>
        <w:lang w:eastAsia="zh-CN"/>
      </w:rPr>
      <w:t>）</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890AAF">
    <w:pPr>
      <w:pStyle w:val="21"/>
      <w:pBdr>
        <w:bottom w:val="thickThinSmallGap" w:color="auto" w:sz="12" w:space="1"/>
      </w:pBdr>
      <w:ind w:left="0" w:leftChars="0" w:firstLine="0" w:firstLineChars="0"/>
      <w:jc w:val="center"/>
      <w:rPr>
        <w:rFonts w:hint="eastAsia" w:eastAsia="宋体"/>
        <w:lang w:eastAsia="zh-CN"/>
      </w:rPr>
    </w:pPr>
    <w:r>
      <w:rPr>
        <w:rFonts w:hint="eastAsia"/>
        <w:lang w:eastAsia="zh-CN"/>
      </w:rPr>
      <w:t>元谋中鼎砂石有限公司大物茂砂厂安全预评价</w:t>
    </w:r>
    <w:r>
      <w:rPr>
        <w:rFonts w:hint="eastAsia"/>
      </w:rPr>
      <w:t>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298D52"/>
    <w:multiLevelType w:val="multilevel"/>
    <w:tmpl w:val="8A298D52"/>
    <w:lvl w:ilvl="0" w:tentative="0">
      <w:start w:val="1"/>
      <w:numFmt w:val="decimal"/>
      <w:pStyle w:val="2"/>
      <w:suff w:val="nothing"/>
      <w:lvlText w:val="第%1章 "/>
      <w:lvlJc w:val="left"/>
      <w:pPr>
        <w:tabs>
          <w:tab w:val="left" w:pos="0"/>
        </w:tabs>
        <w:ind w:left="432" w:hanging="432"/>
      </w:pPr>
      <w:rPr>
        <w:rFonts w:hint="default"/>
      </w:rPr>
    </w:lvl>
    <w:lvl w:ilvl="1" w:tentative="0">
      <w:start w:val="1"/>
      <w:numFmt w:val="decimal"/>
      <w:pStyle w:val="3"/>
      <w:isLgl/>
      <w:lvlText w:val="%1.%2."/>
      <w:lvlJc w:val="left"/>
      <w:pPr>
        <w:ind w:left="575" w:hanging="575"/>
      </w:pPr>
      <w:rPr>
        <w:rFonts w:hint="eastAsia"/>
      </w:rPr>
    </w:lvl>
    <w:lvl w:ilvl="2" w:tentative="0">
      <w:start w:val="1"/>
      <w:numFmt w:val="decimal"/>
      <w:pStyle w:val="4"/>
      <w:isLgl/>
      <w:suff w:val="space"/>
      <w:lvlText w:val="%1.%2.%3"/>
      <w:lvlJc w:val="left"/>
      <w:pPr>
        <w:ind w:left="720" w:hanging="720"/>
      </w:pPr>
      <w:rPr>
        <w:rFonts w:hint="eastAsia" w:ascii="宋体" w:hAnsi="宋体" w:eastAsia="宋体" w:cs="宋体"/>
      </w:rPr>
    </w:lvl>
    <w:lvl w:ilvl="3" w:tentative="0">
      <w:start w:val="1"/>
      <w:numFmt w:val="decimal"/>
      <w:pStyle w:val="5"/>
      <w:isLgl/>
      <w:suff w:val="space"/>
      <w:lvlText w:val="%1.%2.%3.%4."/>
      <w:lvlJc w:val="left"/>
      <w:pPr>
        <w:ind w:left="864" w:hanging="864"/>
      </w:pPr>
      <w:rPr>
        <w:rFonts w:hint="eastAsia"/>
      </w:rPr>
    </w:lvl>
    <w:lvl w:ilvl="4" w:tentative="0">
      <w:start w:val="1"/>
      <w:numFmt w:val="decimal"/>
      <w:pStyle w:val="6"/>
      <w:isLgl/>
      <w:lvlText w:val="%1.%2.%3.%4.%5."/>
      <w:lvlJc w:val="left"/>
      <w:pPr>
        <w:ind w:left="1008" w:hanging="1008"/>
      </w:pPr>
      <w:rPr>
        <w:rFonts w:hint="eastAsia"/>
      </w:rPr>
    </w:lvl>
    <w:lvl w:ilvl="5" w:tentative="0">
      <w:start w:val="1"/>
      <w:numFmt w:val="decimal"/>
      <w:pStyle w:val="7"/>
      <w:isLgl/>
      <w:lvlText w:val="%1.%2.%3.%4.%5.%6."/>
      <w:lvlJc w:val="left"/>
      <w:pPr>
        <w:ind w:left="1151" w:hanging="1151"/>
      </w:pPr>
      <w:rPr>
        <w:rFonts w:hint="eastAsia"/>
      </w:rPr>
    </w:lvl>
    <w:lvl w:ilvl="6" w:tentative="0">
      <w:start w:val="1"/>
      <w:numFmt w:val="decimal"/>
      <w:pStyle w:val="8"/>
      <w:isLgl/>
      <w:lvlText w:val="%1.%2.%3.%4.%5.%6.%7."/>
      <w:lvlJc w:val="left"/>
      <w:pPr>
        <w:ind w:left="1296" w:hanging="1296"/>
      </w:pPr>
      <w:rPr>
        <w:rFonts w:hint="eastAsia"/>
      </w:rPr>
    </w:lvl>
    <w:lvl w:ilvl="7" w:tentative="0">
      <w:start w:val="1"/>
      <w:numFmt w:val="decimal"/>
      <w:pStyle w:val="9"/>
      <w:isLgl/>
      <w:lvlText w:val="%1.%2.%3.%4.%5.%6.%7.%8."/>
      <w:lvlJc w:val="left"/>
      <w:pPr>
        <w:ind w:left="1440" w:hanging="1440"/>
      </w:pPr>
      <w:rPr>
        <w:rFonts w:hint="eastAsia"/>
      </w:rPr>
    </w:lvl>
    <w:lvl w:ilvl="8" w:tentative="0">
      <w:start w:val="1"/>
      <w:numFmt w:val="decimal"/>
      <w:pStyle w:val="10"/>
      <w:isLgl/>
      <w:lvlText w:val="%1.%2.%3.%4.%5.%6.%7.%8.%9."/>
      <w:lvlJc w:val="left"/>
      <w:pPr>
        <w:ind w:left="1583" w:hanging="1583"/>
      </w:pPr>
      <w:rPr>
        <w:rFonts w:hint="eastAsia"/>
      </w:rPr>
    </w:lvl>
  </w:abstractNum>
  <w:abstractNum w:abstractNumId="1">
    <w:nsid w:val="8C538C36"/>
    <w:multiLevelType w:val="singleLevel"/>
    <w:tmpl w:val="8C538C36"/>
    <w:lvl w:ilvl="0" w:tentative="0">
      <w:start w:val="1"/>
      <w:numFmt w:val="decimal"/>
      <w:suff w:val="nothing"/>
      <w:lvlText w:val="%1．"/>
      <w:lvlJc w:val="left"/>
      <w:pPr>
        <w:ind w:left="0" w:firstLine="400"/>
      </w:pPr>
      <w:rPr>
        <w:rFonts w:hint="default"/>
      </w:rPr>
    </w:lvl>
  </w:abstractNum>
  <w:abstractNum w:abstractNumId="2">
    <w:nsid w:val="8F1479C7"/>
    <w:multiLevelType w:val="singleLevel"/>
    <w:tmpl w:val="8F1479C7"/>
    <w:lvl w:ilvl="0" w:tentative="0">
      <w:start w:val="1"/>
      <w:numFmt w:val="decimal"/>
      <w:suff w:val="nothing"/>
      <w:lvlText w:val="%1"/>
      <w:lvlJc w:val="left"/>
      <w:pPr>
        <w:ind w:left="0" w:firstLine="397"/>
      </w:pPr>
      <w:rPr>
        <w:rFonts w:hint="default"/>
      </w:rPr>
    </w:lvl>
  </w:abstractNum>
  <w:abstractNum w:abstractNumId="3">
    <w:nsid w:val="8F4F102C"/>
    <w:multiLevelType w:val="singleLevel"/>
    <w:tmpl w:val="8F4F102C"/>
    <w:lvl w:ilvl="0" w:tentative="0">
      <w:start w:val="1"/>
      <w:numFmt w:val="decimal"/>
      <w:suff w:val="nothing"/>
      <w:lvlText w:val="（%1）"/>
      <w:lvlJc w:val="left"/>
      <w:rPr>
        <w:rFonts w:hint="default"/>
        <w:color w:val="auto"/>
      </w:rPr>
    </w:lvl>
  </w:abstractNum>
  <w:abstractNum w:abstractNumId="4">
    <w:nsid w:val="8F723C22"/>
    <w:multiLevelType w:val="singleLevel"/>
    <w:tmpl w:val="8F723C22"/>
    <w:lvl w:ilvl="0" w:tentative="0">
      <w:start w:val="1"/>
      <w:numFmt w:val="decimal"/>
      <w:suff w:val="nothing"/>
      <w:lvlText w:val="%1．"/>
      <w:lvlJc w:val="left"/>
      <w:pPr>
        <w:ind w:left="0" w:firstLine="400"/>
      </w:pPr>
      <w:rPr>
        <w:rFonts w:hint="default"/>
      </w:rPr>
    </w:lvl>
  </w:abstractNum>
  <w:abstractNum w:abstractNumId="5">
    <w:nsid w:val="961B7694"/>
    <w:multiLevelType w:val="singleLevel"/>
    <w:tmpl w:val="961B7694"/>
    <w:lvl w:ilvl="0" w:tentative="0">
      <w:start w:val="1"/>
      <w:numFmt w:val="decimal"/>
      <w:suff w:val="nothing"/>
      <w:lvlText w:val="（%1）"/>
      <w:lvlJc w:val="left"/>
      <w:pPr>
        <w:tabs>
          <w:tab w:val="left" w:pos="0"/>
        </w:tabs>
        <w:ind w:left="454" w:leftChars="0" w:hanging="454" w:firstLineChars="0"/>
      </w:pPr>
      <w:rPr>
        <w:rFonts w:hint="default" w:ascii="宋体" w:hAnsi="宋体" w:eastAsia="宋体" w:cs="宋体"/>
      </w:rPr>
    </w:lvl>
  </w:abstractNum>
  <w:abstractNum w:abstractNumId="6">
    <w:nsid w:val="9995CA5D"/>
    <w:multiLevelType w:val="singleLevel"/>
    <w:tmpl w:val="9995CA5D"/>
    <w:lvl w:ilvl="0" w:tentative="0">
      <w:start w:val="1"/>
      <w:numFmt w:val="decimal"/>
      <w:suff w:val="nothing"/>
      <w:lvlText w:val="（%1）"/>
      <w:lvlJc w:val="left"/>
      <w:pPr>
        <w:tabs>
          <w:tab w:val="left" w:pos="397"/>
        </w:tabs>
        <w:ind w:left="454" w:leftChars="0" w:hanging="454" w:firstLineChars="0"/>
      </w:pPr>
      <w:rPr>
        <w:rFonts w:hint="default"/>
      </w:rPr>
    </w:lvl>
  </w:abstractNum>
  <w:abstractNum w:abstractNumId="7">
    <w:nsid w:val="99F77A9C"/>
    <w:multiLevelType w:val="multilevel"/>
    <w:tmpl w:val="99F77A9C"/>
    <w:lvl w:ilvl="0" w:tentative="0">
      <w:start w:val="1"/>
      <w:numFmt w:val="decimal"/>
      <w:suff w:val="space"/>
      <w:lvlText w:val="第%1章"/>
      <w:lvlJc w:val="left"/>
      <w:pPr>
        <w:ind w:left="0" w:firstLine="0"/>
      </w:pPr>
      <w:rPr>
        <w:rFonts w:hint="default" w:ascii="黑体" w:hAnsi="黑体" w:eastAsia="黑体" w:cs="Times New Roman"/>
        <w:b/>
        <w:i w:val="0"/>
        <w:sz w:val="36"/>
        <w:szCs w:val="44"/>
      </w:rPr>
    </w:lvl>
    <w:lvl w:ilvl="1" w:tentative="0">
      <w:start w:val="1"/>
      <w:numFmt w:val="decimal"/>
      <w:suff w:val="space"/>
      <w:lvlText w:val="%1.%2"/>
      <w:lvlJc w:val="left"/>
      <w:pPr>
        <w:ind w:left="0" w:firstLine="0"/>
      </w:pPr>
      <w:rPr>
        <w:rFonts w:hint="default" w:ascii="Times New Roman" w:hAnsi="Times New Roman" w:eastAsia="宋体"/>
        <w:b/>
        <w:i w:val="0"/>
        <w:color w:val="auto"/>
        <w:sz w:val="32"/>
        <w:szCs w:val="36"/>
      </w:rPr>
    </w:lvl>
    <w:lvl w:ilvl="2" w:tentative="0">
      <w:start w:val="1"/>
      <w:numFmt w:val="decimal"/>
      <w:suff w:val="space"/>
      <w:lvlText w:val="%1.%2.%3"/>
      <w:lvlJc w:val="left"/>
      <w:pPr>
        <w:ind w:left="0" w:firstLine="0"/>
      </w:pPr>
      <w:rPr>
        <w:rFonts w:hint="eastAsia"/>
        <w:b/>
        <w:bCs w:val="0"/>
        <w:i w:val="0"/>
        <w:iCs w:val="0"/>
        <w:caps w:val="0"/>
        <w:smallCaps w:val="0"/>
        <w:strike w:val="0"/>
        <w:dstrike w:val="0"/>
        <w:vanish w:val="0"/>
        <w:color w:val="000000"/>
        <w:spacing w:val="0"/>
        <w:position w:val="0"/>
        <w:u w:val="none"/>
        <w:vertAlign w:val="baseline"/>
        <w:lang w:val="en-US"/>
        <w14:shadow w14:blurRad="0" w14:dist="0" w14:dir="0" w14:sx="0" w14:sy="0" w14:kx="0" w14:ky="0" w14:algn="none">
          <w14:srgbClr w14:val="000000"/>
        </w14:shadow>
      </w:rPr>
    </w:lvl>
    <w:lvl w:ilvl="3" w:tentative="0">
      <w:start w:val="1"/>
      <w:numFmt w:val="decimal"/>
      <w:suff w:val="space"/>
      <w:lvlText w:val="%1.%2.%3.%4"/>
      <w:lvlJc w:val="left"/>
      <w:pPr>
        <w:ind w:left="3261" w:firstLine="0"/>
      </w:pPr>
      <w:rPr>
        <w:rFonts w:hint="eastAsia"/>
        <w:sz w:val="28"/>
        <w:szCs w:val="28"/>
      </w:rPr>
    </w:lvl>
    <w:lvl w:ilvl="4" w:tentative="0">
      <w:start w:val="1"/>
      <w:numFmt w:val="decimal"/>
      <w:lvlRestart w:val="1"/>
      <w:suff w:val="space"/>
      <w:lvlText w:val="图%1-%5"/>
      <w:lvlJc w:val="left"/>
      <w:pPr>
        <w:ind w:left="4536" w:firstLine="0"/>
      </w:pPr>
      <w:rPr>
        <w:rFonts w:hint="default" w:ascii="宋体" w:hAnsi="宋体" w:eastAsia="宋体" w:cs="Times New Roman"/>
        <w:b/>
      </w:rPr>
    </w:lvl>
    <w:lvl w:ilvl="5" w:tentative="0">
      <w:start w:val="1"/>
      <w:numFmt w:val="decimal"/>
      <w:lvlRestart w:val="1"/>
      <w:pStyle w:val="39"/>
      <w:suff w:val="space"/>
      <w:lvlText w:val="表%1-%6"/>
      <w:lvlJc w:val="left"/>
      <w:pPr>
        <w:ind w:left="0" w:firstLine="0"/>
      </w:pPr>
      <w:rPr>
        <w:rFonts w:hint="default" w:ascii="Times New Roman" w:hAnsi="Times New Roman" w:eastAsia="宋体" w:cs="Times New Roman"/>
        <w:b/>
        <w:sz w:val="24"/>
        <w:szCs w:val="24"/>
      </w:rPr>
    </w:lvl>
    <w:lvl w:ilvl="6" w:tentative="0">
      <w:start w:val="1"/>
      <w:numFmt w:val="decimal"/>
      <w:lvlText w:val="%1.%2.%3.%4.%5.%6.%7"/>
      <w:lvlJc w:val="left"/>
      <w:pPr>
        <w:tabs>
          <w:tab w:val="left" w:pos="425"/>
        </w:tabs>
        <w:ind w:left="0" w:firstLine="0"/>
      </w:pPr>
      <w:rPr>
        <w:rFonts w:hint="eastAsia"/>
      </w:rPr>
    </w:lvl>
    <w:lvl w:ilvl="7" w:tentative="0">
      <w:start w:val="1"/>
      <w:numFmt w:val="decimal"/>
      <w:lvlText w:val="%1.%2.%3.%4.%5.%6.%7.%8"/>
      <w:lvlJc w:val="left"/>
      <w:pPr>
        <w:tabs>
          <w:tab w:val="left" w:pos="425"/>
        </w:tabs>
        <w:ind w:left="0" w:firstLine="0"/>
      </w:pPr>
      <w:rPr>
        <w:rFonts w:hint="eastAsia"/>
      </w:rPr>
    </w:lvl>
    <w:lvl w:ilvl="8" w:tentative="0">
      <w:start w:val="1"/>
      <w:numFmt w:val="decimal"/>
      <w:lvlText w:val="%1.%2.%3.%4.%5.%6.%7.%8.%9"/>
      <w:lvlJc w:val="left"/>
      <w:pPr>
        <w:tabs>
          <w:tab w:val="left" w:pos="425"/>
        </w:tabs>
        <w:ind w:left="0" w:firstLine="0"/>
      </w:pPr>
      <w:rPr>
        <w:rFonts w:hint="eastAsia"/>
      </w:rPr>
    </w:lvl>
  </w:abstractNum>
  <w:abstractNum w:abstractNumId="8">
    <w:nsid w:val="9D5344E5"/>
    <w:multiLevelType w:val="singleLevel"/>
    <w:tmpl w:val="9D5344E5"/>
    <w:lvl w:ilvl="0" w:tentative="0">
      <w:start w:val="1"/>
      <w:numFmt w:val="decimal"/>
      <w:suff w:val="nothing"/>
      <w:lvlText w:val="%1"/>
      <w:lvlJc w:val="left"/>
      <w:pPr>
        <w:ind w:left="0" w:firstLine="397"/>
      </w:pPr>
      <w:rPr>
        <w:rFonts w:hint="default"/>
      </w:rPr>
    </w:lvl>
  </w:abstractNum>
  <w:abstractNum w:abstractNumId="9">
    <w:nsid w:val="9E3CD035"/>
    <w:multiLevelType w:val="singleLevel"/>
    <w:tmpl w:val="9E3CD035"/>
    <w:lvl w:ilvl="0" w:tentative="0">
      <w:start w:val="1"/>
      <w:numFmt w:val="decimal"/>
      <w:suff w:val="nothing"/>
      <w:lvlText w:val="（%1）"/>
      <w:lvlJc w:val="left"/>
      <w:pPr>
        <w:tabs>
          <w:tab w:val="left" w:pos="397"/>
        </w:tabs>
        <w:ind w:left="454" w:leftChars="0" w:hanging="454" w:firstLineChars="0"/>
      </w:pPr>
      <w:rPr>
        <w:rFonts w:hint="default"/>
      </w:rPr>
    </w:lvl>
  </w:abstractNum>
  <w:abstractNum w:abstractNumId="10">
    <w:nsid w:val="A3AAC461"/>
    <w:multiLevelType w:val="singleLevel"/>
    <w:tmpl w:val="A3AAC461"/>
    <w:lvl w:ilvl="0" w:tentative="0">
      <w:start w:val="1"/>
      <w:numFmt w:val="decimal"/>
      <w:suff w:val="nothing"/>
      <w:lvlText w:val="%1．"/>
      <w:lvlJc w:val="left"/>
      <w:pPr>
        <w:ind w:left="0" w:firstLine="400"/>
      </w:pPr>
      <w:rPr>
        <w:rFonts w:hint="default"/>
      </w:rPr>
    </w:lvl>
  </w:abstractNum>
  <w:abstractNum w:abstractNumId="11">
    <w:nsid w:val="A84E8FDB"/>
    <w:multiLevelType w:val="singleLevel"/>
    <w:tmpl w:val="A84E8FDB"/>
    <w:lvl w:ilvl="0" w:tentative="0">
      <w:start w:val="1"/>
      <w:numFmt w:val="decimal"/>
      <w:suff w:val="nothing"/>
      <w:lvlText w:val="%1．"/>
      <w:lvlJc w:val="left"/>
      <w:pPr>
        <w:ind w:left="0" w:firstLine="400"/>
      </w:pPr>
      <w:rPr>
        <w:rFonts w:hint="default"/>
      </w:rPr>
    </w:lvl>
  </w:abstractNum>
  <w:abstractNum w:abstractNumId="12">
    <w:nsid w:val="AA63CAC4"/>
    <w:multiLevelType w:val="singleLevel"/>
    <w:tmpl w:val="AA63CAC4"/>
    <w:lvl w:ilvl="0" w:tentative="0">
      <w:start w:val="1"/>
      <w:numFmt w:val="decimal"/>
      <w:suff w:val="nothing"/>
      <w:lvlText w:val="（%1）"/>
      <w:lvlJc w:val="left"/>
      <w:pPr>
        <w:tabs>
          <w:tab w:val="left" w:pos="0"/>
        </w:tabs>
      </w:pPr>
      <w:rPr>
        <w:rFonts w:hint="default" w:ascii="宋体" w:hAnsi="宋体" w:eastAsia="宋体" w:cs="宋体"/>
      </w:rPr>
    </w:lvl>
  </w:abstractNum>
  <w:abstractNum w:abstractNumId="13">
    <w:nsid w:val="AF5A16BE"/>
    <w:multiLevelType w:val="singleLevel"/>
    <w:tmpl w:val="AF5A16BE"/>
    <w:lvl w:ilvl="0" w:tentative="0">
      <w:start w:val="1"/>
      <w:numFmt w:val="decimal"/>
      <w:suff w:val="nothing"/>
      <w:lvlText w:val="（%1）"/>
      <w:lvlJc w:val="left"/>
      <w:pPr>
        <w:tabs>
          <w:tab w:val="left" w:pos="397"/>
        </w:tabs>
        <w:ind w:left="454" w:leftChars="0" w:hanging="454" w:firstLineChars="0"/>
      </w:pPr>
      <w:rPr>
        <w:rFonts w:hint="default"/>
      </w:rPr>
    </w:lvl>
  </w:abstractNum>
  <w:abstractNum w:abstractNumId="14">
    <w:nsid w:val="AFDE20A5"/>
    <w:multiLevelType w:val="singleLevel"/>
    <w:tmpl w:val="AFDE20A5"/>
    <w:lvl w:ilvl="0" w:tentative="0">
      <w:start w:val="1"/>
      <w:numFmt w:val="decimal"/>
      <w:suff w:val="nothing"/>
      <w:lvlText w:val="%1."/>
      <w:lvlJc w:val="left"/>
      <w:pPr>
        <w:tabs>
          <w:tab w:val="left" w:pos="0"/>
        </w:tabs>
        <w:ind w:left="425" w:leftChars="0" w:hanging="425" w:firstLineChars="0"/>
      </w:pPr>
      <w:rPr>
        <w:rFonts w:hint="default" w:ascii="宋体" w:hAnsi="宋体" w:eastAsia="宋体" w:cs="宋体"/>
      </w:rPr>
    </w:lvl>
  </w:abstractNum>
  <w:abstractNum w:abstractNumId="15">
    <w:nsid w:val="B40FEA50"/>
    <w:multiLevelType w:val="singleLevel"/>
    <w:tmpl w:val="B40FEA50"/>
    <w:lvl w:ilvl="0" w:tentative="0">
      <w:start w:val="1"/>
      <w:numFmt w:val="decimal"/>
      <w:suff w:val="nothing"/>
      <w:lvlText w:val="%1."/>
      <w:lvlJc w:val="left"/>
      <w:pPr>
        <w:tabs>
          <w:tab w:val="left" w:pos="0"/>
        </w:tabs>
        <w:ind w:left="425" w:leftChars="0" w:hanging="425" w:firstLineChars="0"/>
      </w:pPr>
      <w:rPr>
        <w:rFonts w:hint="default" w:ascii="宋体" w:hAnsi="宋体" w:eastAsia="宋体" w:cs="宋体"/>
      </w:rPr>
    </w:lvl>
  </w:abstractNum>
  <w:abstractNum w:abstractNumId="16">
    <w:nsid w:val="B50D1A5E"/>
    <w:multiLevelType w:val="singleLevel"/>
    <w:tmpl w:val="B50D1A5E"/>
    <w:lvl w:ilvl="0" w:tentative="0">
      <w:start w:val="1"/>
      <w:numFmt w:val="decimal"/>
      <w:suff w:val="nothing"/>
      <w:lvlText w:val="%1"/>
      <w:lvlJc w:val="left"/>
      <w:pPr>
        <w:tabs>
          <w:tab w:val="left" w:pos="0"/>
        </w:tabs>
        <w:ind w:left="425" w:leftChars="0" w:hanging="425" w:firstLineChars="0"/>
      </w:pPr>
      <w:rPr>
        <w:rFonts w:hint="default" w:ascii="宋体" w:hAnsi="宋体" w:eastAsia="宋体" w:cs="宋体"/>
      </w:rPr>
    </w:lvl>
  </w:abstractNum>
  <w:abstractNum w:abstractNumId="17">
    <w:nsid w:val="BBA8E768"/>
    <w:multiLevelType w:val="singleLevel"/>
    <w:tmpl w:val="BBA8E768"/>
    <w:lvl w:ilvl="0" w:tentative="0">
      <w:start w:val="1"/>
      <w:numFmt w:val="decimal"/>
      <w:suff w:val="nothing"/>
      <w:lvlText w:val="%1．"/>
      <w:lvlJc w:val="left"/>
      <w:pPr>
        <w:ind w:left="0" w:firstLine="400"/>
      </w:pPr>
      <w:rPr>
        <w:rFonts w:hint="default"/>
      </w:rPr>
    </w:lvl>
  </w:abstractNum>
  <w:abstractNum w:abstractNumId="18">
    <w:nsid w:val="BF56D8F5"/>
    <w:multiLevelType w:val="singleLevel"/>
    <w:tmpl w:val="BF56D8F5"/>
    <w:lvl w:ilvl="0" w:tentative="0">
      <w:start w:val="1"/>
      <w:numFmt w:val="decimal"/>
      <w:suff w:val="nothing"/>
      <w:lvlText w:val="（%1）"/>
      <w:lvlJc w:val="left"/>
      <w:rPr>
        <w:rFonts w:hint="default"/>
        <w:color w:val="auto"/>
      </w:rPr>
    </w:lvl>
  </w:abstractNum>
  <w:abstractNum w:abstractNumId="19">
    <w:nsid w:val="C2AB12F1"/>
    <w:multiLevelType w:val="singleLevel"/>
    <w:tmpl w:val="C2AB12F1"/>
    <w:lvl w:ilvl="0" w:tentative="0">
      <w:start w:val="1"/>
      <w:numFmt w:val="decimal"/>
      <w:suff w:val="nothing"/>
      <w:lvlText w:val="%1．"/>
      <w:lvlJc w:val="left"/>
      <w:pPr>
        <w:ind w:left="0" w:firstLine="400"/>
      </w:pPr>
      <w:rPr>
        <w:rFonts w:hint="default"/>
      </w:rPr>
    </w:lvl>
  </w:abstractNum>
  <w:abstractNum w:abstractNumId="20">
    <w:nsid w:val="C2DF3925"/>
    <w:multiLevelType w:val="singleLevel"/>
    <w:tmpl w:val="C2DF3925"/>
    <w:lvl w:ilvl="0" w:tentative="0">
      <w:start w:val="1"/>
      <w:numFmt w:val="decimal"/>
      <w:suff w:val="nothing"/>
      <w:lvlText w:val="%1."/>
      <w:lvlJc w:val="left"/>
      <w:pPr>
        <w:tabs>
          <w:tab w:val="left" w:pos="0"/>
        </w:tabs>
        <w:ind w:left="425" w:leftChars="0" w:hanging="425" w:firstLineChars="0"/>
      </w:pPr>
      <w:rPr>
        <w:rFonts w:hint="default" w:ascii="宋体" w:hAnsi="宋体" w:eastAsia="宋体" w:cs="宋体"/>
      </w:rPr>
    </w:lvl>
  </w:abstractNum>
  <w:abstractNum w:abstractNumId="21">
    <w:nsid w:val="C3A723B2"/>
    <w:multiLevelType w:val="singleLevel"/>
    <w:tmpl w:val="C3A723B2"/>
    <w:lvl w:ilvl="0" w:tentative="0">
      <w:start w:val="1"/>
      <w:numFmt w:val="decimal"/>
      <w:suff w:val="nothing"/>
      <w:lvlText w:val="%1．"/>
      <w:lvlJc w:val="left"/>
      <w:pPr>
        <w:ind w:left="0" w:firstLine="400"/>
      </w:pPr>
      <w:rPr>
        <w:rFonts w:hint="default"/>
      </w:rPr>
    </w:lvl>
  </w:abstractNum>
  <w:abstractNum w:abstractNumId="22">
    <w:nsid w:val="C544A074"/>
    <w:multiLevelType w:val="singleLevel"/>
    <w:tmpl w:val="C544A074"/>
    <w:lvl w:ilvl="0" w:tentative="0">
      <w:start w:val="1"/>
      <w:numFmt w:val="decimal"/>
      <w:suff w:val="nothing"/>
      <w:lvlText w:val="%1．"/>
      <w:lvlJc w:val="left"/>
      <w:pPr>
        <w:ind w:left="0" w:firstLine="400"/>
      </w:pPr>
      <w:rPr>
        <w:rFonts w:hint="default"/>
      </w:rPr>
    </w:lvl>
  </w:abstractNum>
  <w:abstractNum w:abstractNumId="23">
    <w:nsid w:val="C96E9D58"/>
    <w:multiLevelType w:val="singleLevel"/>
    <w:tmpl w:val="C96E9D58"/>
    <w:lvl w:ilvl="0" w:tentative="0">
      <w:start w:val="1"/>
      <w:numFmt w:val="decimal"/>
      <w:suff w:val="nothing"/>
      <w:lvlText w:val="%1．"/>
      <w:lvlJc w:val="left"/>
      <w:pPr>
        <w:ind w:left="0" w:firstLine="400"/>
      </w:pPr>
      <w:rPr>
        <w:rFonts w:hint="default"/>
      </w:rPr>
    </w:lvl>
  </w:abstractNum>
  <w:abstractNum w:abstractNumId="24">
    <w:nsid w:val="CE5841F9"/>
    <w:multiLevelType w:val="singleLevel"/>
    <w:tmpl w:val="CE5841F9"/>
    <w:lvl w:ilvl="0" w:tentative="0">
      <w:start w:val="1"/>
      <w:numFmt w:val="decimal"/>
      <w:suff w:val="nothing"/>
      <w:lvlText w:val="（%1）"/>
      <w:lvlJc w:val="left"/>
      <w:pPr>
        <w:tabs>
          <w:tab w:val="left" w:pos="397"/>
        </w:tabs>
        <w:ind w:left="454" w:leftChars="0" w:hanging="454" w:firstLineChars="0"/>
      </w:pPr>
      <w:rPr>
        <w:rFonts w:hint="default"/>
      </w:rPr>
    </w:lvl>
  </w:abstractNum>
  <w:abstractNum w:abstractNumId="25">
    <w:nsid w:val="D4354994"/>
    <w:multiLevelType w:val="singleLevel"/>
    <w:tmpl w:val="D4354994"/>
    <w:lvl w:ilvl="0" w:tentative="0">
      <w:start w:val="1"/>
      <w:numFmt w:val="decimal"/>
      <w:suff w:val="nothing"/>
      <w:lvlText w:val="%1．"/>
      <w:lvlJc w:val="left"/>
      <w:pPr>
        <w:ind w:left="0" w:firstLine="400"/>
      </w:pPr>
      <w:rPr>
        <w:rFonts w:hint="default"/>
      </w:rPr>
    </w:lvl>
  </w:abstractNum>
  <w:abstractNum w:abstractNumId="26">
    <w:nsid w:val="D4C1A225"/>
    <w:multiLevelType w:val="singleLevel"/>
    <w:tmpl w:val="D4C1A225"/>
    <w:lvl w:ilvl="0" w:tentative="0">
      <w:start w:val="1"/>
      <w:numFmt w:val="decimal"/>
      <w:suff w:val="nothing"/>
      <w:lvlText w:val="%1、"/>
      <w:lvlJc w:val="left"/>
    </w:lvl>
  </w:abstractNum>
  <w:abstractNum w:abstractNumId="27">
    <w:nsid w:val="D6CC1C2E"/>
    <w:multiLevelType w:val="singleLevel"/>
    <w:tmpl w:val="D6CC1C2E"/>
    <w:lvl w:ilvl="0" w:tentative="0">
      <w:start w:val="1"/>
      <w:numFmt w:val="decimal"/>
      <w:suff w:val="nothing"/>
      <w:lvlText w:val="%1．"/>
      <w:lvlJc w:val="left"/>
      <w:pPr>
        <w:ind w:left="0" w:firstLine="400"/>
      </w:pPr>
      <w:rPr>
        <w:rFonts w:hint="default"/>
      </w:rPr>
    </w:lvl>
  </w:abstractNum>
  <w:abstractNum w:abstractNumId="28">
    <w:nsid w:val="D997F781"/>
    <w:multiLevelType w:val="singleLevel"/>
    <w:tmpl w:val="D997F781"/>
    <w:lvl w:ilvl="0" w:tentative="0">
      <w:start w:val="1"/>
      <w:numFmt w:val="decimal"/>
      <w:suff w:val="nothing"/>
      <w:lvlText w:val="%1．"/>
      <w:lvlJc w:val="left"/>
      <w:pPr>
        <w:ind w:left="0" w:firstLine="400"/>
      </w:pPr>
      <w:rPr>
        <w:rFonts w:hint="default"/>
      </w:rPr>
    </w:lvl>
  </w:abstractNum>
  <w:abstractNum w:abstractNumId="29">
    <w:nsid w:val="DBEDB176"/>
    <w:multiLevelType w:val="singleLevel"/>
    <w:tmpl w:val="DBEDB176"/>
    <w:lvl w:ilvl="0" w:tentative="0">
      <w:start w:val="1"/>
      <w:numFmt w:val="decimal"/>
      <w:suff w:val="nothing"/>
      <w:lvlText w:val="%1．"/>
      <w:lvlJc w:val="left"/>
      <w:pPr>
        <w:ind w:left="0" w:firstLine="400"/>
      </w:pPr>
      <w:rPr>
        <w:rFonts w:hint="default"/>
      </w:rPr>
    </w:lvl>
  </w:abstractNum>
  <w:abstractNum w:abstractNumId="30">
    <w:nsid w:val="DE54AE89"/>
    <w:multiLevelType w:val="singleLevel"/>
    <w:tmpl w:val="DE54AE89"/>
    <w:lvl w:ilvl="0" w:tentative="0">
      <w:start w:val="1"/>
      <w:numFmt w:val="decimal"/>
      <w:suff w:val="nothing"/>
      <w:lvlText w:val="%1．"/>
      <w:lvlJc w:val="left"/>
      <w:pPr>
        <w:ind w:left="0" w:firstLine="400"/>
      </w:pPr>
      <w:rPr>
        <w:rFonts w:hint="default"/>
      </w:rPr>
    </w:lvl>
  </w:abstractNum>
  <w:abstractNum w:abstractNumId="31">
    <w:nsid w:val="E24EF62B"/>
    <w:multiLevelType w:val="singleLevel"/>
    <w:tmpl w:val="E24EF62B"/>
    <w:lvl w:ilvl="0" w:tentative="0">
      <w:start w:val="1"/>
      <w:numFmt w:val="decimal"/>
      <w:suff w:val="nothing"/>
      <w:lvlText w:val="%1．"/>
      <w:lvlJc w:val="left"/>
      <w:pPr>
        <w:ind w:left="0" w:firstLine="400"/>
      </w:pPr>
      <w:rPr>
        <w:rFonts w:hint="default"/>
      </w:rPr>
    </w:lvl>
  </w:abstractNum>
  <w:abstractNum w:abstractNumId="32">
    <w:nsid w:val="E7BB2D2F"/>
    <w:multiLevelType w:val="singleLevel"/>
    <w:tmpl w:val="E7BB2D2F"/>
    <w:lvl w:ilvl="0" w:tentative="0">
      <w:start w:val="1"/>
      <w:numFmt w:val="decimal"/>
      <w:suff w:val="nothing"/>
      <w:lvlText w:val="%1．"/>
      <w:lvlJc w:val="left"/>
      <w:pPr>
        <w:ind w:left="0" w:firstLine="400"/>
      </w:pPr>
      <w:rPr>
        <w:rFonts w:hint="default"/>
      </w:rPr>
    </w:lvl>
  </w:abstractNum>
  <w:abstractNum w:abstractNumId="33">
    <w:nsid w:val="EA7FC76B"/>
    <w:multiLevelType w:val="singleLevel"/>
    <w:tmpl w:val="EA7FC76B"/>
    <w:lvl w:ilvl="0" w:tentative="0">
      <w:start w:val="1"/>
      <w:numFmt w:val="decimal"/>
      <w:suff w:val="nothing"/>
      <w:lvlText w:val="（%1）"/>
      <w:lvlJc w:val="left"/>
      <w:rPr>
        <w:rFonts w:hint="default"/>
        <w:color w:val="auto"/>
      </w:rPr>
    </w:lvl>
  </w:abstractNum>
  <w:abstractNum w:abstractNumId="34">
    <w:nsid w:val="EBB1FAB2"/>
    <w:multiLevelType w:val="singleLevel"/>
    <w:tmpl w:val="EBB1FAB2"/>
    <w:lvl w:ilvl="0" w:tentative="0">
      <w:start w:val="1"/>
      <w:numFmt w:val="decimal"/>
      <w:suff w:val="nothing"/>
      <w:lvlText w:val="%1"/>
      <w:lvlJc w:val="left"/>
      <w:pPr>
        <w:ind w:left="0" w:firstLine="397"/>
      </w:pPr>
      <w:rPr>
        <w:rFonts w:hint="default"/>
      </w:rPr>
    </w:lvl>
  </w:abstractNum>
  <w:abstractNum w:abstractNumId="35">
    <w:nsid w:val="EF7F2199"/>
    <w:multiLevelType w:val="singleLevel"/>
    <w:tmpl w:val="EF7F2199"/>
    <w:lvl w:ilvl="0" w:tentative="0">
      <w:start w:val="1"/>
      <w:numFmt w:val="decimal"/>
      <w:suff w:val="nothing"/>
      <w:lvlText w:val="%1．"/>
      <w:lvlJc w:val="left"/>
      <w:pPr>
        <w:ind w:left="0" w:firstLine="400"/>
      </w:pPr>
      <w:rPr>
        <w:rFonts w:hint="default"/>
      </w:rPr>
    </w:lvl>
  </w:abstractNum>
  <w:abstractNum w:abstractNumId="36">
    <w:nsid w:val="F073BBC1"/>
    <w:multiLevelType w:val="singleLevel"/>
    <w:tmpl w:val="F073BBC1"/>
    <w:lvl w:ilvl="0" w:tentative="0">
      <w:start w:val="1"/>
      <w:numFmt w:val="decimal"/>
      <w:suff w:val="nothing"/>
      <w:lvlText w:val="%1．"/>
      <w:lvlJc w:val="left"/>
      <w:pPr>
        <w:ind w:left="0" w:firstLine="400"/>
      </w:pPr>
      <w:rPr>
        <w:rFonts w:hint="default"/>
      </w:rPr>
    </w:lvl>
  </w:abstractNum>
  <w:abstractNum w:abstractNumId="37">
    <w:nsid w:val="F08ABC16"/>
    <w:multiLevelType w:val="singleLevel"/>
    <w:tmpl w:val="F08ABC16"/>
    <w:lvl w:ilvl="0" w:tentative="0">
      <w:start w:val="1"/>
      <w:numFmt w:val="decimal"/>
      <w:suff w:val="nothing"/>
      <w:lvlText w:val="（%1）"/>
      <w:lvlJc w:val="left"/>
      <w:pPr>
        <w:tabs>
          <w:tab w:val="left" w:pos="397"/>
        </w:tabs>
        <w:ind w:left="454" w:leftChars="0" w:hanging="454" w:firstLineChars="0"/>
      </w:pPr>
      <w:rPr>
        <w:rFonts w:hint="default"/>
      </w:rPr>
    </w:lvl>
  </w:abstractNum>
  <w:abstractNum w:abstractNumId="38">
    <w:nsid w:val="F93871F5"/>
    <w:multiLevelType w:val="singleLevel"/>
    <w:tmpl w:val="F93871F5"/>
    <w:lvl w:ilvl="0" w:tentative="0">
      <w:start w:val="1"/>
      <w:numFmt w:val="decimal"/>
      <w:suff w:val="nothing"/>
      <w:lvlText w:val="%1"/>
      <w:lvlJc w:val="left"/>
      <w:pPr>
        <w:tabs>
          <w:tab w:val="left" w:pos="0"/>
        </w:tabs>
        <w:ind w:left="0" w:firstLine="397"/>
      </w:pPr>
      <w:rPr>
        <w:rFonts w:hint="default"/>
      </w:rPr>
    </w:lvl>
  </w:abstractNum>
  <w:abstractNum w:abstractNumId="39">
    <w:nsid w:val="F99EEFE5"/>
    <w:multiLevelType w:val="singleLevel"/>
    <w:tmpl w:val="F99EEFE5"/>
    <w:lvl w:ilvl="0" w:tentative="0">
      <w:start w:val="1"/>
      <w:numFmt w:val="decimal"/>
      <w:suff w:val="nothing"/>
      <w:lvlText w:val="%1．"/>
      <w:lvlJc w:val="left"/>
      <w:pPr>
        <w:ind w:left="0" w:firstLine="400"/>
      </w:pPr>
      <w:rPr>
        <w:rFonts w:hint="default"/>
      </w:rPr>
    </w:lvl>
  </w:abstractNum>
  <w:abstractNum w:abstractNumId="40">
    <w:nsid w:val="FF029EE5"/>
    <w:multiLevelType w:val="singleLevel"/>
    <w:tmpl w:val="FF029EE5"/>
    <w:lvl w:ilvl="0" w:tentative="0">
      <w:start w:val="1"/>
      <w:numFmt w:val="decimal"/>
      <w:suff w:val="nothing"/>
      <w:lvlText w:val="%1．"/>
      <w:lvlJc w:val="left"/>
      <w:pPr>
        <w:ind w:left="0" w:firstLine="400"/>
      </w:pPr>
      <w:rPr>
        <w:rFonts w:hint="default"/>
      </w:rPr>
    </w:lvl>
  </w:abstractNum>
  <w:abstractNum w:abstractNumId="41">
    <w:nsid w:val="FF42A00E"/>
    <w:multiLevelType w:val="singleLevel"/>
    <w:tmpl w:val="FF42A00E"/>
    <w:lvl w:ilvl="0" w:tentative="0">
      <w:start w:val="1"/>
      <w:numFmt w:val="decimal"/>
      <w:suff w:val="nothing"/>
      <w:lvlText w:val="%1"/>
      <w:lvlJc w:val="left"/>
      <w:pPr>
        <w:ind w:left="0" w:firstLine="397"/>
      </w:pPr>
      <w:rPr>
        <w:rFonts w:hint="default"/>
      </w:rPr>
    </w:lvl>
  </w:abstractNum>
  <w:abstractNum w:abstractNumId="42">
    <w:nsid w:val="00D211E2"/>
    <w:multiLevelType w:val="singleLevel"/>
    <w:tmpl w:val="00D211E2"/>
    <w:lvl w:ilvl="0" w:tentative="0">
      <w:start w:val="1"/>
      <w:numFmt w:val="decimal"/>
      <w:suff w:val="nothing"/>
      <w:lvlText w:val="（%1）"/>
      <w:lvlJc w:val="left"/>
      <w:pPr>
        <w:tabs>
          <w:tab w:val="left" w:pos="397"/>
        </w:tabs>
        <w:ind w:left="454" w:leftChars="0" w:hanging="454" w:firstLineChars="0"/>
      </w:pPr>
      <w:rPr>
        <w:rFonts w:hint="default"/>
      </w:rPr>
    </w:lvl>
  </w:abstractNum>
  <w:abstractNum w:abstractNumId="43">
    <w:nsid w:val="07D3C370"/>
    <w:multiLevelType w:val="singleLevel"/>
    <w:tmpl w:val="07D3C370"/>
    <w:lvl w:ilvl="0" w:tentative="0">
      <w:start w:val="1"/>
      <w:numFmt w:val="decimal"/>
      <w:suff w:val="nothing"/>
      <w:lvlText w:val="%1．"/>
      <w:lvlJc w:val="left"/>
      <w:pPr>
        <w:ind w:left="0" w:firstLine="400"/>
      </w:pPr>
      <w:rPr>
        <w:rFonts w:hint="default"/>
      </w:rPr>
    </w:lvl>
  </w:abstractNum>
  <w:abstractNum w:abstractNumId="44">
    <w:nsid w:val="0BB95E35"/>
    <w:multiLevelType w:val="singleLevel"/>
    <w:tmpl w:val="0BB95E35"/>
    <w:lvl w:ilvl="0" w:tentative="0">
      <w:start w:val="1"/>
      <w:numFmt w:val="decimal"/>
      <w:suff w:val="nothing"/>
      <w:lvlText w:val="%1．"/>
      <w:lvlJc w:val="left"/>
      <w:pPr>
        <w:ind w:left="0" w:firstLine="400"/>
      </w:pPr>
      <w:rPr>
        <w:rFonts w:hint="default"/>
      </w:rPr>
    </w:lvl>
  </w:abstractNum>
  <w:abstractNum w:abstractNumId="45">
    <w:nsid w:val="0C73B6A4"/>
    <w:multiLevelType w:val="singleLevel"/>
    <w:tmpl w:val="0C73B6A4"/>
    <w:lvl w:ilvl="0" w:tentative="0">
      <w:start w:val="1"/>
      <w:numFmt w:val="decimal"/>
      <w:suff w:val="nothing"/>
      <w:lvlText w:val="（%1）"/>
      <w:lvlJc w:val="left"/>
      <w:pPr>
        <w:tabs>
          <w:tab w:val="left" w:pos="0"/>
        </w:tabs>
        <w:ind w:left="454" w:leftChars="0" w:hanging="454" w:firstLineChars="0"/>
      </w:pPr>
      <w:rPr>
        <w:rFonts w:hint="default" w:ascii="宋体" w:hAnsi="宋体" w:eastAsia="宋体" w:cs="宋体"/>
      </w:rPr>
    </w:lvl>
  </w:abstractNum>
  <w:abstractNum w:abstractNumId="46">
    <w:nsid w:val="0D813015"/>
    <w:multiLevelType w:val="singleLevel"/>
    <w:tmpl w:val="0D813015"/>
    <w:lvl w:ilvl="0" w:tentative="0">
      <w:start w:val="1"/>
      <w:numFmt w:val="decimal"/>
      <w:suff w:val="nothing"/>
      <w:lvlText w:val="%1．"/>
      <w:lvlJc w:val="left"/>
      <w:pPr>
        <w:ind w:left="0" w:firstLine="400"/>
      </w:pPr>
      <w:rPr>
        <w:rFonts w:hint="default"/>
      </w:rPr>
    </w:lvl>
  </w:abstractNum>
  <w:abstractNum w:abstractNumId="47">
    <w:nsid w:val="0E5298A9"/>
    <w:multiLevelType w:val="singleLevel"/>
    <w:tmpl w:val="0E5298A9"/>
    <w:lvl w:ilvl="0" w:tentative="0">
      <w:start w:val="1"/>
      <w:numFmt w:val="chineseCounting"/>
      <w:suff w:val="nothing"/>
      <w:lvlText w:val="%1、"/>
      <w:lvlJc w:val="left"/>
      <w:pPr>
        <w:ind w:left="0" w:firstLine="420"/>
      </w:pPr>
      <w:rPr>
        <w:rFonts w:hint="eastAsia"/>
      </w:rPr>
    </w:lvl>
  </w:abstractNum>
  <w:abstractNum w:abstractNumId="48">
    <w:nsid w:val="0EA91F6C"/>
    <w:multiLevelType w:val="multilevel"/>
    <w:tmpl w:val="0EA91F6C"/>
    <w:lvl w:ilvl="0" w:tentative="0">
      <w:start w:val="1"/>
      <w:numFmt w:val="decimal"/>
      <w:suff w:val="space"/>
      <w:lvlText w:val="第%1章"/>
      <w:lvlJc w:val="left"/>
      <w:pPr>
        <w:ind w:left="851" w:firstLine="0"/>
      </w:pPr>
      <w:rPr>
        <w:rFonts w:hint="default" w:ascii="Times New Roman" w:hAnsi="Times New Roman" w:cs="Times New Roman"/>
        <w:b w:val="0"/>
        <w:bCs w:val="0"/>
        <w:i w:val="0"/>
        <w:iCs w:val="0"/>
        <w:caps w:val="0"/>
        <w:smallCaps w:val="0"/>
        <w:strike w:val="0"/>
        <w:dstrike w:val="0"/>
        <w:vanish w:val="0"/>
        <w:spacing w:val="0"/>
        <w:kern w:val="0"/>
        <w:position w:val="0"/>
        <w:u w:val="none"/>
        <w:vertAlign w:val="baseline"/>
      </w:rPr>
    </w:lvl>
    <w:lvl w:ilvl="1" w:tentative="0">
      <w:start w:val="1"/>
      <w:numFmt w:val="decimal"/>
      <w:pStyle w:val="40"/>
      <w:suff w:val="space"/>
      <w:lvlText w:val="%1.%2"/>
      <w:lvlJc w:val="left"/>
      <w:pPr>
        <w:ind w:left="851" w:firstLine="0"/>
      </w:pPr>
      <w:rPr>
        <w:rFonts w:hint="default" w:ascii="Times New Roman" w:hAnsi="Times New Roman"/>
        <w:sz w:val="36"/>
        <w:szCs w:val="36"/>
      </w:rPr>
    </w:lvl>
    <w:lvl w:ilvl="2" w:tentative="0">
      <w:start w:val="1"/>
      <w:numFmt w:val="decimal"/>
      <w:pStyle w:val="41"/>
      <w:suff w:val="space"/>
      <w:lvlText w:val="%1.%2.%3"/>
      <w:lvlJc w:val="left"/>
      <w:pPr>
        <w:ind w:left="3885" w:firstLine="0"/>
      </w:pPr>
      <w:rPr>
        <w:rFonts w:hint="eastAsia"/>
        <w:b/>
        <w:bCs w:val="0"/>
        <w:i w:val="0"/>
        <w:iCs w:val="0"/>
        <w:caps w:val="0"/>
        <w:smallCaps w:val="0"/>
        <w:strike w:val="0"/>
        <w:dstrike w:val="0"/>
        <w:vanish w:val="0"/>
        <w:spacing w:val="0"/>
        <w:position w:val="0"/>
        <w:u w:val="none"/>
        <w:vertAlign w:val="baseline"/>
        <w:lang w:val="en-US"/>
      </w:rPr>
    </w:lvl>
    <w:lvl w:ilvl="3" w:tentative="0">
      <w:start w:val="1"/>
      <w:numFmt w:val="decimal"/>
      <w:pStyle w:val="42"/>
      <w:suff w:val="space"/>
      <w:lvlText w:val="%1.%2.%3.%4"/>
      <w:lvlJc w:val="left"/>
      <w:pPr>
        <w:ind w:left="851" w:firstLine="0"/>
      </w:pPr>
      <w:rPr>
        <w:rFonts w:hint="eastAsia"/>
      </w:rPr>
    </w:lvl>
    <w:lvl w:ilvl="4" w:tentative="0">
      <w:start w:val="1"/>
      <w:numFmt w:val="decimal"/>
      <w:lvlRestart w:val="1"/>
      <w:suff w:val="space"/>
      <w:lvlText w:val="图%1-%5"/>
      <w:lvlJc w:val="left"/>
      <w:pPr>
        <w:ind w:left="851" w:firstLine="0"/>
      </w:pPr>
      <w:rPr>
        <w:rFonts w:hint="default" w:ascii="Times New Roman" w:hAnsi="Times New Roman" w:cs="Times New Roman"/>
      </w:rPr>
    </w:lvl>
    <w:lvl w:ilvl="5" w:tentative="0">
      <w:start w:val="1"/>
      <w:numFmt w:val="decimal"/>
      <w:lvlRestart w:val="1"/>
      <w:pStyle w:val="43"/>
      <w:suff w:val="space"/>
      <w:lvlText w:val="表%1-%6"/>
      <w:lvlJc w:val="left"/>
      <w:pPr>
        <w:ind w:left="1843" w:firstLine="0"/>
      </w:pPr>
      <w:rPr>
        <w:rFonts w:hint="default" w:ascii="Times New Roman" w:hAnsi="Times New Roman" w:eastAsia="宋体" w:cs="Times New Roman"/>
        <w:sz w:val="24"/>
        <w:lang w:val="en-US"/>
      </w:rPr>
    </w:lvl>
    <w:lvl w:ilvl="6" w:tentative="0">
      <w:start w:val="1"/>
      <w:numFmt w:val="decimal"/>
      <w:lvlText w:val="%1.%2.%3.%4.%5.%6.%7"/>
      <w:lvlJc w:val="left"/>
      <w:pPr>
        <w:tabs>
          <w:tab w:val="left" w:pos="1276"/>
        </w:tabs>
        <w:ind w:left="851" w:firstLine="0"/>
      </w:pPr>
      <w:rPr>
        <w:rFonts w:hint="eastAsia"/>
      </w:rPr>
    </w:lvl>
    <w:lvl w:ilvl="7" w:tentative="0">
      <w:start w:val="1"/>
      <w:numFmt w:val="decimal"/>
      <w:lvlText w:val="%1.%2.%3.%4.%5.%6.%7.%8"/>
      <w:lvlJc w:val="left"/>
      <w:pPr>
        <w:tabs>
          <w:tab w:val="left" w:pos="1276"/>
        </w:tabs>
        <w:ind w:left="851" w:firstLine="0"/>
      </w:pPr>
      <w:rPr>
        <w:rFonts w:hint="eastAsia"/>
      </w:rPr>
    </w:lvl>
    <w:lvl w:ilvl="8" w:tentative="0">
      <w:start w:val="1"/>
      <w:numFmt w:val="decimal"/>
      <w:lvlText w:val="%1.%2.%3.%4.%5.%6.%7.%8.%9"/>
      <w:lvlJc w:val="left"/>
      <w:pPr>
        <w:tabs>
          <w:tab w:val="left" w:pos="1276"/>
        </w:tabs>
        <w:ind w:left="851" w:firstLine="0"/>
      </w:pPr>
      <w:rPr>
        <w:rFonts w:hint="eastAsia"/>
      </w:rPr>
    </w:lvl>
  </w:abstractNum>
  <w:abstractNum w:abstractNumId="49">
    <w:nsid w:val="115A1BDC"/>
    <w:multiLevelType w:val="singleLevel"/>
    <w:tmpl w:val="115A1BDC"/>
    <w:lvl w:ilvl="0" w:tentative="0">
      <w:start w:val="1"/>
      <w:numFmt w:val="decimal"/>
      <w:suff w:val="nothing"/>
      <w:lvlText w:val="%1．"/>
      <w:lvlJc w:val="left"/>
      <w:pPr>
        <w:ind w:left="0" w:firstLine="400"/>
      </w:pPr>
      <w:rPr>
        <w:rFonts w:hint="default"/>
      </w:rPr>
    </w:lvl>
  </w:abstractNum>
  <w:abstractNum w:abstractNumId="50">
    <w:nsid w:val="15035C27"/>
    <w:multiLevelType w:val="singleLevel"/>
    <w:tmpl w:val="15035C27"/>
    <w:lvl w:ilvl="0" w:tentative="0">
      <w:start w:val="1"/>
      <w:numFmt w:val="decimal"/>
      <w:suff w:val="nothing"/>
      <w:lvlText w:val="%1．"/>
      <w:lvlJc w:val="left"/>
      <w:pPr>
        <w:ind w:left="0" w:firstLine="400"/>
      </w:pPr>
      <w:rPr>
        <w:rFonts w:hint="default"/>
      </w:rPr>
    </w:lvl>
  </w:abstractNum>
  <w:abstractNum w:abstractNumId="51">
    <w:nsid w:val="15F24FA8"/>
    <w:multiLevelType w:val="singleLevel"/>
    <w:tmpl w:val="15F24FA8"/>
    <w:lvl w:ilvl="0" w:tentative="0">
      <w:start w:val="1"/>
      <w:numFmt w:val="decimal"/>
      <w:suff w:val="nothing"/>
      <w:lvlText w:val="%1．"/>
      <w:lvlJc w:val="left"/>
      <w:pPr>
        <w:ind w:left="0" w:firstLine="400"/>
      </w:pPr>
      <w:rPr>
        <w:rFonts w:hint="default"/>
      </w:rPr>
    </w:lvl>
  </w:abstractNum>
  <w:abstractNum w:abstractNumId="52">
    <w:nsid w:val="1FA734F4"/>
    <w:multiLevelType w:val="singleLevel"/>
    <w:tmpl w:val="1FA734F4"/>
    <w:lvl w:ilvl="0" w:tentative="0">
      <w:start w:val="1"/>
      <w:numFmt w:val="decimal"/>
      <w:suff w:val="nothing"/>
      <w:lvlText w:val="%1"/>
      <w:lvlJc w:val="left"/>
      <w:pPr>
        <w:ind w:left="0" w:firstLine="397"/>
      </w:pPr>
      <w:rPr>
        <w:rFonts w:hint="default"/>
      </w:rPr>
    </w:lvl>
  </w:abstractNum>
  <w:abstractNum w:abstractNumId="53">
    <w:nsid w:val="2268BC24"/>
    <w:multiLevelType w:val="singleLevel"/>
    <w:tmpl w:val="2268BC24"/>
    <w:lvl w:ilvl="0" w:tentative="0">
      <w:start w:val="1"/>
      <w:numFmt w:val="chineseCounting"/>
      <w:suff w:val="nothing"/>
      <w:lvlText w:val="%1、"/>
      <w:lvlJc w:val="left"/>
      <w:pPr>
        <w:ind w:left="0" w:firstLine="420"/>
      </w:pPr>
      <w:rPr>
        <w:rFonts w:hint="eastAsia"/>
      </w:rPr>
    </w:lvl>
  </w:abstractNum>
  <w:abstractNum w:abstractNumId="54">
    <w:nsid w:val="2295E68B"/>
    <w:multiLevelType w:val="singleLevel"/>
    <w:tmpl w:val="2295E68B"/>
    <w:lvl w:ilvl="0" w:tentative="0">
      <w:start w:val="1"/>
      <w:numFmt w:val="decimal"/>
      <w:suff w:val="nothing"/>
      <w:lvlText w:val="%1．"/>
      <w:lvlJc w:val="left"/>
      <w:pPr>
        <w:ind w:left="0" w:firstLine="400"/>
      </w:pPr>
      <w:rPr>
        <w:rFonts w:hint="default"/>
      </w:rPr>
    </w:lvl>
  </w:abstractNum>
  <w:abstractNum w:abstractNumId="55">
    <w:nsid w:val="2AE393DD"/>
    <w:multiLevelType w:val="singleLevel"/>
    <w:tmpl w:val="2AE393DD"/>
    <w:lvl w:ilvl="0" w:tentative="0">
      <w:start w:val="1"/>
      <w:numFmt w:val="decimal"/>
      <w:suff w:val="nothing"/>
      <w:lvlText w:val="%1．"/>
      <w:lvlJc w:val="left"/>
      <w:pPr>
        <w:ind w:left="0" w:firstLine="400"/>
      </w:pPr>
      <w:rPr>
        <w:rFonts w:hint="default"/>
      </w:rPr>
    </w:lvl>
  </w:abstractNum>
  <w:abstractNum w:abstractNumId="56">
    <w:nsid w:val="2B0E7C48"/>
    <w:multiLevelType w:val="singleLevel"/>
    <w:tmpl w:val="2B0E7C48"/>
    <w:lvl w:ilvl="0" w:tentative="0">
      <w:start w:val="1"/>
      <w:numFmt w:val="chineseCounting"/>
      <w:suff w:val="nothing"/>
      <w:lvlText w:val="%1、"/>
      <w:lvlJc w:val="left"/>
      <w:pPr>
        <w:ind w:left="0" w:firstLine="420"/>
      </w:pPr>
      <w:rPr>
        <w:rFonts w:hint="eastAsia"/>
      </w:rPr>
    </w:lvl>
  </w:abstractNum>
  <w:abstractNum w:abstractNumId="57">
    <w:nsid w:val="3198471B"/>
    <w:multiLevelType w:val="singleLevel"/>
    <w:tmpl w:val="3198471B"/>
    <w:lvl w:ilvl="0" w:tentative="0">
      <w:start w:val="1"/>
      <w:numFmt w:val="decimal"/>
      <w:suff w:val="nothing"/>
      <w:lvlText w:val="%1."/>
      <w:lvlJc w:val="left"/>
      <w:pPr>
        <w:tabs>
          <w:tab w:val="left" w:pos="0"/>
        </w:tabs>
        <w:ind w:left="425" w:leftChars="0" w:hanging="425" w:firstLineChars="0"/>
      </w:pPr>
      <w:rPr>
        <w:rFonts w:hint="default" w:ascii="宋体" w:hAnsi="宋体" w:eastAsia="宋体" w:cs="宋体"/>
      </w:rPr>
    </w:lvl>
  </w:abstractNum>
  <w:abstractNum w:abstractNumId="58">
    <w:nsid w:val="3610D4B0"/>
    <w:multiLevelType w:val="singleLevel"/>
    <w:tmpl w:val="3610D4B0"/>
    <w:lvl w:ilvl="0" w:tentative="0">
      <w:start w:val="1"/>
      <w:numFmt w:val="decimal"/>
      <w:suff w:val="nothing"/>
      <w:lvlText w:val="%1."/>
      <w:lvlJc w:val="left"/>
      <w:pPr>
        <w:tabs>
          <w:tab w:val="left" w:pos="0"/>
        </w:tabs>
        <w:ind w:left="425" w:leftChars="0" w:hanging="425" w:firstLineChars="0"/>
      </w:pPr>
      <w:rPr>
        <w:rFonts w:hint="default" w:ascii="宋体" w:hAnsi="宋体" w:eastAsia="宋体" w:cs="宋体"/>
      </w:rPr>
    </w:lvl>
  </w:abstractNum>
  <w:abstractNum w:abstractNumId="59">
    <w:nsid w:val="37360685"/>
    <w:multiLevelType w:val="singleLevel"/>
    <w:tmpl w:val="37360685"/>
    <w:lvl w:ilvl="0" w:tentative="0">
      <w:start w:val="1"/>
      <w:numFmt w:val="decimal"/>
      <w:suff w:val="nothing"/>
      <w:lvlText w:val="%1．"/>
      <w:lvlJc w:val="left"/>
      <w:pPr>
        <w:ind w:left="0" w:firstLine="400"/>
      </w:pPr>
      <w:rPr>
        <w:rFonts w:hint="default"/>
      </w:rPr>
    </w:lvl>
  </w:abstractNum>
  <w:abstractNum w:abstractNumId="60">
    <w:nsid w:val="3D8CB5A5"/>
    <w:multiLevelType w:val="singleLevel"/>
    <w:tmpl w:val="3D8CB5A5"/>
    <w:lvl w:ilvl="0" w:tentative="0">
      <w:start w:val="1"/>
      <w:numFmt w:val="decimal"/>
      <w:suff w:val="nothing"/>
      <w:lvlText w:val="%1．"/>
      <w:lvlJc w:val="left"/>
      <w:pPr>
        <w:ind w:left="0" w:firstLine="400"/>
      </w:pPr>
      <w:rPr>
        <w:rFonts w:hint="default"/>
      </w:rPr>
    </w:lvl>
  </w:abstractNum>
  <w:abstractNum w:abstractNumId="61">
    <w:nsid w:val="41BD59C4"/>
    <w:multiLevelType w:val="singleLevel"/>
    <w:tmpl w:val="41BD59C4"/>
    <w:lvl w:ilvl="0" w:tentative="0">
      <w:start w:val="1"/>
      <w:numFmt w:val="decimal"/>
      <w:suff w:val="nothing"/>
      <w:lvlText w:val="%1）"/>
      <w:lvlJc w:val="left"/>
    </w:lvl>
  </w:abstractNum>
  <w:abstractNum w:abstractNumId="62">
    <w:nsid w:val="4486F208"/>
    <w:multiLevelType w:val="singleLevel"/>
    <w:tmpl w:val="4486F208"/>
    <w:lvl w:ilvl="0" w:tentative="0">
      <w:start w:val="1"/>
      <w:numFmt w:val="decimal"/>
      <w:suff w:val="nothing"/>
      <w:lvlText w:val="%1．"/>
      <w:lvlJc w:val="left"/>
      <w:pPr>
        <w:ind w:left="0" w:firstLine="400"/>
      </w:pPr>
      <w:rPr>
        <w:rFonts w:hint="default"/>
      </w:rPr>
    </w:lvl>
  </w:abstractNum>
  <w:abstractNum w:abstractNumId="63">
    <w:nsid w:val="47D096FD"/>
    <w:multiLevelType w:val="singleLevel"/>
    <w:tmpl w:val="47D096FD"/>
    <w:lvl w:ilvl="0" w:tentative="0">
      <w:start w:val="1"/>
      <w:numFmt w:val="decimal"/>
      <w:suff w:val="nothing"/>
      <w:lvlText w:val="%1．"/>
      <w:lvlJc w:val="left"/>
      <w:pPr>
        <w:ind w:left="0" w:firstLine="400"/>
      </w:pPr>
      <w:rPr>
        <w:rFonts w:hint="default"/>
      </w:rPr>
    </w:lvl>
  </w:abstractNum>
  <w:abstractNum w:abstractNumId="64">
    <w:nsid w:val="491157D4"/>
    <w:multiLevelType w:val="singleLevel"/>
    <w:tmpl w:val="491157D4"/>
    <w:lvl w:ilvl="0" w:tentative="0">
      <w:start w:val="1"/>
      <w:numFmt w:val="decimal"/>
      <w:suff w:val="nothing"/>
      <w:lvlText w:val="%1．"/>
      <w:lvlJc w:val="left"/>
      <w:pPr>
        <w:ind w:left="0" w:firstLine="400"/>
      </w:pPr>
      <w:rPr>
        <w:rFonts w:hint="default"/>
      </w:rPr>
    </w:lvl>
  </w:abstractNum>
  <w:abstractNum w:abstractNumId="65">
    <w:nsid w:val="4B4BA0C4"/>
    <w:multiLevelType w:val="singleLevel"/>
    <w:tmpl w:val="4B4BA0C4"/>
    <w:lvl w:ilvl="0" w:tentative="0">
      <w:start w:val="1"/>
      <w:numFmt w:val="decimal"/>
      <w:suff w:val="nothing"/>
      <w:lvlText w:val="（%1）"/>
      <w:lvlJc w:val="left"/>
      <w:rPr>
        <w:rFonts w:hint="default"/>
        <w:color w:val="auto"/>
      </w:rPr>
    </w:lvl>
  </w:abstractNum>
  <w:abstractNum w:abstractNumId="66">
    <w:nsid w:val="4E40C200"/>
    <w:multiLevelType w:val="singleLevel"/>
    <w:tmpl w:val="4E40C200"/>
    <w:lvl w:ilvl="0" w:tentative="0">
      <w:start w:val="1"/>
      <w:numFmt w:val="decimal"/>
      <w:suff w:val="nothing"/>
      <w:lvlText w:val="%1"/>
      <w:lvlJc w:val="left"/>
      <w:pPr>
        <w:ind w:left="0" w:firstLine="397"/>
      </w:pPr>
      <w:rPr>
        <w:rFonts w:hint="default"/>
      </w:rPr>
    </w:lvl>
  </w:abstractNum>
  <w:abstractNum w:abstractNumId="67">
    <w:nsid w:val="51225250"/>
    <w:multiLevelType w:val="singleLevel"/>
    <w:tmpl w:val="51225250"/>
    <w:lvl w:ilvl="0" w:tentative="0">
      <w:start w:val="1"/>
      <w:numFmt w:val="decimal"/>
      <w:suff w:val="nothing"/>
      <w:lvlText w:val="%1．"/>
      <w:lvlJc w:val="left"/>
      <w:pPr>
        <w:ind w:left="0" w:firstLine="400"/>
      </w:pPr>
      <w:rPr>
        <w:rFonts w:hint="default"/>
      </w:rPr>
    </w:lvl>
  </w:abstractNum>
  <w:abstractNum w:abstractNumId="68">
    <w:nsid w:val="54F64682"/>
    <w:multiLevelType w:val="singleLevel"/>
    <w:tmpl w:val="54F64682"/>
    <w:lvl w:ilvl="0" w:tentative="0">
      <w:start w:val="1"/>
      <w:numFmt w:val="decimalEnclosedCircleChinese"/>
      <w:suff w:val="nothing"/>
      <w:lvlText w:val="%1 "/>
      <w:lvlJc w:val="left"/>
      <w:pPr>
        <w:tabs>
          <w:tab w:val="left" w:pos="0"/>
        </w:tabs>
        <w:ind w:left="0" w:firstLine="397"/>
      </w:pPr>
      <w:rPr>
        <w:rFonts w:hint="eastAsia"/>
      </w:rPr>
    </w:lvl>
  </w:abstractNum>
  <w:abstractNum w:abstractNumId="69">
    <w:nsid w:val="5A611888"/>
    <w:multiLevelType w:val="singleLevel"/>
    <w:tmpl w:val="5A611888"/>
    <w:lvl w:ilvl="0" w:tentative="0">
      <w:start w:val="1"/>
      <w:numFmt w:val="decimal"/>
      <w:suff w:val="nothing"/>
      <w:lvlText w:val="%1."/>
      <w:lvlJc w:val="left"/>
      <w:pPr>
        <w:tabs>
          <w:tab w:val="left" w:pos="0"/>
        </w:tabs>
        <w:ind w:left="425" w:leftChars="0" w:hanging="425" w:firstLineChars="0"/>
      </w:pPr>
      <w:rPr>
        <w:rFonts w:hint="default" w:ascii="宋体" w:hAnsi="宋体" w:eastAsia="宋体" w:cs="宋体"/>
      </w:rPr>
    </w:lvl>
  </w:abstractNum>
  <w:abstractNum w:abstractNumId="70">
    <w:nsid w:val="5BF4B3DE"/>
    <w:multiLevelType w:val="singleLevel"/>
    <w:tmpl w:val="5BF4B3DE"/>
    <w:lvl w:ilvl="0" w:tentative="0">
      <w:start w:val="1"/>
      <w:numFmt w:val="decimal"/>
      <w:suff w:val="nothing"/>
      <w:lvlText w:val="（%1）"/>
      <w:lvlJc w:val="left"/>
      <w:pPr>
        <w:tabs>
          <w:tab w:val="left" w:pos="0"/>
        </w:tabs>
      </w:pPr>
      <w:rPr>
        <w:rFonts w:hint="default" w:ascii="宋体" w:hAnsi="宋体" w:eastAsia="宋体" w:cs="宋体"/>
      </w:rPr>
    </w:lvl>
  </w:abstractNum>
  <w:abstractNum w:abstractNumId="71">
    <w:nsid w:val="62EC13F1"/>
    <w:multiLevelType w:val="singleLevel"/>
    <w:tmpl w:val="62EC13F1"/>
    <w:lvl w:ilvl="0" w:tentative="0">
      <w:start w:val="1"/>
      <w:numFmt w:val="decimal"/>
      <w:suff w:val="nothing"/>
      <w:lvlText w:val="%1"/>
      <w:lvlJc w:val="left"/>
      <w:pPr>
        <w:ind w:left="0" w:firstLine="403"/>
      </w:pPr>
      <w:rPr>
        <w:rFonts w:hint="default"/>
      </w:rPr>
    </w:lvl>
  </w:abstractNum>
  <w:abstractNum w:abstractNumId="72">
    <w:nsid w:val="63374DAD"/>
    <w:multiLevelType w:val="singleLevel"/>
    <w:tmpl w:val="63374DAD"/>
    <w:lvl w:ilvl="0" w:tentative="0">
      <w:start w:val="1"/>
      <w:numFmt w:val="decimal"/>
      <w:suff w:val="nothing"/>
      <w:lvlText w:val="%1"/>
      <w:lvlJc w:val="left"/>
      <w:pPr>
        <w:ind w:left="0" w:firstLine="397"/>
      </w:pPr>
      <w:rPr>
        <w:rFonts w:hint="default"/>
      </w:rPr>
    </w:lvl>
  </w:abstractNum>
  <w:abstractNum w:abstractNumId="73">
    <w:nsid w:val="6AC781BA"/>
    <w:multiLevelType w:val="singleLevel"/>
    <w:tmpl w:val="6AC781BA"/>
    <w:lvl w:ilvl="0" w:tentative="0">
      <w:start w:val="1"/>
      <w:numFmt w:val="decimal"/>
      <w:suff w:val="nothing"/>
      <w:lvlText w:val="%1．"/>
      <w:lvlJc w:val="left"/>
      <w:pPr>
        <w:ind w:left="0" w:firstLine="400"/>
      </w:pPr>
      <w:rPr>
        <w:rFonts w:hint="default"/>
      </w:rPr>
    </w:lvl>
  </w:abstractNum>
  <w:abstractNum w:abstractNumId="74">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color w:val="auto"/>
        <w:sz w:val="21"/>
      </w:rPr>
    </w:lvl>
    <w:lvl w:ilvl="3" w:tentative="0">
      <w:start w:val="1"/>
      <w:numFmt w:val="decimal"/>
      <w:suff w:val="nothing"/>
      <w:lvlText w:val="%1%2.%3.%4　"/>
      <w:lvlJc w:val="left"/>
      <w:pPr>
        <w:ind w:left="0" w:firstLine="0"/>
      </w:pPr>
      <w:rPr>
        <w:rFonts w:hint="eastAsia" w:ascii="宋体" w:hAnsi="宋体" w:eastAsia="宋体"/>
        <w:b w:val="0"/>
        <w:i w:val="0"/>
        <w:sz w:val="21"/>
      </w:rPr>
    </w:lvl>
    <w:lvl w:ilvl="4" w:tentative="0">
      <w:start w:val="1"/>
      <w:numFmt w:val="decimal"/>
      <w:pStyle w:val="46"/>
      <w:suff w:val="nothing"/>
      <w:lvlText w:val="%1%2.%3.%4.%5　"/>
      <w:lvlJc w:val="left"/>
      <w:pPr>
        <w:ind w:left="1050" w:firstLine="0"/>
      </w:pPr>
      <w:rPr>
        <w:rFonts w:hint="eastAsia" w:ascii="黑体" w:hAnsi="Times New Roman" w:eastAsia="黑体"/>
        <w:b w:val="0"/>
        <w:i w:val="0"/>
        <w:sz w:val="21"/>
        <w:szCs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75">
    <w:nsid w:val="71528A46"/>
    <w:multiLevelType w:val="singleLevel"/>
    <w:tmpl w:val="71528A46"/>
    <w:lvl w:ilvl="0" w:tentative="0">
      <w:start w:val="1"/>
      <w:numFmt w:val="decimal"/>
      <w:suff w:val="nothing"/>
      <w:lvlText w:val="（%1）"/>
      <w:lvlJc w:val="left"/>
      <w:pPr>
        <w:tabs>
          <w:tab w:val="left" w:pos="397"/>
        </w:tabs>
        <w:ind w:left="454" w:leftChars="0" w:hanging="454" w:firstLineChars="0"/>
      </w:pPr>
      <w:rPr>
        <w:rFonts w:hint="default"/>
      </w:rPr>
    </w:lvl>
  </w:abstractNum>
  <w:abstractNum w:abstractNumId="76">
    <w:nsid w:val="750E7E4C"/>
    <w:multiLevelType w:val="singleLevel"/>
    <w:tmpl w:val="750E7E4C"/>
    <w:lvl w:ilvl="0" w:tentative="0">
      <w:start w:val="1"/>
      <w:numFmt w:val="decimal"/>
      <w:suff w:val="nothing"/>
      <w:lvlText w:val="%1．"/>
      <w:lvlJc w:val="left"/>
      <w:pPr>
        <w:ind w:left="0" w:firstLine="400"/>
      </w:pPr>
      <w:rPr>
        <w:rFonts w:hint="default"/>
      </w:rPr>
    </w:lvl>
  </w:abstractNum>
  <w:abstractNum w:abstractNumId="77">
    <w:nsid w:val="7E76A20D"/>
    <w:multiLevelType w:val="singleLevel"/>
    <w:tmpl w:val="7E76A20D"/>
    <w:lvl w:ilvl="0" w:tentative="0">
      <w:start w:val="1"/>
      <w:numFmt w:val="decimal"/>
      <w:suff w:val="nothing"/>
      <w:lvlText w:val="%1．"/>
      <w:lvlJc w:val="left"/>
      <w:pPr>
        <w:ind w:left="0" w:firstLine="400"/>
      </w:pPr>
      <w:rPr>
        <w:rFonts w:hint="default"/>
      </w:rPr>
    </w:lvl>
  </w:abstractNum>
  <w:num w:numId="1">
    <w:abstractNumId w:val="0"/>
  </w:num>
  <w:num w:numId="2">
    <w:abstractNumId w:val="7"/>
  </w:num>
  <w:num w:numId="3">
    <w:abstractNumId w:val="48"/>
  </w:num>
  <w:num w:numId="4">
    <w:abstractNumId w:val="74"/>
  </w:num>
  <w:num w:numId="5">
    <w:abstractNumId w:val="20"/>
  </w:num>
  <w:num w:numId="6">
    <w:abstractNumId w:val="69"/>
  </w:num>
  <w:num w:numId="7">
    <w:abstractNumId w:val="15"/>
  </w:num>
  <w:num w:numId="8">
    <w:abstractNumId w:val="44"/>
  </w:num>
  <w:num w:numId="9">
    <w:abstractNumId w:val="14"/>
  </w:num>
  <w:num w:numId="10">
    <w:abstractNumId w:val="58"/>
  </w:num>
  <w:num w:numId="11">
    <w:abstractNumId w:val="57"/>
  </w:num>
  <w:num w:numId="12">
    <w:abstractNumId w:val="62"/>
  </w:num>
  <w:num w:numId="13">
    <w:abstractNumId w:val="51"/>
  </w:num>
  <w:num w:numId="14">
    <w:abstractNumId w:val="13"/>
  </w:num>
  <w:num w:numId="15">
    <w:abstractNumId w:val="4"/>
  </w:num>
  <w:num w:numId="16">
    <w:abstractNumId w:val="60"/>
  </w:num>
  <w:num w:numId="17">
    <w:abstractNumId w:val="1"/>
  </w:num>
  <w:num w:numId="18">
    <w:abstractNumId w:val="68"/>
  </w:num>
  <w:num w:numId="19">
    <w:abstractNumId w:val="26"/>
  </w:num>
  <w:num w:numId="20">
    <w:abstractNumId w:val="33"/>
  </w:num>
  <w:num w:numId="21">
    <w:abstractNumId w:val="3"/>
  </w:num>
  <w:num w:numId="22">
    <w:abstractNumId w:val="28"/>
  </w:num>
  <w:num w:numId="23">
    <w:abstractNumId w:val="65"/>
  </w:num>
  <w:num w:numId="24">
    <w:abstractNumId w:val="63"/>
  </w:num>
  <w:num w:numId="25">
    <w:abstractNumId w:val="43"/>
  </w:num>
  <w:num w:numId="26">
    <w:abstractNumId w:val="18"/>
  </w:num>
  <w:num w:numId="27">
    <w:abstractNumId w:val="47"/>
  </w:num>
  <w:num w:numId="28">
    <w:abstractNumId w:val="46"/>
  </w:num>
  <w:num w:numId="29">
    <w:abstractNumId w:val="9"/>
  </w:num>
  <w:num w:numId="30">
    <w:abstractNumId w:val="25"/>
  </w:num>
  <w:num w:numId="31">
    <w:abstractNumId w:val="55"/>
  </w:num>
  <w:num w:numId="32">
    <w:abstractNumId w:val="6"/>
  </w:num>
  <w:num w:numId="33">
    <w:abstractNumId w:val="56"/>
  </w:num>
  <w:num w:numId="34">
    <w:abstractNumId w:val="22"/>
  </w:num>
  <w:num w:numId="35">
    <w:abstractNumId w:val="42"/>
  </w:num>
  <w:num w:numId="36">
    <w:abstractNumId w:val="10"/>
  </w:num>
  <w:num w:numId="37">
    <w:abstractNumId w:val="27"/>
  </w:num>
  <w:num w:numId="38">
    <w:abstractNumId w:val="32"/>
  </w:num>
  <w:num w:numId="39">
    <w:abstractNumId w:val="37"/>
  </w:num>
  <w:num w:numId="40">
    <w:abstractNumId w:val="75"/>
  </w:num>
  <w:num w:numId="41">
    <w:abstractNumId w:val="71"/>
  </w:num>
  <w:num w:numId="42">
    <w:abstractNumId w:val="34"/>
  </w:num>
  <w:num w:numId="43">
    <w:abstractNumId w:val="19"/>
  </w:num>
  <w:num w:numId="44">
    <w:abstractNumId w:val="23"/>
  </w:num>
  <w:num w:numId="45">
    <w:abstractNumId w:val="54"/>
  </w:num>
  <w:num w:numId="46">
    <w:abstractNumId w:val="41"/>
  </w:num>
  <w:num w:numId="47">
    <w:abstractNumId w:val="53"/>
  </w:num>
  <w:num w:numId="48">
    <w:abstractNumId w:val="16"/>
  </w:num>
  <w:num w:numId="49">
    <w:abstractNumId w:val="61"/>
  </w:num>
  <w:num w:numId="50">
    <w:abstractNumId w:val="67"/>
  </w:num>
  <w:num w:numId="51">
    <w:abstractNumId w:val="2"/>
  </w:num>
  <w:num w:numId="52">
    <w:abstractNumId w:val="50"/>
  </w:num>
  <w:num w:numId="53">
    <w:abstractNumId w:val="66"/>
  </w:num>
  <w:num w:numId="54">
    <w:abstractNumId w:val="31"/>
  </w:num>
  <w:num w:numId="55">
    <w:abstractNumId w:val="24"/>
  </w:num>
  <w:num w:numId="56">
    <w:abstractNumId w:val="72"/>
  </w:num>
  <w:num w:numId="57">
    <w:abstractNumId w:val="11"/>
  </w:num>
  <w:num w:numId="58">
    <w:abstractNumId w:val="38"/>
  </w:num>
  <w:num w:numId="59">
    <w:abstractNumId w:val="8"/>
  </w:num>
  <w:num w:numId="60">
    <w:abstractNumId w:val="40"/>
  </w:num>
  <w:num w:numId="61">
    <w:abstractNumId w:val="49"/>
  </w:num>
  <w:num w:numId="62">
    <w:abstractNumId w:val="17"/>
  </w:num>
  <w:num w:numId="63">
    <w:abstractNumId w:val="35"/>
  </w:num>
  <w:num w:numId="64">
    <w:abstractNumId w:val="39"/>
  </w:num>
  <w:num w:numId="65">
    <w:abstractNumId w:val="64"/>
  </w:num>
  <w:num w:numId="66">
    <w:abstractNumId w:val="29"/>
  </w:num>
  <w:num w:numId="67">
    <w:abstractNumId w:val="73"/>
  </w:num>
  <w:num w:numId="68">
    <w:abstractNumId w:val="77"/>
  </w:num>
  <w:num w:numId="69">
    <w:abstractNumId w:val="76"/>
  </w:num>
  <w:num w:numId="70">
    <w:abstractNumId w:val="70"/>
  </w:num>
  <w:num w:numId="71">
    <w:abstractNumId w:val="12"/>
  </w:num>
  <w:num w:numId="72">
    <w:abstractNumId w:val="45"/>
  </w:num>
  <w:num w:numId="73">
    <w:abstractNumId w:val="5"/>
  </w:num>
  <w:num w:numId="74">
    <w:abstractNumId w:val="52"/>
  </w:num>
  <w:num w:numId="75">
    <w:abstractNumId w:val="21"/>
  </w:num>
  <w:num w:numId="76">
    <w:abstractNumId w:val="30"/>
  </w:num>
  <w:num w:numId="77">
    <w:abstractNumId w:val="59"/>
  </w:num>
  <w:num w:numId="78">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2ZWMyNWY1YmQ3MDJiMTg2OGY1MTBmNzJjMTI4MzUifQ=="/>
  </w:docVars>
  <w:rsids>
    <w:rsidRoot w:val="689C7B98"/>
    <w:rsid w:val="00007D09"/>
    <w:rsid w:val="0022181C"/>
    <w:rsid w:val="002C4449"/>
    <w:rsid w:val="002C61F7"/>
    <w:rsid w:val="00456A25"/>
    <w:rsid w:val="00490B57"/>
    <w:rsid w:val="004D6899"/>
    <w:rsid w:val="005F65CD"/>
    <w:rsid w:val="006C570B"/>
    <w:rsid w:val="0087167F"/>
    <w:rsid w:val="00893649"/>
    <w:rsid w:val="00906786"/>
    <w:rsid w:val="00973FB8"/>
    <w:rsid w:val="00A42231"/>
    <w:rsid w:val="00A63796"/>
    <w:rsid w:val="00A67D58"/>
    <w:rsid w:val="00B20DF2"/>
    <w:rsid w:val="00B5443F"/>
    <w:rsid w:val="00B779A7"/>
    <w:rsid w:val="00C134E5"/>
    <w:rsid w:val="00C908AF"/>
    <w:rsid w:val="00D24FF0"/>
    <w:rsid w:val="00D743B5"/>
    <w:rsid w:val="00DC5E6F"/>
    <w:rsid w:val="00ED70C6"/>
    <w:rsid w:val="00FB62F5"/>
    <w:rsid w:val="00FC206D"/>
    <w:rsid w:val="01205D5C"/>
    <w:rsid w:val="01207B0A"/>
    <w:rsid w:val="012975A7"/>
    <w:rsid w:val="013730A5"/>
    <w:rsid w:val="014E7B83"/>
    <w:rsid w:val="01505F15"/>
    <w:rsid w:val="01521C8D"/>
    <w:rsid w:val="01521D9C"/>
    <w:rsid w:val="015B6D94"/>
    <w:rsid w:val="016D4D19"/>
    <w:rsid w:val="017B5688"/>
    <w:rsid w:val="0187402D"/>
    <w:rsid w:val="018C33F1"/>
    <w:rsid w:val="019127B6"/>
    <w:rsid w:val="01987FE8"/>
    <w:rsid w:val="01A62FC0"/>
    <w:rsid w:val="01B30191"/>
    <w:rsid w:val="01B32D76"/>
    <w:rsid w:val="01B34E22"/>
    <w:rsid w:val="01B36BD0"/>
    <w:rsid w:val="01B808F5"/>
    <w:rsid w:val="01D34B7C"/>
    <w:rsid w:val="01E46D89"/>
    <w:rsid w:val="01EA5991"/>
    <w:rsid w:val="02025461"/>
    <w:rsid w:val="0219028B"/>
    <w:rsid w:val="021F6013"/>
    <w:rsid w:val="02203B3A"/>
    <w:rsid w:val="02296E92"/>
    <w:rsid w:val="023870D5"/>
    <w:rsid w:val="023B4BA2"/>
    <w:rsid w:val="024211F3"/>
    <w:rsid w:val="024C76A6"/>
    <w:rsid w:val="02587777"/>
    <w:rsid w:val="02691984"/>
    <w:rsid w:val="026B3007"/>
    <w:rsid w:val="02792C24"/>
    <w:rsid w:val="027A149C"/>
    <w:rsid w:val="027F2F56"/>
    <w:rsid w:val="02832A46"/>
    <w:rsid w:val="02985DC6"/>
    <w:rsid w:val="02993083"/>
    <w:rsid w:val="02AD1871"/>
    <w:rsid w:val="02AE7397"/>
    <w:rsid w:val="02B20C36"/>
    <w:rsid w:val="02C866AB"/>
    <w:rsid w:val="02D54924"/>
    <w:rsid w:val="02E46D6A"/>
    <w:rsid w:val="02E9000B"/>
    <w:rsid w:val="02F254D6"/>
    <w:rsid w:val="0301396B"/>
    <w:rsid w:val="03070C1E"/>
    <w:rsid w:val="03127926"/>
    <w:rsid w:val="03133278"/>
    <w:rsid w:val="03195159"/>
    <w:rsid w:val="03232EF2"/>
    <w:rsid w:val="032633D2"/>
    <w:rsid w:val="032D650E"/>
    <w:rsid w:val="032F2286"/>
    <w:rsid w:val="03305FFE"/>
    <w:rsid w:val="03351867"/>
    <w:rsid w:val="03404D4A"/>
    <w:rsid w:val="0348159A"/>
    <w:rsid w:val="03522419"/>
    <w:rsid w:val="035E0DBD"/>
    <w:rsid w:val="036839EA"/>
    <w:rsid w:val="036A1510"/>
    <w:rsid w:val="03795884"/>
    <w:rsid w:val="038A570F"/>
    <w:rsid w:val="038F0F77"/>
    <w:rsid w:val="039447DF"/>
    <w:rsid w:val="03A762C0"/>
    <w:rsid w:val="03AF4BC2"/>
    <w:rsid w:val="03B22EB7"/>
    <w:rsid w:val="03B629A7"/>
    <w:rsid w:val="03C9092D"/>
    <w:rsid w:val="03E80687"/>
    <w:rsid w:val="03F434D0"/>
    <w:rsid w:val="04183873"/>
    <w:rsid w:val="041848F7"/>
    <w:rsid w:val="041D6583"/>
    <w:rsid w:val="043438CC"/>
    <w:rsid w:val="043560BB"/>
    <w:rsid w:val="043607A6"/>
    <w:rsid w:val="043A5387"/>
    <w:rsid w:val="04460CB5"/>
    <w:rsid w:val="04627CA9"/>
    <w:rsid w:val="046A3FD5"/>
    <w:rsid w:val="04780182"/>
    <w:rsid w:val="0489488C"/>
    <w:rsid w:val="049A5E25"/>
    <w:rsid w:val="049A7BD3"/>
    <w:rsid w:val="04A171B4"/>
    <w:rsid w:val="04AB4620"/>
    <w:rsid w:val="04B30C95"/>
    <w:rsid w:val="04B62533"/>
    <w:rsid w:val="04D330E5"/>
    <w:rsid w:val="04DB6245"/>
    <w:rsid w:val="05191440"/>
    <w:rsid w:val="051A0FB1"/>
    <w:rsid w:val="05245FDE"/>
    <w:rsid w:val="05281683"/>
    <w:rsid w:val="05283431"/>
    <w:rsid w:val="0534627A"/>
    <w:rsid w:val="053973EC"/>
    <w:rsid w:val="053F077B"/>
    <w:rsid w:val="054364BD"/>
    <w:rsid w:val="05545FD4"/>
    <w:rsid w:val="055C1A6C"/>
    <w:rsid w:val="055C757F"/>
    <w:rsid w:val="056F2E0E"/>
    <w:rsid w:val="057743B8"/>
    <w:rsid w:val="058762A2"/>
    <w:rsid w:val="05880374"/>
    <w:rsid w:val="05962A91"/>
    <w:rsid w:val="059C5BB5"/>
    <w:rsid w:val="05AC22B4"/>
    <w:rsid w:val="05B60A3D"/>
    <w:rsid w:val="05BD4057"/>
    <w:rsid w:val="05C80770"/>
    <w:rsid w:val="05CF5FA2"/>
    <w:rsid w:val="05E00D37"/>
    <w:rsid w:val="05E32002"/>
    <w:rsid w:val="05FB28F4"/>
    <w:rsid w:val="0616597F"/>
    <w:rsid w:val="062A31D9"/>
    <w:rsid w:val="062F371E"/>
    <w:rsid w:val="06304C93"/>
    <w:rsid w:val="063302DF"/>
    <w:rsid w:val="06345E06"/>
    <w:rsid w:val="063522A9"/>
    <w:rsid w:val="06361B7E"/>
    <w:rsid w:val="0639166E"/>
    <w:rsid w:val="063B3638"/>
    <w:rsid w:val="06437D2E"/>
    <w:rsid w:val="06446E14"/>
    <w:rsid w:val="06450013"/>
    <w:rsid w:val="06451DC1"/>
    <w:rsid w:val="064918B1"/>
    <w:rsid w:val="064F2C3F"/>
    <w:rsid w:val="064F49ED"/>
    <w:rsid w:val="06620BC5"/>
    <w:rsid w:val="066466EB"/>
    <w:rsid w:val="06710E08"/>
    <w:rsid w:val="06732DD2"/>
    <w:rsid w:val="067803E8"/>
    <w:rsid w:val="06793C68"/>
    <w:rsid w:val="067C415F"/>
    <w:rsid w:val="06840B3B"/>
    <w:rsid w:val="06856967"/>
    <w:rsid w:val="068723D9"/>
    <w:rsid w:val="06B64A6C"/>
    <w:rsid w:val="06BA455D"/>
    <w:rsid w:val="06BC02D5"/>
    <w:rsid w:val="06C947A0"/>
    <w:rsid w:val="06E923D2"/>
    <w:rsid w:val="06E92C54"/>
    <w:rsid w:val="06EE4206"/>
    <w:rsid w:val="06F21F49"/>
    <w:rsid w:val="06FE6B3F"/>
    <w:rsid w:val="07011E79"/>
    <w:rsid w:val="07035F04"/>
    <w:rsid w:val="070D4F0F"/>
    <w:rsid w:val="070E2AFA"/>
    <w:rsid w:val="07136138"/>
    <w:rsid w:val="071A4FFB"/>
    <w:rsid w:val="071D1D74"/>
    <w:rsid w:val="07203F7B"/>
    <w:rsid w:val="0728332C"/>
    <w:rsid w:val="072D11D3"/>
    <w:rsid w:val="074309F6"/>
    <w:rsid w:val="07434552"/>
    <w:rsid w:val="07507700"/>
    <w:rsid w:val="07564B9D"/>
    <w:rsid w:val="075A7AEE"/>
    <w:rsid w:val="076626E0"/>
    <w:rsid w:val="07697D31"/>
    <w:rsid w:val="076B5857"/>
    <w:rsid w:val="07754928"/>
    <w:rsid w:val="077566D6"/>
    <w:rsid w:val="077E1A2E"/>
    <w:rsid w:val="07846919"/>
    <w:rsid w:val="078D3A1F"/>
    <w:rsid w:val="079E79DA"/>
    <w:rsid w:val="07A31495"/>
    <w:rsid w:val="07B05960"/>
    <w:rsid w:val="07BE62CF"/>
    <w:rsid w:val="07CB4548"/>
    <w:rsid w:val="07CD4764"/>
    <w:rsid w:val="07D4164E"/>
    <w:rsid w:val="07D71CEE"/>
    <w:rsid w:val="07DB0C2F"/>
    <w:rsid w:val="07DB478B"/>
    <w:rsid w:val="07DF41E8"/>
    <w:rsid w:val="07EF6488"/>
    <w:rsid w:val="07F910B5"/>
    <w:rsid w:val="07FC0BA5"/>
    <w:rsid w:val="08036B98"/>
    <w:rsid w:val="081144B5"/>
    <w:rsid w:val="081952B3"/>
    <w:rsid w:val="08222CFF"/>
    <w:rsid w:val="082E7F45"/>
    <w:rsid w:val="082F2D28"/>
    <w:rsid w:val="08346591"/>
    <w:rsid w:val="083D5445"/>
    <w:rsid w:val="0849203C"/>
    <w:rsid w:val="084D31AF"/>
    <w:rsid w:val="085B1D6F"/>
    <w:rsid w:val="086A5B0F"/>
    <w:rsid w:val="086F75C9"/>
    <w:rsid w:val="08793FA4"/>
    <w:rsid w:val="087B3EA7"/>
    <w:rsid w:val="08803584"/>
    <w:rsid w:val="088968DD"/>
    <w:rsid w:val="08962DA7"/>
    <w:rsid w:val="08A454C4"/>
    <w:rsid w:val="08AF2F0D"/>
    <w:rsid w:val="08B36691"/>
    <w:rsid w:val="08B63BCD"/>
    <w:rsid w:val="08BF37EF"/>
    <w:rsid w:val="08CE24D2"/>
    <w:rsid w:val="08D86F1C"/>
    <w:rsid w:val="08F655F4"/>
    <w:rsid w:val="09075A53"/>
    <w:rsid w:val="09102B5A"/>
    <w:rsid w:val="0911242E"/>
    <w:rsid w:val="091B505B"/>
    <w:rsid w:val="09376339"/>
    <w:rsid w:val="093B7D14"/>
    <w:rsid w:val="095F13EB"/>
    <w:rsid w:val="09644C54"/>
    <w:rsid w:val="096609CC"/>
    <w:rsid w:val="098B0432"/>
    <w:rsid w:val="098C4068"/>
    <w:rsid w:val="099217C1"/>
    <w:rsid w:val="099B3566"/>
    <w:rsid w:val="09A454D4"/>
    <w:rsid w:val="09AD65FB"/>
    <w:rsid w:val="09B63701"/>
    <w:rsid w:val="09B86FBB"/>
    <w:rsid w:val="09BF1E8A"/>
    <w:rsid w:val="09C000DC"/>
    <w:rsid w:val="09D0001C"/>
    <w:rsid w:val="09EF6C13"/>
    <w:rsid w:val="0A0256BE"/>
    <w:rsid w:val="0A051F93"/>
    <w:rsid w:val="0A073F5D"/>
    <w:rsid w:val="0A171CC6"/>
    <w:rsid w:val="0A1E3055"/>
    <w:rsid w:val="0A2148F3"/>
    <w:rsid w:val="0A2A7C4B"/>
    <w:rsid w:val="0A2D3298"/>
    <w:rsid w:val="0A3B59B5"/>
    <w:rsid w:val="0A3E7253"/>
    <w:rsid w:val="0A453416"/>
    <w:rsid w:val="0A4A7D8E"/>
    <w:rsid w:val="0A503BA8"/>
    <w:rsid w:val="0A5C79E2"/>
    <w:rsid w:val="0A5D1DCF"/>
    <w:rsid w:val="0A6273E5"/>
    <w:rsid w:val="0A6749FB"/>
    <w:rsid w:val="0A6A631C"/>
    <w:rsid w:val="0A764C3F"/>
    <w:rsid w:val="0A7B4508"/>
    <w:rsid w:val="0A894972"/>
    <w:rsid w:val="0A984BB5"/>
    <w:rsid w:val="0AA04046"/>
    <w:rsid w:val="0AAE6186"/>
    <w:rsid w:val="0AB13EC9"/>
    <w:rsid w:val="0AC77248"/>
    <w:rsid w:val="0ACB4F8A"/>
    <w:rsid w:val="0AD61B81"/>
    <w:rsid w:val="0AE20526"/>
    <w:rsid w:val="0AF0679F"/>
    <w:rsid w:val="0B00275A"/>
    <w:rsid w:val="0B095AB3"/>
    <w:rsid w:val="0B187AA4"/>
    <w:rsid w:val="0B2B5A29"/>
    <w:rsid w:val="0B36617C"/>
    <w:rsid w:val="0B3D575C"/>
    <w:rsid w:val="0B434D0F"/>
    <w:rsid w:val="0B470389"/>
    <w:rsid w:val="0B494101"/>
    <w:rsid w:val="0B5D195B"/>
    <w:rsid w:val="0B5E4336"/>
    <w:rsid w:val="0B8415DD"/>
    <w:rsid w:val="0B9730BE"/>
    <w:rsid w:val="0B9C2483"/>
    <w:rsid w:val="0BA31A63"/>
    <w:rsid w:val="0BAA25B2"/>
    <w:rsid w:val="0BB04180"/>
    <w:rsid w:val="0BB27EF8"/>
    <w:rsid w:val="0BB73761"/>
    <w:rsid w:val="0BB974D9"/>
    <w:rsid w:val="0BC65752"/>
    <w:rsid w:val="0BCD088E"/>
    <w:rsid w:val="0BCD6AE0"/>
    <w:rsid w:val="0BD7170D"/>
    <w:rsid w:val="0BD75BB1"/>
    <w:rsid w:val="0BE1433A"/>
    <w:rsid w:val="0BEB340A"/>
    <w:rsid w:val="0BF95B27"/>
    <w:rsid w:val="0C032502"/>
    <w:rsid w:val="0C060244"/>
    <w:rsid w:val="0C1110C3"/>
    <w:rsid w:val="0C186C21"/>
    <w:rsid w:val="0C191D25"/>
    <w:rsid w:val="0C201306"/>
    <w:rsid w:val="0C2B3807"/>
    <w:rsid w:val="0C2C4B13"/>
    <w:rsid w:val="0C2D57D1"/>
    <w:rsid w:val="0C347167"/>
    <w:rsid w:val="0C415E2D"/>
    <w:rsid w:val="0C580AA0"/>
    <w:rsid w:val="0C710283"/>
    <w:rsid w:val="0C78454F"/>
    <w:rsid w:val="0C7D0506"/>
    <w:rsid w:val="0C7D1B65"/>
    <w:rsid w:val="0C871385"/>
    <w:rsid w:val="0C8B665C"/>
    <w:rsid w:val="0C925DD7"/>
    <w:rsid w:val="0C944AF3"/>
    <w:rsid w:val="0C9D4705"/>
    <w:rsid w:val="0CB41A4E"/>
    <w:rsid w:val="0CB85F35"/>
    <w:rsid w:val="0CC2416B"/>
    <w:rsid w:val="0CC35250"/>
    <w:rsid w:val="0CD21ED4"/>
    <w:rsid w:val="0CD43E9E"/>
    <w:rsid w:val="0CD5701B"/>
    <w:rsid w:val="0CD914B5"/>
    <w:rsid w:val="0CDB6FDB"/>
    <w:rsid w:val="0CF43409"/>
    <w:rsid w:val="0CFA3905"/>
    <w:rsid w:val="0D0429D6"/>
    <w:rsid w:val="0D056F00"/>
    <w:rsid w:val="0D0B3CD1"/>
    <w:rsid w:val="0D0E115E"/>
    <w:rsid w:val="0D12102E"/>
    <w:rsid w:val="0D221C54"/>
    <w:rsid w:val="0D2E35AF"/>
    <w:rsid w:val="0D407A1C"/>
    <w:rsid w:val="0D511939"/>
    <w:rsid w:val="0D576FA9"/>
    <w:rsid w:val="0D616980"/>
    <w:rsid w:val="0D755681"/>
    <w:rsid w:val="0D786F20"/>
    <w:rsid w:val="0D7A67F4"/>
    <w:rsid w:val="0D7B67C8"/>
    <w:rsid w:val="0D847672"/>
    <w:rsid w:val="0D991370"/>
    <w:rsid w:val="0DAB4BFF"/>
    <w:rsid w:val="0DB05DDA"/>
    <w:rsid w:val="0DB937C0"/>
    <w:rsid w:val="0DBA3AA3"/>
    <w:rsid w:val="0DBC6E0C"/>
    <w:rsid w:val="0DCB34F3"/>
    <w:rsid w:val="0DCE08EE"/>
    <w:rsid w:val="0DE545B5"/>
    <w:rsid w:val="0DF90060"/>
    <w:rsid w:val="0DFA16E3"/>
    <w:rsid w:val="0DFE11D3"/>
    <w:rsid w:val="0E012A71"/>
    <w:rsid w:val="0E032C8D"/>
    <w:rsid w:val="0E06174D"/>
    <w:rsid w:val="0E094DBA"/>
    <w:rsid w:val="0E1053AA"/>
    <w:rsid w:val="0E121122"/>
    <w:rsid w:val="0E150EA9"/>
    <w:rsid w:val="0E19600D"/>
    <w:rsid w:val="0E1A3B33"/>
    <w:rsid w:val="0E201044"/>
    <w:rsid w:val="0E2826F4"/>
    <w:rsid w:val="0E43308A"/>
    <w:rsid w:val="0E4532A6"/>
    <w:rsid w:val="0E4D215A"/>
    <w:rsid w:val="0E56100F"/>
    <w:rsid w:val="0E611762"/>
    <w:rsid w:val="0E682AF0"/>
    <w:rsid w:val="0E6A2D0C"/>
    <w:rsid w:val="0E6A6868"/>
    <w:rsid w:val="0E6F0323"/>
    <w:rsid w:val="0E72396F"/>
    <w:rsid w:val="0E737DEA"/>
    <w:rsid w:val="0E7C72FE"/>
    <w:rsid w:val="0E855450"/>
    <w:rsid w:val="0E8C2C83"/>
    <w:rsid w:val="0EB2020F"/>
    <w:rsid w:val="0EC57F43"/>
    <w:rsid w:val="0ED65CAC"/>
    <w:rsid w:val="0ED91C40"/>
    <w:rsid w:val="0EDA3444"/>
    <w:rsid w:val="0EDB782D"/>
    <w:rsid w:val="0F0F7410"/>
    <w:rsid w:val="0F144A26"/>
    <w:rsid w:val="0F152C78"/>
    <w:rsid w:val="0F19203C"/>
    <w:rsid w:val="0F1E0CF2"/>
    <w:rsid w:val="0F20786F"/>
    <w:rsid w:val="0F2F1860"/>
    <w:rsid w:val="0F340C24"/>
    <w:rsid w:val="0F3B0205"/>
    <w:rsid w:val="0F511725"/>
    <w:rsid w:val="0F56503F"/>
    <w:rsid w:val="0F6C4862"/>
    <w:rsid w:val="0F746D50"/>
    <w:rsid w:val="0F825E34"/>
    <w:rsid w:val="0F87344A"/>
    <w:rsid w:val="0F9718DF"/>
    <w:rsid w:val="0F985657"/>
    <w:rsid w:val="0FAD1102"/>
    <w:rsid w:val="0FAE09D7"/>
    <w:rsid w:val="0FCB1589"/>
    <w:rsid w:val="0FD06B9F"/>
    <w:rsid w:val="0FD20B69"/>
    <w:rsid w:val="0FDA7A1E"/>
    <w:rsid w:val="0FF00FEF"/>
    <w:rsid w:val="1001144E"/>
    <w:rsid w:val="10156CA8"/>
    <w:rsid w:val="10196798"/>
    <w:rsid w:val="10282537"/>
    <w:rsid w:val="103F3D25"/>
    <w:rsid w:val="1043306C"/>
    <w:rsid w:val="10433815"/>
    <w:rsid w:val="10507CE0"/>
    <w:rsid w:val="105C0433"/>
    <w:rsid w:val="1077526D"/>
    <w:rsid w:val="10857989"/>
    <w:rsid w:val="10861954"/>
    <w:rsid w:val="10932F52"/>
    <w:rsid w:val="109B4720"/>
    <w:rsid w:val="109C2F25"/>
    <w:rsid w:val="10A5002C"/>
    <w:rsid w:val="10B27056"/>
    <w:rsid w:val="10C57D90"/>
    <w:rsid w:val="10CF50A9"/>
    <w:rsid w:val="10D17073"/>
    <w:rsid w:val="10D73F5D"/>
    <w:rsid w:val="10DA5ED0"/>
    <w:rsid w:val="10E24DDC"/>
    <w:rsid w:val="10E34E12"/>
    <w:rsid w:val="10ED4953"/>
    <w:rsid w:val="10F20D97"/>
    <w:rsid w:val="10FB40F0"/>
    <w:rsid w:val="10FE1DB7"/>
    <w:rsid w:val="10FE598E"/>
    <w:rsid w:val="11034D52"/>
    <w:rsid w:val="1107646D"/>
    <w:rsid w:val="11082369"/>
    <w:rsid w:val="110A7E8F"/>
    <w:rsid w:val="11101BD9"/>
    <w:rsid w:val="111451B1"/>
    <w:rsid w:val="11160F29"/>
    <w:rsid w:val="111D56B5"/>
    <w:rsid w:val="112453F4"/>
    <w:rsid w:val="11254CC9"/>
    <w:rsid w:val="11327C27"/>
    <w:rsid w:val="115A7068"/>
    <w:rsid w:val="11603F53"/>
    <w:rsid w:val="117A5014"/>
    <w:rsid w:val="117D4B05"/>
    <w:rsid w:val="118440E5"/>
    <w:rsid w:val="1184586F"/>
    <w:rsid w:val="11845E93"/>
    <w:rsid w:val="118E286E"/>
    <w:rsid w:val="119360D6"/>
    <w:rsid w:val="119B4F8B"/>
    <w:rsid w:val="11A2456B"/>
    <w:rsid w:val="11A7392F"/>
    <w:rsid w:val="11A77DD3"/>
    <w:rsid w:val="11AE4CBE"/>
    <w:rsid w:val="11C049F1"/>
    <w:rsid w:val="11E76422"/>
    <w:rsid w:val="11EB233C"/>
    <w:rsid w:val="11EB7CC0"/>
    <w:rsid w:val="11FC3C7B"/>
    <w:rsid w:val="120C7C36"/>
    <w:rsid w:val="12137217"/>
    <w:rsid w:val="1225307D"/>
    <w:rsid w:val="12266F4A"/>
    <w:rsid w:val="12490E8B"/>
    <w:rsid w:val="12543AB7"/>
    <w:rsid w:val="12633CFA"/>
    <w:rsid w:val="1272218F"/>
    <w:rsid w:val="127C6B6A"/>
    <w:rsid w:val="1283614B"/>
    <w:rsid w:val="12900868"/>
    <w:rsid w:val="12902616"/>
    <w:rsid w:val="12A54313"/>
    <w:rsid w:val="12BA1309"/>
    <w:rsid w:val="12BC165D"/>
    <w:rsid w:val="12C30C3D"/>
    <w:rsid w:val="12C51E8E"/>
    <w:rsid w:val="12D75024"/>
    <w:rsid w:val="12F11306"/>
    <w:rsid w:val="12FC5EFD"/>
    <w:rsid w:val="12FD6C27"/>
    <w:rsid w:val="1303728B"/>
    <w:rsid w:val="13054DB2"/>
    <w:rsid w:val="13086650"/>
    <w:rsid w:val="130A061A"/>
    <w:rsid w:val="130C4392"/>
    <w:rsid w:val="131057F7"/>
    <w:rsid w:val="13143247"/>
    <w:rsid w:val="13166FBF"/>
    <w:rsid w:val="13217712"/>
    <w:rsid w:val="13253507"/>
    <w:rsid w:val="13286CF2"/>
    <w:rsid w:val="132D4308"/>
    <w:rsid w:val="13392CAD"/>
    <w:rsid w:val="133B65BB"/>
    <w:rsid w:val="134828C1"/>
    <w:rsid w:val="134C29E0"/>
    <w:rsid w:val="134D0507"/>
    <w:rsid w:val="134E37C3"/>
    <w:rsid w:val="13622204"/>
    <w:rsid w:val="13636DDD"/>
    <w:rsid w:val="136E0BA9"/>
    <w:rsid w:val="13700128"/>
    <w:rsid w:val="13781A27"/>
    <w:rsid w:val="137B32C6"/>
    <w:rsid w:val="138228A6"/>
    <w:rsid w:val="13936861"/>
    <w:rsid w:val="13946135"/>
    <w:rsid w:val="13AA7707"/>
    <w:rsid w:val="13B660AC"/>
    <w:rsid w:val="13CE33F5"/>
    <w:rsid w:val="13F647D2"/>
    <w:rsid w:val="13FA243C"/>
    <w:rsid w:val="141223BB"/>
    <w:rsid w:val="14175E9B"/>
    <w:rsid w:val="142B0848"/>
    <w:rsid w:val="142B6A9A"/>
    <w:rsid w:val="142C636E"/>
    <w:rsid w:val="142D2812"/>
    <w:rsid w:val="14302302"/>
    <w:rsid w:val="14345380"/>
    <w:rsid w:val="1441006B"/>
    <w:rsid w:val="14447B5C"/>
    <w:rsid w:val="144B7604"/>
    <w:rsid w:val="1457163D"/>
    <w:rsid w:val="14587163"/>
    <w:rsid w:val="145A2EDB"/>
    <w:rsid w:val="1461070D"/>
    <w:rsid w:val="146401FE"/>
    <w:rsid w:val="146975C2"/>
    <w:rsid w:val="146B0A58"/>
    <w:rsid w:val="146B333A"/>
    <w:rsid w:val="146E6986"/>
    <w:rsid w:val="147026FF"/>
    <w:rsid w:val="14733F9D"/>
    <w:rsid w:val="147F2942"/>
    <w:rsid w:val="148925A2"/>
    <w:rsid w:val="148961D9"/>
    <w:rsid w:val="14972381"/>
    <w:rsid w:val="14990155"/>
    <w:rsid w:val="149C1746"/>
    <w:rsid w:val="149F2FE4"/>
    <w:rsid w:val="14A625C4"/>
    <w:rsid w:val="14A95079"/>
    <w:rsid w:val="14AD3953"/>
    <w:rsid w:val="14B24AC5"/>
    <w:rsid w:val="14B71A8B"/>
    <w:rsid w:val="14B922F8"/>
    <w:rsid w:val="14C111AC"/>
    <w:rsid w:val="14C97064"/>
    <w:rsid w:val="14CB202B"/>
    <w:rsid w:val="14CE1717"/>
    <w:rsid w:val="14D233B9"/>
    <w:rsid w:val="14DC1B42"/>
    <w:rsid w:val="14DE58BA"/>
    <w:rsid w:val="14F74BCE"/>
    <w:rsid w:val="14FB4B72"/>
    <w:rsid w:val="15001ED4"/>
    <w:rsid w:val="150712B5"/>
    <w:rsid w:val="150B3A74"/>
    <w:rsid w:val="150C62BA"/>
    <w:rsid w:val="1516403F"/>
    <w:rsid w:val="15175270"/>
    <w:rsid w:val="152A6D51"/>
    <w:rsid w:val="152B4878"/>
    <w:rsid w:val="15431BC1"/>
    <w:rsid w:val="1544723A"/>
    <w:rsid w:val="15593193"/>
    <w:rsid w:val="155B33AF"/>
    <w:rsid w:val="15655FDB"/>
    <w:rsid w:val="156A1844"/>
    <w:rsid w:val="1571672E"/>
    <w:rsid w:val="15744470"/>
    <w:rsid w:val="15875F52"/>
    <w:rsid w:val="15A9411A"/>
    <w:rsid w:val="15B11221"/>
    <w:rsid w:val="15B42ABF"/>
    <w:rsid w:val="15B66837"/>
    <w:rsid w:val="15B825AF"/>
    <w:rsid w:val="15B8610B"/>
    <w:rsid w:val="15B91E83"/>
    <w:rsid w:val="15D13671"/>
    <w:rsid w:val="15E51DC4"/>
    <w:rsid w:val="15EA028F"/>
    <w:rsid w:val="16041350"/>
    <w:rsid w:val="1611769C"/>
    <w:rsid w:val="16247C45"/>
    <w:rsid w:val="16332386"/>
    <w:rsid w:val="163A1216"/>
    <w:rsid w:val="163A2FC4"/>
    <w:rsid w:val="16442095"/>
    <w:rsid w:val="164756E1"/>
    <w:rsid w:val="164D719B"/>
    <w:rsid w:val="16526560"/>
    <w:rsid w:val="1658169C"/>
    <w:rsid w:val="165C73DE"/>
    <w:rsid w:val="165E3AB9"/>
    <w:rsid w:val="16691AFB"/>
    <w:rsid w:val="16747AFF"/>
    <w:rsid w:val="167745A0"/>
    <w:rsid w:val="167C4682"/>
    <w:rsid w:val="168626AD"/>
    <w:rsid w:val="16895CFA"/>
    <w:rsid w:val="16985F3D"/>
    <w:rsid w:val="16A13043"/>
    <w:rsid w:val="16A36DBB"/>
    <w:rsid w:val="16A407CE"/>
    <w:rsid w:val="16A50D85"/>
    <w:rsid w:val="16AD6162"/>
    <w:rsid w:val="16AD7C3A"/>
    <w:rsid w:val="16B26FFE"/>
    <w:rsid w:val="16C86822"/>
    <w:rsid w:val="16EF2001"/>
    <w:rsid w:val="17035AAC"/>
    <w:rsid w:val="170A0BE8"/>
    <w:rsid w:val="17141A67"/>
    <w:rsid w:val="17163A31"/>
    <w:rsid w:val="171750B3"/>
    <w:rsid w:val="171F21BA"/>
    <w:rsid w:val="17214184"/>
    <w:rsid w:val="17262263"/>
    <w:rsid w:val="1729522A"/>
    <w:rsid w:val="172D25E9"/>
    <w:rsid w:val="17435EA8"/>
    <w:rsid w:val="17471728"/>
    <w:rsid w:val="174D31CB"/>
    <w:rsid w:val="17516817"/>
    <w:rsid w:val="175A3A4E"/>
    <w:rsid w:val="176127D3"/>
    <w:rsid w:val="176D1177"/>
    <w:rsid w:val="177B7D38"/>
    <w:rsid w:val="17822E75"/>
    <w:rsid w:val="17854713"/>
    <w:rsid w:val="17956FEA"/>
    <w:rsid w:val="17A518D1"/>
    <w:rsid w:val="17A80401"/>
    <w:rsid w:val="17C2010E"/>
    <w:rsid w:val="17C3523B"/>
    <w:rsid w:val="17C76AD9"/>
    <w:rsid w:val="17C84600"/>
    <w:rsid w:val="17CA65CA"/>
    <w:rsid w:val="17CF3BE0"/>
    <w:rsid w:val="17DD62FD"/>
    <w:rsid w:val="17EC4792"/>
    <w:rsid w:val="17F51899"/>
    <w:rsid w:val="180970F2"/>
    <w:rsid w:val="18243F2C"/>
    <w:rsid w:val="183323C1"/>
    <w:rsid w:val="18383533"/>
    <w:rsid w:val="183A72AB"/>
    <w:rsid w:val="18477C1A"/>
    <w:rsid w:val="184C777D"/>
    <w:rsid w:val="18506ACF"/>
    <w:rsid w:val="185A794E"/>
    <w:rsid w:val="185F31B6"/>
    <w:rsid w:val="186D58D3"/>
    <w:rsid w:val="18893BF4"/>
    <w:rsid w:val="188E3A9B"/>
    <w:rsid w:val="189746FE"/>
    <w:rsid w:val="18A1557C"/>
    <w:rsid w:val="18A1732B"/>
    <w:rsid w:val="18A706B9"/>
    <w:rsid w:val="18A86B5C"/>
    <w:rsid w:val="18A94431"/>
    <w:rsid w:val="18B057C0"/>
    <w:rsid w:val="18B2778A"/>
    <w:rsid w:val="18BA03EC"/>
    <w:rsid w:val="18C272A1"/>
    <w:rsid w:val="18CB43A7"/>
    <w:rsid w:val="18CD4A32"/>
    <w:rsid w:val="18DF42F7"/>
    <w:rsid w:val="18E1409A"/>
    <w:rsid w:val="18EA6F23"/>
    <w:rsid w:val="18EE62E8"/>
    <w:rsid w:val="18EF453A"/>
    <w:rsid w:val="18F2402A"/>
    <w:rsid w:val="190E24E6"/>
    <w:rsid w:val="1912117D"/>
    <w:rsid w:val="19137AFC"/>
    <w:rsid w:val="191A1955"/>
    <w:rsid w:val="19212219"/>
    <w:rsid w:val="193006AE"/>
    <w:rsid w:val="193725BE"/>
    <w:rsid w:val="19377C8F"/>
    <w:rsid w:val="193F4381"/>
    <w:rsid w:val="194A5C14"/>
    <w:rsid w:val="19566367"/>
    <w:rsid w:val="19573E8D"/>
    <w:rsid w:val="198509FA"/>
    <w:rsid w:val="198A4263"/>
    <w:rsid w:val="199724DC"/>
    <w:rsid w:val="199C7AF2"/>
    <w:rsid w:val="19AA220F"/>
    <w:rsid w:val="19AB10B5"/>
    <w:rsid w:val="19AC5F87"/>
    <w:rsid w:val="19B766A3"/>
    <w:rsid w:val="19C77265"/>
    <w:rsid w:val="19D454DE"/>
    <w:rsid w:val="19DD6BFF"/>
    <w:rsid w:val="19FD4BA6"/>
    <w:rsid w:val="19FD67E3"/>
    <w:rsid w:val="1A002777"/>
    <w:rsid w:val="1A143B2C"/>
    <w:rsid w:val="1A277D03"/>
    <w:rsid w:val="1A2F6BB8"/>
    <w:rsid w:val="1A381F10"/>
    <w:rsid w:val="1A3A17E5"/>
    <w:rsid w:val="1A411D4B"/>
    <w:rsid w:val="1A4563DB"/>
    <w:rsid w:val="1A5A57C4"/>
    <w:rsid w:val="1A685904"/>
    <w:rsid w:val="1A76380C"/>
    <w:rsid w:val="1A78230D"/>
    <w:rsid w:val="1A846F04"/>
    <w:rsid w:val="1A922994"/>
    <w:rsid w:val="1A965CA5"/>
    <w:rsid w:val="1AB71087"/>
    <w:rsid w:val="1AC612CA"/>
    <w:rsid w:val="1ADE4866"/>
    <w:rsid w:val="1AE16104"/>
    <w:rsid w:val="1AE9320B"/>
    <w:rsid w:val="1AF5395E"/>
    <w:rsid w:val="1AFC2F3E"/>
    <w:rsid w:val="1AFD2812"/>
    <w:rsid w:val="1B012302"/>
    <w:rsid w:val="1B122762"/>
    <w:rsid w:val="1B1E690C"/>
    <w:rsid w:val="1B244243"/>
    <w:rsid w:val="1B2E0C1E"/>
    <w:rsid w:val="1B2F50C2"/>
    <w:rsid w:val="1B334486"/>
    <w:rsid w:val="1B44299E"/>
    <w:rsid w:val="1B446693"/>
    <w:rsid w:val="1B811695"/>
    <w:rsid w:val="1B862808"/>
    <w:rsid w:val="1B8F790E"/>
    <w:rsid w:val="1B993A77"/>
    <w:rsid w:val="1B9A62B3"/>
    <w:rsid w:val="1BA710FC"/>
    <w:rsid w:val="1BA86C22"/>
    <w:rsid w:val="1BB043CA"/>
    <w:rsid w:val="1BB455C7"/>
    <w:rsid w:val="1BD143CB"/>
    <w:rsid w:val="1BD47A17"/>
    <w:rsid w:val="1BE0016A"/>
    <w:rsid w:val="1BF34341"/>
    <w:rsid w:val="1BF754B3"/>
    <w:rsid w:val="1C071B9A"/>
    <w:rsid w:val="1C1222ED"/>
    <w:rsid w:val="1C1C4F1A"/>
    <w:rsid w:val="1C202C5C"/>
    <w:rsid w:val="1C2A3ADB"/>
    <w:rsid w:val="1C2C33AF"/>
    <w:rsid w:val="1C3A1F70"/>
    <w:rsid w:val="1C3E30E2"/>
    <w:rsid w:val="1C450915"/>
    <w:rsid w:val="1C473F2F"/>
    <w:rsid w:val="1C4921B3"/>
    <w:rsid w:val="1C512E16"/>
    <w:rsid w:val="1C56042C"/>
    <w:rsid w:val="1C6074FD"/>
    <w:rsid w:val="1C6255AB"/>
    <w:rsid w:val="1C6C2FD5"/>
    <w:rsid w:val="1C6E1C1A"/>
    <w:rsid w:val="1C760ACE"/>
    <w:rsid w:val="1C7D608D"/>
    <w:rsid w:val="1C8E5E18"/>
    <w:rsid w:val="1C9039C8"/>
    <w:rsid w:val="1C913B5A"/>
    <w:rsid w:val="1C9D605B"/>
    <w:rsid w:val="1CA613B3"/>
    <w:rsid w:val="1CA76EDA"/>
    <w:rsid w:val="1CAA38EE"/>
    <w:rsid w:val="1CC224AF"/>
    <w:rsid w:val="1CC9781F"/>
    <w:rsid w:val="1CCB2BC8"/>
    <w:rsid w:val="1CE26164"/>
    <w:rsid w:val="1CE27F12"/>
    <w:rsid w:val="1CE4012E"/>
    <w:rsid w:val="1CF2284B"/>
    <w:rsid w:val="1CF531D7"/>
    <w:rsid w:val="1CF65475"/>
    <w:rsid w:val="1CFD28CA"/>
    <w:rsid w:val="1D04257E"/>
    <w:rsid w:val="1D085BCA"/>
    <w:rsid w:val="1D254A93"/>
    <w:rsid w:val="1D271DC8"/>
    <w:rsid w:val="1D305121"/>
    <w:rsid w:val="1D4535A2"/>
    <w:rsid w:val="1D4D284B"/>
    <w:rsid w:val="1D563EBD"/>
    <w:rsid w:val="1D566607"/>
    <w:rsid w:val="1D6152DA"/>
    <w:rsid w:val="1D634F4B"/>
    <w:rsid w:val="1D750D86"/>
    <w:rsid w:val="1D772D50"/>
    <w:rsid w:val="1D7F1C04"/>
    <w:rsid w:val="1D8E3BF5"/>
    <w:rsid w:val="1D9E02DC"/>
    <w:rsid w:val="1DBB0E8E"/>
    <w:rsid w:val="1DC13FCB"/>
    <w:rsid w:val="1DC43CB7"/>
    <w:rsid w:val="1DC60177"/>
    <w:rsid w:val="1DC7696E"/>
    <w:rsid w:val="1DCB4E4A"/>
    <w:rsid w:val="1DD106B2"/>
    <w:rsid w:val="1DD12460"/>
    <w:rsid w:val="1DD261D8"/>
    <w:rsid w:val="1DD5485E"/>
    <w:rsid w:val="1DD65CC8"/>
    <w:rsid w:val="1DE101C9"/>
    <w:rsid w:val="1DEE350E"/>
    <w:rsid w:val="1DEF6D8A"/>
    <w:rsid w:val="1DF60118"/>
    <w:rsid w:val="1DF75C3F"/>
    <w:rsid w:val="1DFB74DD"/>
    <w:rsid w:val="1E012619"/>
    <w:rsid w:val="1E0345E3"/>
    <w:rsid w:val="1E0740D4"/>
    <w:rsid w:val="1E0B5246"/>
    <w:rsid w:val="1E2118ED"/>
    <w:rsid w:val="1E2748E4"/>
    <w:rsid w:val="1E390005"/>
    <w:rsid w:val="1E480248"/>
    <w:rsid w:val="1E4F5A7B"/>
    <w:rsid w:val="1E592455"/>
    <w:rsid w:val="1E5B61CE"/>
    <w:rsid w:val="1E62057D"/>
    <w:rsid w:val="1E696B3C"/>
    <w:rsid w:val="1E6C1AD5"/>
    <w:rsid w:val="1E6E5F01"/>
    <w:rsid w:val="1E7601F6"/>
    <w:rsid w:val="1E7828DC"/>
    <w:rsid w:val="1E7E102B"/>
    <w:rsid w:val="1E83044C"/>
    <w:rsid w:val="1E876FC3"/>
    <w:rsid w:val="1E9F255E"/>
    <w:rsid w:val="1EA23DFC"/>
    <w:rsid w:val="1EA731C1"/>
    <w:rsid w:val="1EB51D82"/>
    <w:rsid w:val="1EB53B30"/>
    <w:rsid w:val="1EBF675C"/>
    <w:rsid w:val="1EC024D4"/>
    <w:rsid w:val="1ECB3353"/>
    <w:rsid w:val="1ECE074D"/>
    <w:rsid w:val="1EDA17E8"/>
    <w:rsid w:val="1EE066D3"/>
    <w:rsid w:val="1EEC5078"/>
    <w:rsid w:val="1EED5239"/>
    <w:rsid w:val="1EF81C6E"/>
    <w:rsid w:val="1F095C2A"/>
    <w:rsid w:val="1F354C71"/>
    <w:rsid w:val="1F356A1F"/>
    <w:rsid w:val="1F380351"/>
    <w:rsid w:val="1F3F5AEF"/>
    <w:rsid w:val="1F413615"/>
    <w:rsid w:val="1F4153C3"/>
    <w:rsid w:val="1F503858"/>
    <w:rsid w:val="1F5E5F75"/>
    <w:rsid w:val="1F5F584A"/>
    <w:rsid w:val="1F6043F4"/>
    <w:rsid w:val="1F6317DE"/>
    <w:rsid w:val="1F63358C"/>
    <w:rsid w:val="1F6966C8"/>
    <w:rsid w:val="1F707A57"/>
    <w:rsid w:val="1F893CCB"/>
    <w:rsid w:val="1F903C55"/>
    <w:rsid w:val="1F973235"/>
    <w:rsid w:val="1F9951FF"/>
    <w:rsid w:val="1FB060A5"/>
    <w:rsid w:val="1FD004F5"/>
    <w:rsid w:val="1FD3016F"/>
    <w:rsid w:val="1FF02946"/>
    <w:rsid w:val="1FFB37C4"/>
    <w:rsid w:val="200A1C59"/>
    <w:rsid w:val="201523AC"/>
    <w:rsid w:val="201C3E3A"/>
    <w:rsid w:val="202C354C"/>
    <w:rsid w:val="203E1903"/>
    <w:rsid w:val="205D622D"/>
    <w:rsid w:val="20697EB1"/>
    <w:rsid w:val="20745325"/>
    <w:rsid w:val="20783067"/>
    <w:rsid w:val="207E61A3"/>
    <w:rsid w:val="20825CA9"/>
    <w:rsid w:val="20831A0C"/>
    <w:rsid w:val="208D664A"/>
    <w:rsid w:val="208F03B0"/>
    <w:rsid w:val="209B6D55"/>
    <w:rsid w:val="20AF2801"/>
    <w:rsid w:val="20BB11A5"/>
    <w:rsid w:val="20BC2B62"/>
    <w:rsid w:val="20BD60A7"/>
    <w:rsid w:val="20D109C9"/>
    <w:rsid w:val="20EF0E4F"/>
    <w:rsid w:val="20F85F56"/>
    <w:rsid w:val="20FC3C98"/>
    <w:rsid w:val="20FD531A"/>
    <w:rsid w:val="20FF2B13"/>
    <w:rsid w:val="21006F29"/>
    <w:rsid w:val="21084CED"/>
    <w:rsid w:val="210C37AF"/>
    <w:rsid w:val="21154D5A"/>
    <w:rsid w:val="211865F8"/>
    <w:rsid w:val="211B1C44"/>
    <w:rsid w:val="212925B3"/>
    <w:rsid w:val="21313216"/>
    <w:rsid w:val="213845A4"/>
    <w:rsid w:val="214100E4"/>
    <w:rsid w:val="21521B0A"/>
    <w:rsid w:val="21556F04"/>
    <w:rsid w:val="215F5FD5"/>
    <w:rsid w:val="21635AC5"/>
    <w:rsid w:val="217D645B"/>
    <w:rsid w:val="21871088"/>
    <w:rsid w:val="218B0B78"/>
    <w:rsid w:val="219700B0"/>
    <w:rsid w:val="21A32365"/>
    <w:rsid w:val="21A34113"/>
    <w:rsid w:val="21B225A8"/>
    <w:rsid w:val="21B55946"/>
    <w:rsid w:val="21BF6A73"/>
    <w:rsid w:val="21C30312"/>
    <w:rsid w:val="21C4408A"/>
    <w:rsid w:val="21D20555"/>
    <w:rsid w:val="21D70261"/>
    <w:rsid w:val="21DA5E2F"/>
    <w:rsid w:val="21E604A4"/>
    <w:rsid w:val="21ED1832"/>
    <w:rsid w:val="21F11323"/>
    <w:rsid w:val="21F506E7"/>
    <w:rsid w:val="22034BB2"/>
    <w:rsid w:val="220A23E4"/>
    <w:rsid w:val="220F79FB"/>
    <w:rsid w:val="22192627"/>
    <w:rsid w:val="221F1FB0"/>
    <w:rsid w:val="222D60D3"/>
    <w:rsid w:val="223135C0"/>
    <w:rsid w:val="223B259E"/>
    <w:rsid w:val="223B434C"/>
    <w:rsid w:val="223C1E72"/>
    <w:rsid w:val="22407BB4"/>
    <w:rsid w:val="224D22D1"/>
    <w:rsid w:val="225F18C2"/>
    <w:rsid w:val="22602004"/>
    <w:rsid w:val="2268710B"/>
    <w:rsid w:val="22765384"/>
    <w:rsid w:val="228026A7"/>
    <w:rsid w:val="22883309"/>
    <w:rsid w:val="228D4F28"/>
    <w:rsid w:val="228E4DC3"/>
    <w:rsid w:val="22910410"/>
    <w:rsid w:val="22963C78"/>
    <w:rsid w:val="22A04AF7"/>
    <w:rsid w:val="22AC349C"/>
    <w:rsid w:val="22AF4D3A"/>
    <w:rsid w:val="22AF6AE8"/>
    <w:rsid w:val="22BB548D"/>
    <w:rsid w:val="22CF0F38"/>
    <w:rsid w:val="22D533BA"/>
    <w:rsid w:val="22DB5B2F"/>
    <w:rsid w:val="22DB78DD"/>
    <w:rsid w:val="22F17100"/>
    <w:rsid w:val="22F4099F"/>
    <w:rsid w:val="22F64717"/>
    <w:rsid w:val="22F97D63"/>
    <w:rsid w:val="22FB1D2D"/>
    <w:rsid w:val="231921B3"/>
    <w:rsid w:val="232E3EB1"/>
    <w:rsid w:val="23333275"/>
    <w:rsid w:val="233A4603"/>
    <w:rsid w:val="2342170A"/>
    <w:rsid w:val="234D2E95"/>
    <w:rsid w:val="23671992"/>
    <w:rsid w:val="23733FB9"/>
    <w:rsid w:val="23735D67"/>
    <w:rsid w:val="237864CF"/>
    <w:rsid w:val="237F295E"/>
    <w:rsid w:val="239301B8"/>
    <w:rsid w:val="23B343B6"/>
    <w:rsid w:val="23EB1DA2"/>
    <w:rsid w:val="23ED4386"/>
    <w:rsid w:val="23ED5B1A"/>
    <w:rsid w:val="23FE6FD1"/>
    <w:rsid w:val="24044C11"/>
    <w:rsid w:val="240D3AC6"/>
    <w:rsid w:val="240E783E"/>
    <w:rsid w:val="24155071"/>
    <w:rsid w:val="241C63FF"/>
    <w:rsid w:val="241F1A4B"/>
    <w:rsid w:val="24207C9D"/>
    <w:rsid w:val="242332EA"/>
    <w:rsid w:val="2426102C"/>
    <w:rsid w:val="242B219E"/>
    <w:rsid w:val="243C25FD"/>
    <w:rsid w:val="24415E66"/>
    <w:rsid w:val="244B45EE"/>
    <w:rsid w:val="24545B99"/>
    <w:rsid w:val="24577437"/>
    <w:rsid w:val="2460453E"/>
    <w:rsid w:val="24613E12"/>
    <w:rsid w:val="247104F9"/>
    <w:rsid w:val="24741D97"/>
    <w:rsid w:val="2480073C"/>
    <w:rsid w:val="24885842"/>
    <w:rsid w:val="248A15BB"/>
    <w:rsid w:val="24973CD7"/>
    <w:rsid w:val="24A3442A"/>
    <w:rsid w:val="24B6415E"/>
    <w:rsid w:val="24C0760F"/>
    <w:rsid w:val="24C148B0"/>
    <w:rsid w:val="24C745BD"/>
    <w:rsid w:val="24D34D10"/>
    <w:rsid w:val="24D97E4C"/>
    <w:rsid w:val="25034EC9"/>
    <w:rsid w:val="25140798"/>
    <w:rsid w:val="25270989"/>
    <w:rsid w:val="25290DD3"/>
    <w:rsid w:val="252F5CBE"/>
    <w:rsid w:val="25302162"/>
    <w:rsid w:val="253B703A"/>
    <w:rsid w:val="253D03DB"/>
    <w:rsid w:val="25423C43"/>
    <w:rsid w:val="256B13EC"/>
    <w:rsid w:val="256E0C2A"/>
    <w:rsid w:val="25733DFD"/>
    <w:rsid w:val="25781413"/>
    <w:rsid w:val="2584600A"/>
    <w:rsid w:val="25875AFA"/>
    <w:rsid w:val="25A4045A"/>
    <w:rsid w:val="25AE12D9"/>
    <w:rsid w:val="25B3069D"/>
    <w:rsid w:val="25C12DBA"/>
    <w:rsid w:val="25C61BC9"/>
    <w:rsid w:val="25CF537D"/>
    <w:rsid w:val="25DC5E46"/>
    <w:rsid w:val="25E46263"/>
    <w:rsid w:val="25F3318F"/>
    <w:rsid w:val="2604714B"/>
    <w:rsid w:val="26084E8D"/>
    <w:rsid w:val="260E3B25"/>
    <w:rsid w:val="264439EB"/>
    <w:rsid w:val="264834DB"/>
    <w:rsid w:val="264E03C6"/>
    <w:rsid w:val="264F6618"/>
    <w:rsid w:val="26671CD1"/>
    <w:rsid w:val="266A16A4"/>
    <w:rsid w:val="267A6BDE"/>
    <w:rsid w:val="267C3185"/>
    <w:rsid w:val="26897FC9"/>
    <w:rsid w:val="269E68EA"/>
    <w:rsid w:val="26A36964"/>
    <w:rsid w:val="26CB1A16"/>
    <w:rsid w:val="26D32036"/>
    <w:rsid w:val="26D46B1D"/>
    <w:rsid w:val="26D92385"/>
    <w:rsid w:val="26E46DBF"/>
    <w:rsid w:val="26E72CF4"/>
    <w:rsid w:val="26F7280B"/>
    <w:rsid w:val="27001336"/>
    <w:rsid w:val="27003DB6"/>
    <w:rsid w:val="271138CD"/>
    <w:rsid w:val="27277595"/>
    <w:rsid w:val="272A7D15"/>
    <w:rsid w:val="27343A60"/>
    <w:rsid w:val="273E043A"/>
    <w:rsid w:val="274041B2"/>
    <w:rsid w:val="27565784"/>
    <w:rsid w:val="2758774E"/>
    <w:rsid w:val="2771155C"/>
    <w:rsid w:val="277F2250"/>
    <w:rsid w:val="27870033"/>
    <w:rsid w:val="278F5766"/>
    <w:rsid w:val="27912C60"/>
    <w:rsid w:val="27914A0E"/>
    <w:rsid w:val="279664C8"/>
    <w:rsid w:val="27A42E52"/>
    <w:rsid w:val="27B30E28"/>
    <w:rsid w:val="27BB7CDD"/>
    <w:rsid w:val="27C13545"/>
    <w:rsid w:val="27C60B5C"/>
    <w:rsid w:val="27CE3D16"/>
    <w:rsid w:val="27FB2342"/>
    <w:rsid w:val="28013942"/>
    <w:rsid w:val="28081860"/>
    <w:rsid w:val="280E42B1"/>
    <w:rsid w:val="2818512F"/>
    <w:rsid w:val="282E04AF"/>
    <w:rsid w:val="283C2BCC"/>
    <w:rsid w:val="284E28FF"/>
    <w:rsid w:val="28506677"/>
    <w:rsid w:val="287C121A"/>
    <w:rsid w:val="287E1436"/>
    <w:rsid w:val="287F632E"/>
    <w:rsid w:val="288358DB"/>
    <w:rsid w:val="28884063"/>
    <w:rsid w:val="28885E11"/>
    <w:rsid w:val="2890116A"/>
    <w:rsid w:val="2893543A"/>
    <w:rsid w:val="28A91722"/>
    <w:rsid w:val="28B27332"/>
    <w:rsid w:val="28B5472C"/>
    <w:rsid w:val="28B65F3B"/>
    <w:rsid w:val="28C1379A"/>
    <w:rsid w:val="28C270C1"/>
    <w:rsid w:val="28D42E04"/>
    <w:rsid w:val="28D924D7"/>
    <w:rsid w:val="28EB043D"/>
    <w:rsid w:val="28EF5E90"/>
    <w:rsid w:val="28F6721F"/>
    <w:rsid w:val="28FA12B8"/>
    <w:rsid w:val="290A0F1C"/>
    <w:rsid w:val="291A1FE1"/>
    <w:rsid w:val="2920604A"/>
    <w:rsid w:val="29231730"/>
    <w:rsid w:val="292813A2"/>
    <w:rsid w:val="29362117"/>
    <w:rsid w:val="29387837"/>
    <w:rsid w:val="2940493E"/>
    <w:rsid w:val="29453D02"/>
    <w:rsid w:val="29477A7A"/>
    <w:rsid w:val="294A57BC"/>
    <w:rsid w:val="294C6E3F"/>
    <w:rsid w:val="294E705B"/>
    <w:rsid w:val="294F058D"/>
    <w:rsid w:val="294F4B81"/>
    <w:rsid w:val="29752839"/>
    <w:rsid w:val="29755A4F"/>
    <w:rsid w:val="298C76E3"/>
    <w:rsid w:val="298F1421"/>
    <w:rsid w:val="298F4F7D"/>
    <w:rsid w:val="298F765D"/>
    <w:rsid w:val="29916F47"/>
    <w:rsid w:val="29986B9A"/>
    <w:rsid w:val="299F1664"/>
    <w:rsid w:val="29A26457"/>
    <w:rsid w:val="29AD2653"/>
    <w:rsid w:val="29B57257"/>
    <w:rsid w:val="29B9024C"/>
    <w:rsid w:val="29C15A7E"/>
    <w:rsid w:val="29C27101"/>
    <w:rsid w:val="29C422B6"/>
    <w:rsid w:val="29C56BF1"/>
    <w:rsid w:val="29CA4207"/>
    <w:rsid w:val="29CC61D1"/>
    <w:rsid w:val="29D03951"/>
    <w:rsid w:val="29D05CC2"/>
    <w:rsid w:val="29D11A3A"/>
    <w:rsid w:val="29DB1DB9"/>
    <w:rsid w:val="29E17ECF"/>
    <w:rsid w:val="29E90B31"/>
    <w:rsid w:val="29E928DF"/>
    <w:rsid w:val="29E9541C"/>
    <w:rsid w:val="29F51284"/>
    <w:rsid w:val="29F64F1B"/>
    <w:rsid w:val="29F86FC6"/>
    <w:rsid w:val="2A0D0CC4"/>
    <w:rsid w:val="2A110088"/>
    <w:rsid w:val="2A202079"/>
    <w:rsid w:val="2A247DBB"/>
    <w:rsid w:val="2A257690"/>
    <w:rsid w:val="2A314286"/>
    <w:rsid w:val="2A391AB9"/>
    <w:rsid w:val="2A41271B"/>
    <w:rsid w:val="2A461AE0"/>
    <w:rsid w:val="2A482E16"/>
    <w:rsid w:val="2A50275B"/>
    <w:rsid w:val="2A53244F"/>
    <w:rsid w:val="2A5C1303"/>
    <w:rsid w:val="2A61691A"/>
    <w:rsid w:val="2A7614A8"/>
    <w:rsid w:val="2A8645D2"/>
    <w:rsid w:val="2A9071FF"/>
    <w:rsid w:val="2AA44A58"/>
    <w:rsid w:val="2AB0164F"/>
    <w:rsid w:val="2AB47391"/>
    <w:rsid w:val="2AB90504"/>
    <w:rsid w:val="2ABA427C"/>
    <w:rsid w:val="2ABE5B1A"/>
    <w:rsid w:val="2ACB46DB"/>
    <w:rsid w:val="2AED28A3"/>
    <w:rsid w:val="2B0379D1"/>
    <w:rsid w:val="2B163BA8"/>
    <w:rsid w:val="2B250428"/>
    <w:rsid w:val="2B285689"/>
    <w:rsid w:val="2B2D2CA0"/>
    <w:rsid w:val="2B367DA6"/>
    <w:rsid w:val="2B3B716B"/>
    <w:rsid w:val="2B430715"/>
    <w:rsid w:val="2B5873FA"/>
    <w:rsid w:val="2B5E6BAC"/>
    <w:rsid w:val="2B603075"/>
    <w:rsid w:val="2B632B65"/>
    <w:rsid w:val="2B870602"/>
    <w:rsid w:val="2B88437A"/>
    <w:rsid w:val="2B8F74B6"/>
    <w:rsid w:val="2B944ACD"/>
    <w:rsid w:val="2B9B40AD"/>
    <w:rsid w:val="2BB533C1"/>
    <w:rsid w:val="2BB70874"/>
    <w:rsid w:val="2BC25ADE"/>
    <w:rsid w:val="2BC41856"/>
    <w:rsid w:val="2BC52ED8"/>
    <w:rsid w:val="2BCA6741"/>
    <w:rsid w:val="2BDD0222"/>
    <w:rsid w:val="2BF57C61"/>
    <w:rsid w:val="2BF8505C"/>
    <w:rsid w:val="2BFA5278"/>
    <w:rsid w:val="2BFB2D9E"/>
    <w:rsid w:val="2C016606"/>
    <w:rsid w:val="2C043A01"/>
    <w:rsid w:val="2C0954BB"/>
    <w:rsid w:val="2C0C4FAB"/>
    <w:rsid w:val="2C1354E0"/>
    <w:rsid w:val="2C163734"/>
    <w:rsid w:val="2C1B0023"/>
    <w:rsid w:val="2C212804"/>
    <w:rsid w:val="2C471B3F"/>
    <w:rsid w:val="2C4B7881"/>
    <w:rsid w:val="2C566798"/>
    <w:rsid w:val="2C7C7A3B"/>
    <w:rsid w:val="2C8132A3"/>
    <w:rsid w:val="2CA64AB8"/>
    <w:rsid w:val="2CB2345D"/>
    <w:rsid w:val="2CC80EA6"/>
    <w:rsid w:val="2CCB0F80"/>
    <w:rsid w:val="2CCB35BD"/>
    <w:rsid w:val="2CCB6C14"/>
    <w:rsid w:val="2CED0939"/>
    <w:rsid w:val="2CF0667B"/>
    <w:rsid w:val="2CFA3055"/>
    <w:rsid w:val="2D012636"/>
    <w:rsid w:val="2D0363AE"/>
    <w:rsid w:val="2D0F08AF"/>
    <w:rsid w:val="2D0F6B01"/>
    <w:rsid w:val="2D122B7B"/>
    <w:rsid w:val="2D177764"/>
    <w:rsid w:val="2D214A86"/>
    <w:rsid w:val="2D2F7918"/>
    <w:rsid w:val="2D3C366E"/>
    <w:rsid w:val="2D452523"/>
    <w:rsid w:val="2D4A270F"/>
    <w:rsid w:val="2D4D13D7"/>
    <w:rsid w:val="2D55028C"/>
    <w:rsid w:val="2D5756EF"/>
    <w:rsid w:val="2D5B1D46"/>
    <w:rsid w:val="2D5C161A"/>
    <w:rsid w:val="2D5E5392"/>
    <w:rsid w:val="2D8A6187"/>
    <w:rsid w:val="2DB256DE"/>
    <w:rsid w:val="2DB476A8"/>
    <w:rsid w:val="2DB555A6"/>
    <w:rsid w:val="2DBB0A37"/>
    <w:rsid w:val="2DD13DB6"/>
    <w:rsid w:val="2DDB158D"/>
    <w:rsid w:val="2DE47F8D"/>
    <w:rsid w:val="2DF47AA5"/>
    <w:rsid w:val="2DFD104F"/>
    <w:rsid w:val="2DFE54A0"/>
    <w:rsid w:val="2E0A72C8"/>
    <w:rsid w:val="2E165C6D"/>
    <w:rsid w:val="2E2E1209"/>
    <w:rsid w:val="2E353013"/>
    <w:rsid w:val="2E383E35"/>
    <w:rsid w:val="2E3A195C"/>
    <w:rsid w:val="2E4245E2"/>
    <w:rsid w:val="2E494294"/>
    <w:rsid w:val="2E4C6C9D"/>
    <w:rsid w:val="2E4E643A"/>
    <w:rsid w:val="2E5607C3"/>
    <w:rsid w:val="2E56250D"/>
    <w:rsid w:val="2E5D1AEE"/>
    <w:rsid w:val="2E624B80"/>
    <w:rsid w:val="2E6450C4"/>
    <w:rsid w:val="2E64568A"/>
    <w:rsid w:val="2E6550BC"/>
    <w:rsid w:val="2E7F7CB6"/>
    <w:rsid w:val="2E8250B1"/>
    <w:rsid w:val="2E862DF3"/>
    <w:rsid w:val="2E874FAC"/>
    <w:rsid w:val="2E876B6B"/>
    <w:rsid w:val="2E8C4181"/>
    <w:rsid w:val="2EA15E7F"/>
    <w:rsid w:val="2EA27501"/>
    <w:rsid w:val="2EA80FBB"/>
    <w:rsid w:val="2EA8720D"/>
    <w:rsid w:val="2EBF4557"/>
    <w:rsid w:val="2EC15BD9"/>
    <w:rsid w:val="2EC353D0"/>
    <w:rsid w:val="2EDB1E4F"/>
    <w:rsid w:val="2EDC0C65"/>
    <w:rsid w:val="2EE10029"/>
    <w:rsid w:val="2EE3445A"/>
    <w:rsid w:val="2EE43FBD"/>
    <w:rsid w:val="2EEC3FC4"/>
    <w:rsid w:val="2F085084"/>
    <w:rsid w:val="2F10090E"/>
    <w:rsid w:val="2F1039AD"/>
    <w:rsid w:val="2F124686"/>
    <w:rsid w:val="2F177EEF"/>
    <w:rsid w:val="2F27737D"/>
    <w:rsid w:val="2F283EAA"/>
    <w:rsid w:val="2F307202"/>
    <w:rsid w:val="2F316B28"/>
    <w:rsid w:val="2F350375"/>
    <w:rsid w:val="2F3960B7"/>
    <w:rsid w:val="2F4963D7"/>
    <w:rsid w:val="2F4A02C4"/>
    <w:rsid w:val="2F4B5DEA"/>
    <w:rsid w:val="2F530AD9"/>
    <w:rsid w:val="2F5C352E"/>
    <w:rsid w:val="2F6E4AA5"/>
    <w:rsid w:val="2F6F7D2B"/>
    <w:rsid w:val="2F805A94"/>
    <w:rsid w:val="2F963509"/>
    <w:rsid w:val="2FA42714"/>
    <w:rsid w:val="2FA572A9"/>
    <w:rsid w:val="2FAF0127"/>
    <w:rsid w:val="2FB35E69"/>
    <w:rsid w:val="2FB92D54"/>
    <w:rsid w:val="2FB971F8"/>
    <w:rsid w:val="2FCA5E76"/>
    <w:rsid w:val="2FCA6D0F"/>
    <w:rsid w:val="2FCD45D0"/>
    <w:rsid w:val="2FCF4325"/>
    <w:rsid w:val="2FD302BA"/>
    <w:rsid w:val="2FDD2EE6"/>
    <w:rsid w:val="2FE51D9B"/>
    <w:rsid w:val="2FEF5771"/>
    <w:rsid w:val="2FF82472"/>
    <w:rsid w:val="30010B15"/>
    <w:rsid w:val="30030473"/>
    <w:rsid w:val="300F0BC6"/>
    <w:rsid w:val="3010043B"/>
    <w:rsid w:val="301B57BD"/>
    <w:rsid w:val="301D32E3"/>
    <w:rsid w:val="301D7787"/>
    <w:rsid w:val="30281C88"/>
    <w:rsid w:val="30296B80"/>
    <w:rsid w:val="303A20E7"/>
    <w:rsid w:val="303F76FD"/>
    <w:rsid w:val="30536D05"/>
    <w:rsid w:val="305B205D"/>
    <w:rsid w:val="306E3B3E"/>
    <w:rsid w:val="306E7FE2"/>
    <w:rsid w:val="30705B08"/>
    <w:rsid w:val="3071362F"/>
    <w:rsid w:val="307C561F"/>
    <w:rsid w:val="30816709"/>
    <w:rsid w:val="30837740"/>
    <w:rsid w:val="308F0A11"/>
    <w:rsid w:val="3095556F"/>
    <w:rsid w:val="30A069FD"/>
    <w:rsid w:val="30AA08EF"/>
    <w:rsid w:val="30AC28B9"/>
    <w:rsid w:val="30C9346B"/>
    <w:rsid w:val="30CF2A8B"/>
    <w:rsid w:val="30CF5567"/>
    <w:rsid w:val="30D75B88"/>
    <w:rsid w:val="30DD0CC4"/>
    <w:rsid w:val="30E81B43"/>
    <w:rsid w:val="30F524B2"/>
    <w:rsid w:val="30FE737F"/>
    <w:rsid w:val="31124E12"/>
    <w:rsid w:val="311741D6"/>
    <w:rsid w:val="312E32CE"/>
    <w:rsid w:val="314A45AB"/>
    <w:rsid w:val="31644F41"/>
    <w:rsid w:val="316867E0"/>
    <w:rsid w:val="31717AA4"/>
    <w:rsid w:val="31815C37"/>
    <w:rsid w:val="31884247"/>
    <w:rsid w:val="318A2BFA"/>
    <w:rsid w:val="318D26EA"/>
    <w:rsid w:val="319A36CA"/>
    <w:rsid w:val="31AF08B2"/>
    <w:rsid w:val="31B1462B"/>
    <w:rsid w:val="31CB6D6E"/>
    <w:rsid w:val="31CD6F8B"/>
    <w:rsid w:val="31DE2F46"/>
    <w:rsid w:val="31F14A27"/>
    <w:rsid w:val="31F44517"/>
    <w:rsid w:val="31F86E29"/>
    <w:rsid w:val="31FB3AF8"/>
    <w:rsid w:val="32081D71"/>
    <w:rsid w:val="320A3D3B"/>
    <w:rsid w:val="320C360F"/>
    <w:rsid w:val="32146851"/>
    <w:rsid w:val="32171FB4"/>
    <w:rsid w:val="321E3342"/>
    <w:rsid w:val="32236BAB"/>
    <w:rsid w:val="32285F6F"/>
    <w:rsid w:val="32340DB8"/>
    <w:rsid w:val="32341030"/>
    <w:rsid w:val="32375BEA"/>
    <w:rsid w:val="325B00F2"/>
    <w:rsid w:val="3260395B"/>
    <w:rsid w:val="3264344B"/>
    <w:rsid w:val="327A2C6E"/>
    <w:rsid w:val="327B69E7"/>
    <w:rsid w:val="327D62BB"/>
    <w:rsid w:val="32894C60"/>
    <w:rsid w:val="328C0BF4"/>
    <w:rsid w:val="328E7E27"/>
    <w:rsid w:val="328F64AB"/>
    <w:rsid w:val="32906693"/>
    <w:rsid w:val="329F4483"/>
    <w:rsid w:val="32A22223"/>
    <w:rsid w:val="32B141B6"/>
    <w:rsid w:val="32B51EF8"/>
    <w:rsid w:val="32BC0383"/>
    <w:rsid w:val="32BD0DAD"/>
    <w:rsid w:val="32C4038E"/>
    <w:rsid w:val="32C97752"/>
    <w:rsid w:val="32DF0D23"/>
    <w:rsid w:val="32EB3B6C"/>
    <w:rsid w:val="32F81DE5"/>
    <w:rsid w:val="32FC5B89"/>
    <w:rsid w:val="330662B0"/>
    <w:rsid w:val="330B1B18"/>
    <w:rsid w:val="33182487"/>
    <w:rsid w:val="331D184C"/>
    <w:rsid w:val="332E1CAB"/>
    <w:rsid w:val="332E3A59"/>
    <w:rsid w:val="33332E1D"/>
    <w:rsid w:val="33356A28"/>
    <w:rsid w:val="333948D8"/>
    <w:rsid w:val="335D7E9A"/>
    <w:rsid w:val="336B6A5B"/>
    <w:rsid w:val="336D4581"/>
    <w:rsid w:val="33792F26"/>
    <w:rsid w:val="33865643"/>
    <w:rsid w:val="339E0BDF"/>
    <w:rsid w:val="33A06705"/>
    <w:rsid w:val="33A917D3"/>
    <w:rsid w:val="33DE547F"/>
    <w:rsid w:val="33E12879"/>
    <w:rsid w:val="33EC7B9C"/>
    <w:rsid w:val="33F36709"/>
    <w:rsid w:val="33F66EF5"/>
    <w:rsid w:val="33F702EF"/>
    <w:rsid w:val="34012F1B"/>
    <w:rsid w:val="34030A42"/>
    <w:rsid w:val="340842AA"/>
    <w:rsid w:val="340F61F1"/>
    <w:rsid w:val="34127556"/>
    <w:rsid w:val="3444145C"/>
    <w:rsid w:val="344C063B"/>
    <w:rsid w:val="34532726"/>
    <w:rsid w:val="345B5F75"/>
    <w:rsid w:val="346A286F"/>
    <w:rsid w:val="34735BC7"/>
    <w:rsid w:val="34767465"/>
    <w:rsid w:val="347F2696"/>
    <w:rsid w:val="34840F47"/>
    <w:rsid w:val="348778C5"/>
    <w:rsid w:val="348A1163"/>
    <w:rsid w:val="348E47AF"/>
    <w:rsid w:val="34B32468"/>
    <w:rsid w:val="34BA51A1"/>
    <w:rsid w:val="34C12DD7"/>
    <w:rsid w:val="34C77CC1"/>
    <w:rsid w:val="34C957E7"/>
    <w:rsid w:val="34D523DE"/>
    <w:rsid w:val="34EB7E53"/>
    <w:rsid w:val="34EE524E"/>
    <w:rsid w:val="34F767F8"/>
    <w:rsid w:val="34FA1E45"/>
    <w:rsid w:val="34FA3C46"/>
    <w:rsid w:val="35123632"/>
    <w:rsid w:val="35156C7E"/>
    <w:rsid w:val="3529272A"/>
    <w:rsid w:val="352C2AEC"/>
    <w:rsid w:val="352E4421"/>
    <w:rsid w:val="353115DE"/>
    <w:rsid w:val="35724E1E"/>
    <w:rsid w:val="3575771D"/>
    <w:rsid w:val="359009FB"/>
    <w:rsid w:val="3599165E"/>
    <w:rsid w:val="35997239"/>
    <w:rsid w:val="35A16764"/>
    <w:rsid w:val="35A671D0"/>
    <w:rsid w:val="35B2271F"/>
    <w:rsid w:val="35C16E06"/>
    <w:rsid w:val="35C27A69"/>
    <w:rsid w:val="35C83CF1"/>
    <w:rsid w:val="35CB1A33"/>
    <w:rsid w:val="35D20B8C"/>
    <w:rsid w:val="35E825E5"/>
    <w:rsid w:val="35F25212"/>
    <w:rsid w:val="35F72828"/>
    <w:rsid w:val="35F745D6"/>
    <w:rsid w:val="35FE7713"/>
    <w:rsid w:val="36022605"/>
    <w:rsid w:val="361E7DB5"/>
    <w:rsid w:val="36213401"/>
    <w:rsid w:val="36342144"/>
    <w:rsid w:val="36354582"/>
    <w:rsid w:val="36372C24"/>
    <w:rsid w:val="363C023B"/>
    <w:rsid w:val="363E0457"/>
    <w:rsid w:val="36415851"/>
    <w:rsid w:val="364221DA"/>
    <w:rsid w:val="36455341"/>
    <w:rsid w:val="3652180C"/>
    <w:rsid w:val="36536C3D"/>
    <w:rsid w:val="365B2DB7"/>
    <w:rsid w:val="3660217B"/>
    <w:rsid w:val="3676374D"/>
    <w:rsid w:val="368A544A"/>
    <w:rsid w:val="368D0A96"/>
    <w:rsid w:val="369938DF"/>
    <w:rsid w:val="3699743B"/>
    <w:rsid w:val="36C46BAE"/>
    <w:rsid w:val="36CA5847"/>
    <w:rsid w:val="36D80A21"/>
    <w:rsid w:val="36DD557A"/>
    <w:rsid w:val="36E44B5A"/>
    <w:rsid w:val="36EC1C61"/>
    <w:rsid w:val="36EC7EB3"/>
    <w:rsid w:val="36F16B30"/>
    <w:rsid w:val="36F31241"/>
    <w:rsid w:val="36FC6914"/>
    <w:rsid w:val="36FD68C5"/>
    <w:rsid w:val="37023232"/>
    <w:rsid w:val="371F2AAC"/>
    <w:rsid w:val="37294C63"/>
    <w:rsid w:val="372B2789"/>
    <w:rsid w:val="37405B09"/>
    <w:rsid w:val="3744058D"/>
    <w:rsid w:val="37540F32"/>
    <w:rsid w:val="375909AC"/>
    <w:rsid w:val="375A12C0"/>
    <w:rsid w:val="37647A49"/>
    <w:rsid w:val="37797999"/>
    <w:rsid w:val="37895702"/>
    <w:rsid w:val="37985945"/>
    <w:rsid w:val="379C71E3"/>
    <w:rsid w:val="37AE2BEC"/>
    <w:rsid w:val="37C8447C"/>
    <w:rsid w:val="37CD1A92"/>
    <w:rsid w:val="37E40B8A"/>
    <w:rsid w:val="37E5366B"/>
    <w:rsid w:val="37FE39FA"/>
    <w:rsid w:val="38023568"/>
    <w:rsid w:val="38044D88"/>
    <w:rsid w:val="38080D1C"/>
    <w:rsid w:val="380A05F1"/>
    <w:rsid w:val="381A45AC"/>
    <w:rsid w:val="382D2531"/>
    <w:rsid w:val="38321542"/>
    <w:rsid w:val="3837300D"/>
    <w:rsid w:val="38390ED6"/>
    <w:rsid w:val="383D0856"/>
    <w:rsid w:val="38431D54"/>
    <w:rsid w:val="384A624F"/>
    <w:rsid w:val="384F24A7"/>
    <w:rsid w:val="38523D46"/>
    <w:rsid w:val="38543F62"/>
    <w:rsid w:val="386121DB"/>
    <w:rsid w:val="386677F1"/>
    <w:rsid w:val="38675A43"/>
    <w:rsid w:val="386C57D1"/>
    <w:rsid w:val="386F48F8"/>
    <w:rsid w:val="386F66A6"/>
    <w:rsid w:val="38702BA7"/>
    <w:rsid w:val="38710670"/>
    <w:rsid w:val="388163D9"/>
    <w:rsid w:val="38883C0B"/>
    <w:rsid w:val="388A7983"/>
    <w:rsid w:val="388D2FD0"/>
    <w:rsid w:val="3891772F"/>
    <w:rsid w:val="38966328"/>
    <w:rsid w:val="38BB18EB"/>
    <w:rsid w:val="38C033A5"/>
    <w:rsid w:val="38CA0C4A"/>
    <w:rsid w:val="38CA4224"/>
    <w:rsid w:val="38D1110E"/>
    <w:rsid w:val="38DD3F57"/>
    <w:rsid w:val="38EC7CF6"/>
    <w:rsid w:val="38ED3A6E"/>
    <w:rsid w:val="38F35529"/>
    <w:rsid w:val="38FD1F03"/>
    <w:rsid w:val="39007C46"/>
    <w:rsid w:val="3902576C"/>
    <w:rsid w:val="39167469"/>
    <w:rsid w:val="3922757D"/>
    <w:rsid w:val="39241B86"/>
    <w:rsid w:val="392C27E9"/>
    <w:rsid w:val="39525558"/>
    <w:rsid w:val="39567866"/>
    <w:rsid w:val="39677CC5"/>
    <w:rsid w:val="39777F08"/>
    <w:rsid w:val="397B107A"/>
    <w:rsid w:val="398E0DAD"/>
    <w:rsid w:val="399A59A4"/>
    <w:rsid w:val="39A405D1"/>
    <w:rsid w:val="39A700C1"/>
    <w:rsid w:val="39AE7101"/>
    <w:rsid w:val="39BA7DF4"/>
    <w:rsid w:val="39BC3C5A"/>
    <w:rsid w:val="39BD78E5"/>
    <w:rsid w:val="39C12F31"/>
    <w:rsid w:val="39C312CD"/>
    <w:rsid w:val="39C649EB"/>
    <w:rsid w:val="39F96B6F"/>
    <w:rsid w:val="3A0B4AF4"/>
    <w:rsid w:val="3A281202"/>
    <w:rsid w:val="3A3556CD"/>
    <w:rsid w:val="3A3E0A25"/>
    <w:rsid w:val="3A3F02FA"/>
    <w:rsid w:val="3A40479E"/>
    <w:rsid w:val="3A500759"/>
    <w:rsid w:val="3A52002D"/>
    <w:rsid w:val="3A6D30B9"/>
    <w:rsid w:val="3A741333"/>
    <w:rsid w:val="3A766411"/>
    <w:rsid w:val="3A881CA1"/>
    <w:rsid w:val="3A886145"/>
    <w:rsid w:val="3AA54601"/>
    <w:rsid w:val="3AA75A12"/>
    <w:rsid w:val="3AC54CA3"/>
    <w:rsid w:val="3ACD3B57"/>
    <w:rsid w:val="3AD273C0"/>
    <w:rsid w:val="3AD46C94"/>
    <w:rsid w:val="3AD924FC"/>
    <w:rsid w:val="3AD97B45"/>
    <w:rsid w:val="3AE01ADD"/>
    <w:rsid w:val="3AF410E4"/>
    <w:rsid w:val="3AF86E26"/>
    <w:rsid w:val="3AFE01B5"/>
    <w:rsid w:val="3B051543"/>
    <w:rsid w:val="3B143534"/>
    <w:rsid w:val="3B1E652A"/>
    <w:rsid w:val="3B2F65C0"/>
    <w:rsid w:val="3B3244CF"/>
    <w:rsid w:val="3B3D6F2F"/>
    <w:rsid w:val="3B4A7634"/>
    <w:rsid w:val="3B4E4C98"/>
    <w:rsid w:val="3B5A363D"/>
    <w:rsid w:val="3B7364AD"/>
    <w:rsid w:val="3B7D557D"/>
    <w:rsid w:val="3B892174"/>
    <w:rsid w:val="3B8B1A48"/>
    <w:rsid w:val="3B903503"/>
    <w:rsid w:val="3B985F13"/>
    <w:rsid w:val="3B9876ED"/>
    <w:rsid w:val="3B9D177C"/>
    <w:rsid w:val="3BA33557"/>
    <w:rsid w:val="3BA64AD4"/>
    <w:rsid w:val="3BBF5B96"/>
    <w:rsid w:val="3BC0188B"/>
    <w:rsid w:val="3BD038FF"/>
    <w:rsid w:val="3BDE58AF"/>
    <w:rsid w:val="3BFE6C55"/>
    <w:rsid w:val="3C08753D"/>
    <w:rsid w:val="3C0B4937"/>
    <w:rsid w:val="3C177780"/>
    <w:rsid w:val="3C184C27"/>
    <w:rsid w:val="3C2105FF"/>
    <w:rsid w:val="3C291261"/>
    <w:rsid w:val="3C3420E0"/>
    <w:rsid w:val="3C355E58"/>
    <w:rsid w:val="3C3E4D0D"/>
    <w:rsid w:val="3C597D99"/>
    <w:rsid w:val="3C6072BF"/>
    <w:rsid w:val="3C6109FB"/>
    <w:rsid w:val="3C66342F"/>
    <w:rsid w:val="3C696663"/>
    <w:rsid w:val="3C6E024C"/>
    <w:rsid w:val="3C746980"/>
    <w:rsid w:val="3C7A1ABD"/>
    <w:rsid w:val="3C81109D"/>
    <w:rsid w:val="3C850B8E"/>
    <w:rsid w:val="3CA1529C"/>
    <w:rsid w:val="3CB60D47"/>
    <w:rsid w:val="3CBC20D5"/>
    <w:rsid w:val="3CBE05CE"/>
    <w:rsid w:val="3CC2593E"/>
    <w:rsid w:val="3CC35212"/>
    <w:rsid w:val="3CD967E3"/>
    <w:rsid w:val="3CEA279F"/>
    <w:rsid w:val="3CEF24AB"/>
    <w:rsid w:val="3CF4186F"/>
    <w:rsid w:val="3CF63839"/>
    <w:rsid w:val="3CF950D8"/>
    <w:rsid w:val="3D115F7D"/>
    <w:rsid w:val="3D1912D6"/>
    <w:rsid w:val="3D1E4B3E"/>
    <w:rsid w:val="3D233F03"/>
    <w:rsid w:val="3D297517"/>
    <w:rsid w:val="3D347629"/>
    <w:rsid w:val="3D3A1978"/>
    <w:rsid w:val="3D3D3216"/>
    <w:rsid w:val="3D483969"/>
    <w:rsid w:val="3D4A148F"/>
    <w:rsid w:val="3D4E0F7F"/>
    <w:rsid w:val="3D4E5812"/>
    <w:rsid w:val="3D511B32"/>
    <w:rsid w:val="3D583BAC"/>
    <w:rsid w:val="3D606F05"/>
    <w:rsid w:val="3D624A2B"/>
    <w:rsid w:val="3D6F0EF6"/>
    <w:rsid w:val="3D7B3D3F"/>
    <w:rsid w:val="3D8175A7"/>
    <w:rsid w:val="3D85696B"/>
    <w:rsid w:val="3D89645B"/>
    <w:rsid w:val="3D8B21D4"/>
    <w:rsid w:val="3D8F1598"/>
    <w:rsid w:val="3D9A41C5"/>
    <w:rsid w:val="3D9D04C2"/>
    <w:rsid w:val="3D9F409E"/>
    <w:rsid w:val="3DB50FFF"/>
    <w:rsid w:val="3DBB413B"/>
    <w:rsid w:val="3DC15BF5"/>
    <w:rsid w:val="3DC456E6"/>
    <w:rsid w:val="3DC70D32"/>
    <w:rsid w:val="3DC94AAA"/>
    <w:rsid w:val="3DD05E38"/>
    <w:rsid w:val="3DD60F75"/>
    <w:rsid w:val="3DF80A2B"/>
    <w:rsid w:val="3DFA1107"/>
    <w:rsid w:val="3E0930F8"/>
    <w:rsid w:val="3E0B50C2"/>
    <w:rsid w:val="3E0B6E71"/>
    <w:rsid w:val="3E0D04BC"/>
    <w:rsid w:val="3E1675C3"/>
    <w:rsid w:val="3E171CB9"/>
    <w:rsid w:val="3E1A70B4"/>
    <w:rsid w:val="3E2677D3"/>
    <w:rsid w:val="3E2972F7"/>
    <w:rsid w:val="3E43485C"/>
    <w:rsid w:val="3E4E1A1C"/>
    <w:rsid w:val="3E502AD5"/>
    <w:rsid w:val="3E5A7DF8"/>
    <w:rsid w:val="3E661BC6"/>
    <w:rsid w:val="3E6B715C"/>
    <w:rsid w:val="3E78202C"/>
    <w:rsid w:val="3E834C59"/>
    <w:rsid w:val="3E927592"/>
    <w:rsid w:val="3E9F580B"/>
    <w:rsid w:val="3EA35FFF"/>
    <w:rsid w:val="3EA572C5"/>
    <w:rsid w:val="3EA846BF"/>
    <w:rsid w:val="3EA90437"/>
    <w:rsid w:val="3EBA2645"/>
    <w:rsid w:val="3EC3774B"/>
    <w:rsid w:val="3EC6723B"/>
    <w:rsid w:val="3EC7548D"/>
    <w:rsid w:val="3EEB0A50"/>
    <w:rsid w:val="3EF25FA6"/>
    <w:rsid w:val="3EF30213"/>
    <w:rsid w:val="3EF43DA9"/>
    <w:rsid w:val="3EF67B21"/>
    <w:rsid w:val="3EFB0C93"/>
    <w:rsid w:val="3F1B1335"/>
    <w:rsid w:val="3F1E2BD3"/>
    <w:rsid w:val="3F22322E"/>
    <w:rsid w:val="3F2301EA"/>
    <w:rsid w:val="3F2D1069"/>
    <w:rsid w:val="3F47037C"/>
    <w:rsid w:val="3F473ED8"/>
    <w:rsid w:val="3F485EA2"/>
    <w:rsid w:val="3F5900B0"/>
    <w:rsid w:val="3F7C101A"/>
    <w:rsid w:val="3F95733A"/>
    <w:rsid w:val="3F982986"/>
    <w:rsid w:val="3FA00692"/>
    <w:rsid w:val="3FA806EF"/>
    <w:rsid w:val="3FAF6A7A"/>
    <w:rsid w:val="3FB377C0"/>
    <w:rsid w:val="3FB672B0"/>
    <w:rsid w:val="3FC25C55"/>
    <w:rsid w:val="3FE931E1"/>
    <w:rsid w:val="3FEB29BB"/>
    <w:rsid w:val="3FF57DD8"/>
    <w:rsid w:val="4001677D"/>
    <w:rsid w:val="400718BA"/>
    <w:rsid w:val="40152228"/>
    <w:rsid w:val="401B7113"/>
    <w:rsid w:val="401F09B1"/>
    <w:rsid w:val="40224945"/>
    <w:rsid w:val="40251D40"/>
    <w:rsid w:val="402D7572"/>
    <w:rsid w:val="402F2AE2"/>
    <w:rsid w:val="403501D5"/>
    <w:rsid w:val="4037219F"/>
    <w:rsid w:val="405E3BCF"/>
    <w:rsid w:val="406B3BF6"/>
    <w:rsid w:val="40730CFD"/>
    <w:rsid w:val="40833636"/>
    <w:rsid w:val="408829FA"/>
    <w:rsid w:val="408847A8"/>
    <w:rsid w:val="40953369"/>
    <w:rsid w:val="409A44DC"/>
    <w:rsid w:val="40A1586A"/>
    <w:rsid w:val="40A27F80"/>
    <w:rsid w:val="40B27A77"/>
    <w:rsid w:val="40BE641C"/>
    <w:rsid w:val="40D8199A"/>
    <w:rsid w:val="40D93256"/>
    <w:rsid w:val="40E165AE"/>
    <w:rsid w:val="40E8793D"/>
    <w:rsid w:val="40F260C6"/>
    <w:rsid w:val="410F4ECA"/>
    <w:rsid w:val="41171FD0"/>
    <w:rsid w:val="411E40B0"/>
    <w:rsid w:val="41281AE7"/>
    <w:rsid w:val="413A36FE"/>
    <w:rsid w:val="41452699"/>
    <w:rsid w:val="41715368"/>
    <w:rsid w:val="417B60BB"/>
    <w:rsid w:val="417C1E33"/>
    <w:rsid w:val="41847666"/>
    <w:rsid w:val="418E58C6"/>
    <w:rsid w:val="418F7DB9"/>
    <w:rsid w:val="419453CF"/>
    <w:rsid w:val="41A35612"/>
    <w:rsid w:val="41A76EB0"/>
    <w:rsid w:val="41AA2E44"/>
    <w:rsid w:val="41B13830"/>
    <w:rsid w:val="41B8730F"/>
    <w:rsid w:val="41CA2B9F"/>
    <w:rsid w:val="41D852BC"/>
    <w:rsid w:val="41DA2951"/>
    <w:rsid w:val="41DB1A54"/>
    <w:rsid w:val="41E225DE"/>
    <w:rsid w:val="41E77BF5"/>
    <w:rsid w:val="41F8595E"/>
    <w:rsid w:val="41FD11C6"/>
    <w:rsid w:val="42042CA8"/>
    <w:rsid w:val="42066805"/>
    <w:rsid w:val="420C1409"/>
    <w:rsid w:val="42187DAE"/>
    <w:rsid w:val="422179BC"/>
    <w:rsid w:val="422E75D1"/>
    <w:rsid w:val="42335DE3"/>
    <w:rsid w:val="42366FC5"/>
    <w:rsid w:val="423D15C3"/>
    <w:rsid w:val="424C7A58"/>
    <w:rsid w:val="4250579A"/>
    <w:rsid w:val="42552DB0"/>
    <w:rsid w:val="4261502A"/>
    <w:rsid w:val="427A45C5"/>
    <w:rsid w:val="427A6373"/>
    <w:rsid w:val="42C35F6C"/>
    <w:rsid w:val="42D24401"/>
    <w:rsid w:val="42D261AF"/>
    <w:rsid w:val="42D4683A"/>
    <w:rsid w:val="42E12896"/>
    <w:rsid w:val="42F30A76"/>
    <w:rsid w:val="43007D97"/>
    <w:rsid w:val="43051A0F"/>
    <w:rsid w:val="430631CF"/>
    <w:rsid w:val="430F2F5F"/>
    <w:rsid w:val="431E13F4"/>
    <w:rsid w:val="432C3E22"/>
    <w:rsid w:val="433825C1"/>
    <w:rsid w:val="43452E25"/>
    <w:rsid w:val="43497236"/>
    <w:rsid w:val="435E3EE6"/>
    <w:rsid w:val="435E5C94"/>
    <w:rsid w:val="436726C2"/>
    <w:rsid w:val="436C03B1"/>
    <w:rsid w:val="437454B8"/>
    <w:rsid w:val="43747266"/>
    <w:rsid w:val="43761230"/>
    <w:rsid w:val="438020AF"/>
    <w:rsid w:val="43805C0B"/>
    <w:rsid w:val="438518DD"/>
    <w:rsid w:val="4387343D"/>
    <w:rsid w:val="438A0837"/>
    <w:rsid w:val="439405E8"/>
    <w:rsid w:val="43AF029E"/>
    <w:rsid w:val="43B34232"/>
    <w:rsid w:val="43B35FE0"/>
    <w:rsid w:val="43C31F9B"/>
    <w:rsid w:val="43CE092F"/>
    <w:rsid w:val="43D26624"/>
    <w:rsid w:val="43D767C6"/>
    <w:rsid w:val="43DD0486"/>
    <w:rsid w:val="43E20674"/>
    <w:rsid w:val="43E268C5"/>
    <w:rsid w:val="43E53CC0"/>
    <w:rsid w:val="43E6398E"/>
    <w:rsid w:val="43F42155"/>
    <w:rsid w:val="440700DA"/>
    <w:rsid w:val="440C56F0"/>
    <w:rsid w:val="440D272B"/>
    <w:rsid w:val="44134CD1"/>
    <w:rsid w:val="4415656C"/>
    <w:rsid w:val="44177593"/>
    <w:rsid w:val="44202F4A"/>
    <w:rsid w:val="442C18EF"/>
    <w:rsid w:val="442C5D93"/>
    <w:rsid w:val="444744E3"/>
    <w:rsid w:val="444B446B"/>
    <w:rsid w:val="445D5F4C"/>
    <w:rsid w:val="4464552C"/>
    <w:rsid w:val="44663053"/>
    <w:rsid w:val="4467501D"/>
    <w:rsid w:val="446B68BB"/>
    <w:rsid w:val="44760DBC"/>
    <w:rsid w:val="448E07FB"/>
    <w:rsid w:val="4497145E"/>
    <w:rsid w:val="449A2CFC"/>
    <w:rsid w:val="44B00772"/>
    <w:rsid w:val="44B042CE"/>
    <w:rsid w:val="44C10289"/>
    <w:rsid w:val="44C9120B"/>
    <w:rsid w:val="44CD30D2"/>
    <w:rsid w:val="44E61624"/>
    <w:rsid w:val="44E64193"/>
    <w:rsid w:val="44EE2382"/>
    <w:rsid w:val="44F87A23"/>
    <w:rsid w:val="45102FBE"/>
    <w:rsid w:val="452151CC"/>
    <w:rsid w:val="45240818"/>
    <w:rsid w:val="454315E6"/>
    <w:rsid w:val="454637F8"/>
    <w:rsid w:val="455235D7"/>
    <w:rsid w:val="45527CC9"/>
    <w:rsid w:val="455E01CE"/>
    <w:rsid w:val="4565155C"/>
    <w:rsid w:val="456701D6"/>
    <w:rsid w:val="456B4DAA"/>
    <w:rsid w:val="45763769"/>
    <w:rsid w:val="4585179C"/>
    <w:rsid w:val="458A0FC3"/>
    <w:rsid w:val="458F0387"/>
    <w:rsid w:val="459C04E5"/>
    <w:rsid w:val="459C0CF6"/>
    <w:rsid w:val="45C53DA9"/>
    <w:rsid w:val="45C81AEB"/>
    <w:rsid w:val="45D87F80"/>
    <w:rsid w:val="45DB537A"/>
    <w:rsid w:val="45F75F2C"/>
    <w:rsid w:val="45F823D0"/>
    <w:rsid w:val="45FF375F"/>
    <w:rsid w:val="46020160"/>
    <w:rsid w:val="4605320C"/>
    <w:rsid w:val="460A075F"/>
    <w:rsid w:val="460D74FE"/>
    <w:rsid w:val="460E1316"/>
    <w:rsid w:val="46116FEE"/>
    <w:rsid w:val="4613720A"/>
    <w:rsid w:val="461D5993"/>
    <w:rsid w:val="462176BD"/>
    <w:rsid w:val="4645313C"/>
    <w:rsid w:val="464E3D9E"/>
    <w:rsid w:val="465D0485"/>
    <w:rsid w:val="46730A43"/>
    <w:rsid w:val="46805F22"/>
    <w:rsid w:val="4682613E"/>
    <w:rsid w:val="46827EEC"/>
    <w:rsid w:val="46830D19"/>
    <w:rsid w:val="468679DC"/>
    <w:rsid w:val="46A81102"/>
    <w:rsid w:val="46A866FF"/>
    <w:rsid w:val="46AC6D17"/>
    <w:rsid w:val="46B1257F"/>
    <w:rsid w:val="46B207D1"/>
    <w:rsid w:val="46BF4C9C"/>
    <w:rsid w:val="46C95B1B"/>
    <w:rsid w:val="46CB1893"/>
    <w:rsid w:val="46D87B0C"/>
    <w:rsid w:val="46DA7D28"/>
    <w:rsid w:val="46E14C12"/>
    <w:rsid w:val="46E22739"/>
    <w:rsid w:val="46E35F61"/>
    <w:rsid w:val="46E464B1"/>
    <w:rsid w:val="46EB3CE3"/>
    <w:rsid w:val="46EB783F"/>
    <w:rsid w:val="46FC37FA"/>
    <w:rsid w:val="46FF5055"/>
    <w:rsid w:val="47046B53"/>
    <w:rsid w:val="470902D0"/>
    <w:rsid w:val="4710374A"/>
    <w:rsid w:val="47176CC2"/>
    <w:rsid w:val="471843AC"/>
    <w:rsid w:val="47262F6D"/>
    <w:rsid w:val="47354F5E"/>
    <w:rsid w:val="474451A1"/>
    <w:rsid w:val="47462CC7"/>
    <w:rsid w:val="474D22A8"/>
    <w:rsid w:val="475C698F"/>
    <w:rsid w:val="476539CA"/>
    <w:rsid w:val="476F0470"/>
    <w:rsid w:val="476F66C2"/>
    <w:rsid w:val="47777325"/>
    <w:rsid w:val="47833F1C"/>
    <w:rsid w:val="478832E0"/>
    <w:rsid w:val="478F4065"/>
    <w:rsid w:val="47AF4D11"/>
    <w:rsid w:val="47AF6ABF"/>
    <w:rsid w:val="47B9793D"/>
    <w:rsid w:val="47BC29CD"/>
    <w:rsid w:val="47BE4F54"/>
    <w:rsid w:val="47C22C96"/>
    <w:rsid w:val="47D06CCE"/>
    <w:rsid w:val="47D858BC"/>
    <w:rsid w:val="47FE35A2"/>
    <w:rsid w:val="480D0329"/>
    <w:rsid w:val="481850A1"/>
    <w:rsid w:val="48230E62"/>
    <w:rsid w:val="4823125B"/>
    <w:rsid w:val="48270D4B"/>
    <w:rsid w:val="48343468"/>
    <w:rsid w:val="483B47F6"/>
    <w:rsid w:val="484336AB"/>
    <w:rsid w:val="48457423"/>
    <w:rsid w:val="48474F49"/>
    <w:rsid w:val="484F2050"/>
    <w:rsid w:val="48594A36"/>
    <w:rsid w:val="4860600B"/>
    <w:rsid w:val="48684EBF"/>
    <w:rsid w:val="486C45BD"/>
    <w:rsid w:val="486D3660"/>
    <w:rsid w:val="4871646A"/>
    <w:rsid w:val="48720648"/>
    <w:rsid w:val="487D4E0F"/>
    <w:rsid w:val="487D6BBD"/>
    <w:rsid w:val="4884619D"/>
    <w:rsid w:val="48873598"/>
    <w:rsid w:val="48895562"/>
    <w:rsid w:val="4893018E"/>
    <w:rsid w:val="48934632"/>
    <w:rsid w:val="48961A2D"/>
    <w:rsid w:val="48965ED0"/>
    <w:rsid w:val="48BC6665"/>
    <w:rsid w:val="48BD4286"/>
    <w:rsid w:val="48D977AA"/>
    <w:rsid w:val="48E26B1E"/>
    <w:rsid w:val="48E72288"/>
    <w:rsid w:val="48F4142E"/>
    <w:rsid w:val="48F6071D"/>
    <w:rsid w:val="49071E68"/>
    <w:rsid w:val="490A71B5"/>
    <w:rsid w:val="491174E8"/>
    <w:rsid w:val="491868E5"/>
    <w:rsid w:val="491C63D6"/>
    <w:rsid w:val="492E787D"/>
    <w:rsid w:val="494B0A69"/>
    <w:rsid w:val="494D2A33"/>
    <w:rsid w:val="4961028C"/>
    <w:rsid w:val="49724248"/>
    <w:rsid w:val="49916E11"/>
    <w:rsid w:val="49AA3F7E"/>
    <w:rsid w:val="49BA799D"/>
    <w:rsid w:val="49C10D2B"/>
    <w:rsid w:val="49C34AA3"/>
    <w:rsid w:val="49CF2D0B"/>
    <w:rsid w:val="49D67550"/>
    <w:rsid w:val="49DC5B65"/>
    <w:rsid w:val="49E52C6C"/>
    <w:rsid w:val="49EB7B56"/>
    <w:rsid w:val="49EF5898"/>
    <w:rsid w:val="4A0742B7"/>
    <w:rsid w:val="4A0C644A"/>
    <w:rsid w:val="4A220DCC"/>
    <w:rsid w:val="4A3239D7"/>
    <w:rsid w:val="4A513E5D"/>
    <w:rsid w:val="4A595A98"/>
    <w:rsid w:val="4A632FEA"/>
    <w:rsid w:val="4A7D10F6"/>
    <w:rsid w:val="4A9B77CE"/>
    <w:rsid w:val="4A9E1879"/>
    <w:rsid w:val="4AA30431"/>
    <w:rsid w:val="4AAF6DD6"/>
    <w:rsid w:val="4AB27369"/>
    <w:rsid w:val="4AB83EDC"/>
    <w:rsid w:val="4AC07235"/>
    <w:rsid w:val="4AD14F9E"/>
    <w:rsid w:val="4ADF0CD7"/>
    <w:rsid w:val="4AE271AB"/>
    <w:rsid w:val="4AEF0923"/>
    <w:rsid w:val="4AF15640"/>
    <w:rsid w:val="4AF3760A"/>
    <w:rsid w:val="4B067EA4"/>
    <w:rsid w:val="4B125CE2"/>
    <w:rsid w:val="4B137364"/>
    <w:rsid w:val="4B26353C"/>
    <w:rsid w:val="4B271F65"/>
    <w:rsid w:val="4B3612A5"/>
    <w:rsid w:val="4B3F45FD"/>
    <w:rsid w:val="4B46773A"/>
    <w:rsid w:val="4B490FD8"/>
    <w:rsid w:val="4B502367"/>
    <w:rsid w:val="4B517E8D"/>
    <w:rsid w:val="4B5D6832"/>
    <w:rsid w:val="4B6120B6"/>
    <w:rsid w:val="4B683B54"/>
    <w:rsid w:val="4B6C4CC7"/>
    <w:rsid w:val="4B6E0A3F"/>
    <w:rsid w:val="4B78398F"/>
    <w:rsid w:val="4B840262"/>
    <w:rsid w:val="4B885FA4"/>
    <w:rsid w:val="4B9E7576"/>
    <w:rsid w:val="4BAB127B"/>
    <w:rsid w:val="4BCE4D6B"/>
    <w:rsid w:val="4BCE772F"/>
    <w:rsid w:val="4BE331DB"/>
    <w:rsid w:val="4BE60F1D"/>
    <w:rsid w:val="4BE86A43"/>
    <w:rsid w:val="4BF278C2"/>
    <w:rsid w:val="4C0A69B9"/>
    <w:rsid w:val="4C392DFB"/>
    <w:rsid w:val="4C3C0B3D"/>
    <w:rsid w:val="4C4D2D4A"/>
    <w:rsid w:val="4C60482B"/>
    <w:rsid w:val="4C73709C"/>
    <w:rsid w:val="4C7D362F"/>
    <w:rsid w:val="4C804ECE"/>
    <w:rsid w:val="4C916A9B"/>
    <w:rsid w:val="4C983FC5"/>
    <w:rsid w:val="4CAC5CC3"/>
    <w:rsid w:val="4CB517D3"/>
    <w:rsid w:val="4CC27294"/>
    <w:rsid w:val="4CDA6BFA"/>
    <w:rsid w:val="4CF80F08"/>
    <w:rsid w:val="4CF93F3E"/>
    <w:rsid w:val="4D0258E3"/>
    <w:rsid w:val="4D151ABA"/>
    <w:rsid w:val="4D1A70D0"/>
    <w:rsid w:val="4D297313"/>
    <w:rsid w:val="4D2C6E03"/>
    <w:rsid w:val="4D412376"/>
    <w:rsid w:val="4D422183"/>
    <w:rsid w:val="4D491763"/>
    <w:rsid w:val="4D510618"/>
    <w:rsid w:val="4D553C64"/>
    <w:rsid w:val="4D704F42"/>
    <w:rsid w:val="4D752558"/>
    <w:rsid w:val="4D77007F"/>
    <w:rsid w:val="4D7B7443"/>
    <w:rsid w:val="4D914CC4"/>
    <w:rsid w:val="4D93478D"/>
    <w:rsid w:val="4DB82445"/>
    <w:rsid w:val="4DBA7F6B"/>
    <w:rsid w:val="4DD54DA5"/>
    <w:rsid w:val="4DDC4386"/>
    <w:rsid w:val="4DF01BDF"/>
    <w:rsid w:val="4DF25957"/>
    <w:rsid w:val="4E0062C6"/>
    <w:rsid w:val="4E0538DC"/>
    <w:rsid w:val="4E0C07CA"/>
    <w:rsid w:val="4E125FF9"/>
    <w:rsid w:val="4E1753BE"/>
    <w:rsid w:val="4E200716"/>
    <w:rsid w:val="4E231FB4"/>
    <w:rsid w:val="4E290021"/>
    <w:rsid w:val="4E3B72FE"/>
    <w:rsid w:val="4E404914"/>
    <w:rsid w:val="4E4A5793"/>
    <w:rsid w:val="4E600B13"/>
    <w:rsid w:val="4E6673B5"/>
    <w:rsid w:val="4E6D3230"/>
    <w:rsid w:val="4E9764FE"/>
    <w:rsid w:val="4E9D1D67"/>
    <w:rsid w:val="4EA64F53"/>
    <w:rsid w:val="4EAC3D58"/>
    <w:rsid w:val="4EAD7AD0"/>
    <w:rsid w:val="4EBB3F9B"/>
    <w:rsid w:val="4EC45545"/>
    <w:rsid w:val="4ECF324C"/>
    <w:rsid w:val="4EDB463D"/>
    <w:rsid w:val="4EEA4880"/>
    <w:rsid w:val="4EEA5571"/>
    <w:rsid w:val="4EED4299"/>
    <w:rsid w:val="4EF474AD"/>
    <w:rsid w:val="4F0A4F22"/>
    <w:rsid w:val="4F10078B"/>
    <w:rsid w:val="4F304989"/>
    <w:rsid w:val="4F3D0E54"/>
    <w:rsid w:val="4F400944"/>
    <w:rsid w:val="4F4B17C3"/>
    <w:rsid w:val="4F50502B"/>
    <w:rsid w:val="4F542F5F"/>
    <w:rsid w:val="4F54761A"/>
    <w:rsid w:val="4F560168"/>
    <w:rsid w:val="4F5B752C"/>
    <w:rsid w:val="4F5D1E0D"/>
    <w:rsid w:val="4F6665FD"/>
    <w:rsid w:val="4F892481"/>
    <w:rsid w:val="4F894099"/>
    <w:rsid w:val="4F9D7B44"/>
    <w:rsid w:val="4FA346D0"/>
    <w:rsid w:val="4FAB400F"/>
    <w:rsid w:val="4FB56C3C"/>
    <w:rsid w:val="4FC275AB"/>
    <w:rsid w:val="4FCA7A66"/>
    <w:rsid w:val="4FDA2B47"/>
    <w:rsid w:val="4FE439C5"/>
    <w:rsid w:val="4FE51C89"/>
    <w:rsid w:val="4FE8109B"/>
    <w:rsid w:val="4FF04118"/>
    <w:rsid w:val="4FFA6D45"/>
    <w:rsid w:val="5000269E"/>
    <w:rsid w:val="50081462"/>
    <w:rsid w:val="5015592D"/>
    <w:rsid w:val="501C6CBB"/>
    <w:rsid w:val="501E6ED7"/>
    <w:rsid w:val="50245B70"/>
    <w:rsid w:val="502913D8"/>
    <w:rsid w:val="502B33A2"/>
    <w:rsid w:val="502D711A"/>
    <w:rsid w:val="50306C0B"/>
    <w:rsid w:val="50355FCF"/>
    <w:rsid w:val="50416722"/>
    <w:rsid w:val="504B57F2"/>
    <w:rsid w:val="505E1082"/>
    <w:rsid w:val="50615016"/>
    <w:rsid w:val="506B379F"/>
    <w:rsid w:val="506D5769"/>
    <w:rsid w:val="5080549C"/>
    <w:rsid w:val="508F56DF"/>
    <w:rsid w:val="509947B0"/>
    <w:rsid w:val="509C604E"/>
    <w:rsid w:val="50A078EC"/>
    <w:rsid w:val="50A56CB1"/>
    <w:rsid w:val="50AD025B"/>
    <w:rsid w:val="50AD3DB7"/>
    <w:rsid w:val="50AE50FF"/>
    <w:rsid w:val="50B96C00"/>
    <w:rsid w:val="50BD049E"/>
    <w:rsid w:val="50C64E79"/>
    <w:rsid w:val="50D650BC"/>
    <w:rsid w:val="50E27F05"/>
    <w:rsid w:val="50E417AE"/>
    <w:rsid w:val="50EC48E0"/>
    <w:rsid w:val="50F32112"/>
    <w:rsid w:val="50F73284"/>
    <w:rsid w:val="51042619"/>
    <w:rsid w:val="510A745C"/>
    <w:rsid w:val="512D6CA6"/>
    <w:rsid w:val="512E12EF"/>
    <w:rsid w:val="512F776D"/>
    <w:rsid w:val="51301F16"/>
    <w:rsid w:val="51330760"/>
    <w:rsid w:val="51361FFF"/>
    <w:rsid w:val="5139389D"/>
    <w:rsid w:val="51404C2B"/>
    <w:rsid w:val="514209A3"/>
    <w:rsid w:val="514B3CFC"/>
    <w:rsid w:val="514C1822"/>
    <w:rsid w:val="516A1CA8"/>
    <w:rsid w:val="516E79EA"/>
    <w:rsid w:val="517C4021"/>
    <w:rsid w:val="518E3BE9"/>
    <w:rsid w:val="51905BB3"/>
    <w:rsid w:val="519F5797"/>
    <w:rsid w:val="51AE4089"/>
    <w:rsid w:val="51B36C74"/>
    <w:rsid w:val="51BB0DAD"/>
    <w:rsid w:val="51C63383"/>
    <w:rsid w:val="51C770FB"/>
    <w:rsid w:val="51D35175"/>
    <w:rsid w:val="51D57A6A"/>
    <w:rsid w:val="51D84E64"/>
    <w:rsid w:val="51DC4954"/>
    <w:rsid w:val="51E036BA"/>
    <w:rsid w:val="51F15F26"/>
    <w:rsid w:val="51F577C4"/>
    <w:rsid w:val="51F7178E"/>
    <w:rsid w:val="520926F2"/>
    <w:rsid w:val="520F04A2"/>
    <w:rsid w:val="52187956"/>
    <w:rsid w:val="521F2A93"/>
    <w:rsid w:val="521F75FE"/>
    <w:rsid w:val="52296A7D"/>
    <w:rsid w:val="52397FF8"/>
    <w:rsid w:val="52505FF8"/>
    <w:rsid w:val="525C5A95"/>
    <w:rsid w:val="52660A82"/>
    <w:rsid w:val="526B5CD8"/>
    <w:rsid w:val="526E7576"/>
    <w:rsid w:val="526F3A1A"/>
    <w:rsid w:val="5272350A"/>
    <w:rsid w:val="527C42BC"/>
    <w:rsid w:val="52846D9A"/>
    <w:rsid w:val="528648C0"/>
    <w:rsid w:val="52927709"/>
    <w:rsid w:val="529C40E3"/>
    <w:rsid w:val="52A1587D"/>
    <w:rsid w:val="52B32687"/>
    <w:rsid w:val="52B458D1"/>
    <w:rsid w:val="52C13E4E"/>
    <w:rsid w:val="52D24131"/>
    <w:rsid w:val="52D47A93"/>
    <w:rsid w:val="52D970B0"/>
    <w:rsid w:val="52E33AC0"/>
    <w:rsid w:val="52EA30A1"/>
    <w:rsid w:val="52F061DD"/>
    <w:rsid w:val="53000B16"/>
    <w:rsid w:val="530879CB"/>
    <w:rsid w:val="530A729F"/>
    <w:rsid w:val="53160A1E"/>
    <w:rsid w:val="5325057D"/>
    <w:rsid w:val="5345477B"/>
    <w:rsid w:val="534C5B09"/>
    <w:rsid w:val="534D095A"/>
    <w:rsid w:val="535460B9"/>
    <w:rsid w:val="5354676C"/>
    <w:rsid w:val="535844AE"/>
    <w:rsid w:val="53654E1D"/>
    <w:rsid w:val="53656BCB"/>
    <w:rsid w:val="53715570"/>
    <w:rsid w:val="537E699E"/>
    <w:rsid w:val="539179C0"/>
    <w:rsid w:val="53963CFA"/>
    <w:rsid w:val="53966D85"/>
    <w:rsid w:val="539D45B7"/>
    <w:rsid w:val="53A25729"/>
    <w:rsid w:val="53B0624F"/>
    <w:rsid w:val="53BD07B5"/>
    <w:rsid w:val="53C65804"/>
    <w:rsid w:val="53C71634"/>
    <w:rsid w:val="53D004E8"/>
    <w:rsid w:val="53D578AD"/>
    <w:rsid w:val="53DA4EC3"/>
    <w:rsid w:val="53DD2C05"/>
    <w:rsid w:val="53E02ABA"/>
    <w:rsid w:val="53E67D0C"/>
    <w:rsid w:val="53E977FC"/>
    <w:rsid w:val="53FB308C"/>
    <w:rsid w:val="53FF0DCE"/>
    <w:rsid w:val="540168F4"/>
    <w:rsid w:val="540B693C"/>
    <w:rsid w:val="542D1718"/>
    <w:rsid w:val="543640C4"/>
    <w:rsid w:val="543F741C"/>
    <w:rsid w:val="54456657"/>
    <w:rsid w:val="544B5DC1"/>
    <w:rsid w:val="545879F8"/>
    <w:rsid w:val="54613836"/>
    <w:rsid w:val="547D1CF3"/>
    <w:rsid w:val="54837309"/>
    <w:rsid w:val="54921C42"/>
    <w:rsid w:val="54A64647"/>
    <w:rsid w:val="54B020C8"/>
    <w:rsid w:val="54C53DC5"/>
    <w:rsid w:val="54D758A7"/>
    <w:rsid w:val="54DC2EBD"/>
    <w:rsid w:val="54DE4E87"/>
    <w:rsid w:val="54E16725"/>
    <w:rsid w:val="54EF0E42"/>
    <w:rsid w:val="54FD7021"/>
    <w:rsid w:val="55004DFD"/>
    <w:rsid w:val="551268DF"/>
    <w:rsid w:val="551954EF"/>
    <w:rsid w:val="551B39E5"/>
    <w:rsid w:val="55200FFC"/>
    <w:rsid w:val="553B7BE4"/>
    <w:rsid w:val="554967A4"/>
    <w:rsid w:val="554E3DBB"/>
    <w:rsid w:val="5578392D"/>
    <w:rsid w:val="55805F3E"/>
    <w:rsid w:val="55830897"/>
    <w:rsid w:val="55956867"/>
    <w:rsid w:val="559A4F9E"/>
    <w:rsid w:val="55A03EEB"/>
    <w:rsid w:val="55AD661C"/>
    <w:rsid w:val="55CA6DC1"/>
    <w:rsid w:val="55D1679A"/>
    <w:rsid w:val="55D31512"/>
    <w:rsid w:val="55D3606E"/>
    <w:rsid w:val="55DB3175"/>
    <w:rsid w:val="55DF0675"/>
    <w:rsid w:val="55F304BE"/>
    <w:rsid w:val="55F34962"/>
    <w:rsid w:val="560C332E"/>
    <w:rsid w:val="5617727E"/>
    <w:rsid w:val="561F3061"/>
    <w:rsid w:val="56237406"/>
    <w:rsid w:val="56332FB1"/>
    <w:rsid w:val="5637484F"/>
    <w:rsid w:val="5641747C"/>
    <w:rsid w:val="564B654C"/>
    <w:rsid w:val="565A678F"/>
    <w:rsid w:val="567F1D52"/>
    <w:rsid w:val="5689497F"/>
    <w:rsid w:val="568A3626"/>
    <w:rsid w:val="56927CD7"/>
    <w:rsid w:val="56A25A40"/>
    <w:rsid w:val="56BB5AB7"/>
    <w:rsid w:val="56C07164"/>
    <w:rsid w:val="56C360E3"/>
    <w:rsid w:val="56C65BD3"/>
    <w:rsid w:val="56E322E1"/>
    <w:rsid w:val="56F3629C"/>
    <w:rsid w:val="56F97D56"/>
    <w:rsid w:val="571132F2"/>
    <w:rsid w:val="5714693E"/>
    <w:rsid w:val="57315742"/>
    <w:rsid w:val="573677F0"/>
    <w:rsid w:val="57541431"/>
    <w:rsid w:val="575651A9"/>
    <w:rsid w:val="575E5E0B"/>
    <w:rsid w:val="577218B7"/>
    <w:rsid w:val="57723665"/>
    <w:rsid w:val="578E4942"/>
    <w:rsid w:val="57914433"/>
    <w:rsid w:val="57A001D2"/>
    <w:rsid w:val="57A44166"/>
    <w:rsid w:val="57B41ECF"/>
    <w:rsid w:val="57C71C02"/>
    <w:rsid w:val="57D32355"/>
    <w:rsid w:val="57D936E4"/>
    <w:rsid w:val="57F350D8"/>
    <w:rsid w:val="57FE5BA7"/>
    <w:rsid w:val="5814471C"/>
    <w:rsid w:val="58226E39"/>
    <w:rsid w:val="58381E2A"/>
    <w:rsid w:val="583B7EFB"/>
    <w:rsid w:val="583D1EC5"/>
    <w:rsid w:val="584A3C8C"/>
    <w:rsid w:val="58580AAD"/>
    <w:rsid w:val="585A65D3"/>
    <w:rsid w:val="58666F1C"/>
    <w:rsid w:val="586B689E"/>
    <w:rsid w:val="586E02D0"/>
    <w:rsid w:val="5878114F"/>
    <w:rsid w:val="587F24DD"/>
    <w:rsid w:val="58831FCD"/>
    <w:rsid w:val="58935F89"/>
    <w:rsid w:val="58951D01"/>
    <w:rsid w:val="589D0BB5"/>
    <w:rsid w:val="589D2963"/>
    <w:rsid w:val="58A9755A"/>
    <w:rsid w:val="58B101BD"/>
    <w:rsid w:val="58BC728D"/>
    <w:rsid w:val="58BE1257"/>
    <w:rsid w:val="58D77C23"/>
    <w:rsid w:val="58D81BED"/>
    <w:rsid w:val="58DA5965"/>
    <w:rsid w:val="58E115E1"/>
    <w:rsid w:val="58F22CAF"/>
    <w:rsid w:val="58F9403E"/>
    <w:rsid w:val="58FE1654"/>
    <w:rsid w:val="590E560F"/>
    <w:rsid w:val="592A069B"/>
    <w:rsid w:val="594352B9"/>
    <w:rsid w:val="59441031"/>
    <w:rsid w:val="594A2AEB"/>
    <w:rsid w:val="594A4899"/>
    <w:rsid w:val="59523210"/>
    <w:rsid w:val="59527BF2"/>
    <w:rsid w:val="5960230F"/>
    <w:rsid w:val="59605E6B"/>
    <w:rsid w:val="59747B68"/>
    <w:rsid w:val="597E4543"/>
    <w:rsid w:val="598035F6"/>
    <w:rsid w:val="599124C8"/>
    <w:rsid w:val="59B91A1F"/>
    <w:rsid w:val="59C503C4"/>
    <w:rsid w:val="59D30D53"/>
    <w:rsid w:val="59D625D1"/>
    <w:rsid w:val="59DD395F"/>
    <w:rsid w:val="59E92304"/>
    <w:rsid w:val="59EF5441"/>
    <w:rsid w:val="5A096502"/>
    <w:rsid w:val="5A166E71"/>
    <w:rsid w:val="5A213EFD"/>
    <w:rsid w:val="5A2A6479"/>
    <w:rsid w:val="5A2D03FB"/>
    <w:rsid w:val="5A2F3A8F"/>
    <w:rsid w:val="5A3317D1"/>
    <w:rsid w:val="5A355C07"/>
    <w:rsid w:val="5A3D43FE"/>
    <w:rsid w:val="5A513A05"/>
    <w:rsid w:val="5A5534F6"/>
    <w:rsid w:val="5A5A0B0C"/>
    <w:rsid w:val="5A5F6122"/>
    <w:rsid w:val="5A5F787D"/>
    <w:rsid w:val="5A821E11"/>
    <w:rsid w:val="5A867B53"/>
    <w:rsid w:val="5A897643"/>
    <w:rsid w:val="5A963B0E"/>
    <w:rsid w:val="5AA4622B"/>
    <w:rsid w:val="5AA61A39"/>
    <w:rsid w:val="5AB53F94"/>
    <w:rsid w:val="5AB741B0"/>
    <w:rsid w:val="5AB87F28"/>
    <w:rsid w:val="5AC514FA"/>
    <w:rsid w:val="5AC57D66"/>
    <w:rsid w:val="5AC643F3"/>
    <w:rsid w:val="5AC97A40"/>
    <w:rsid w:val="5ACC12DE"/>
    <w:rsid w:val="5AD07020"/>
    <w:rsid w:val="5AD85A9C"/>
    <w:rsid w:val="5ADA1C4D"/>
    <w:rsid w:val="5AE107FB"/>
    <w:rsid w:val="5AE14D89"/>
    <w:rsid w:val="5AEA7B7D"/>
    <w:rsid w:val="5AEB5C08"/>
    <w:rsid w:val="5AEE3CB7"/>
    <w:rsid w:val="5AF1625B"/>
    <w:rsid w:val="5AF745AD"/>
    <w:rsid w:val="5B07769A"/>
    <w:rsid w:val="5B094599"/>
    <w:rsid w:val="5B13515F"/>
    <w:rsid w:val="5B136F0D"/>
    <w:rsid w:val="5B174C4F"/>
    <w:rsid w:val="5B182775"/>
    <w:rsid w:val="5B184523"/>
    <w:rsid w:val="5B212F9D"/>
    <w:rsid w:val="5B241A3E"/>
    <w:rsid w:val="5B4041A6"/>
    <w:rsid w:val="5B661732"/>
    <w:rsid w:val="5B694D7F"/>
    <w:rsid w:val="5B743E4F"/>
    <w:rsid w:val="5B7B3430"/>
    <w:rsid w:val="5B820007"/>
    <w:rsid w:val="5B865931"/>
    <w:rsid w:val="5B885B4D"/>
    <w:rsid w:val="5B887D08"/>
    <w:rsid w:val="5BC56459"/>
    <w:rsid w:val="5BCE7A03"/>
    <w:rsid w:val="5BCF72D8"/>
    <w:rsid w:val="5BD7618C"/>
    <w:rsid w:val="5BE2525D"/>
    <w:rsid w:val="5BE865EB"/>
    <w:rsid w:val="5BEA2363"/>
    <w:rsid w:val="5BF94355"/>
    <w:rsid w:val="5BFF5BB0"/>
    <w:rsid w:val="5C1271C4"/>
    <w:rsid w:val="5C186029"/>
    <w:rsid w:val="5C225659"/>
    <w:rsid w:val="5C237623"/>
    <w:rsid w:val="5C2A6C04"/>
    <w:rsid w:val="5C2C2071"/>
    <w:rsid w:val="5C317F92"/>
    <w:rsid w:val="5C38658F"/>
    <w:rsid w:val="5C441A74"/>
    <w:rsid w:val="5C447CC6"/>
    <w:rsid w:val="5C531CB7"/>
    <w:rsid w:val="5C700ABB"/>
    <w:rsid w:val="5C7563AD"/>
    <w:rsid w:val="5C7A2E58"/>
    <w:rsid w:val="5C8F6A67"/>
    <w:rsid w:val="5C974299"/>
    <w:rsid w:val="5C9E4702"/>
    <w:rsid w:val="5C9F6CAA"/>
    <w:rsid w:val="5CA16EC6"/>
    <w:rsid w:val="5CB32755"/>
    <w:rsid w:val="5CB348A8"/>
    <w:rsid w:val="5CC2508E"/>
    <w:rsid w:val="5CCB46B2"/>
    <w:rsid w:val="5CDA4186"/>
    <w:rsid w:val="5CDD77D2"/>
    <w:rsid w:val="5CDF179C"/>
    <w:rsid w:val="5CF50FC0"/>
    <w:rsid w:val="5D0D455B"/>
    <w:rsid w:val="5D1551BE"/>
    <w:rsid w:val="5D184CAE"/>
    <w:rsid w:val="5D1E0517"/>
    <w:rsid w:val="5D276C9F"/>
    <w:rsid w:val="5D292A17"/>
    <w:rsid w:val="5D2B66EF"/>
    <w:rsid w:val="5D2C42B6"/>
    <w:rsid w:val="5D2D69AC"/>
    <w:rsid w:val="5D355860"/>
    <w:rsid w:val="5D443CF5"/>
    <w:rsid w:val="5D445AA3"/>
    <w:rsid w:val="5D482A5D"/>
    <w:rsid w:val="5D4930BA"/>
    <w:rsid w:val="5D51217F"/>
    <w:rsid w:val="5D543F38"/>
    <w:rsid w:val="5D5850AB"/>
    <w:rsid w:val="5D665A1A"/>
    <w:rsid w:val="5D6E152F"/>
    <w:rsid w:val="5D7F0889"/>
    <w:rsid w:val="5D7F6ADB"/>
    <w:rsid w:val="5D8B5480"/>
    <w:rsid w:val="5D8F4F70"/>
    <w:rsid w:val="5D9027B7"/>
    <w:rsid w:val="5D9C58DF"/>
    <w:rsid w:val="5DA104B5"/>
    <w:rsid w:val="5DA14CA4"/>
    <w:rsid w:val="5DA402F0"/>
    <w:rsid w:val="5DBE13B2"/>
    <w:rsid w:val="5DC60F6E"/>
    <w:rsid w:val="5DC8757B"/>
    <w:rsid w:val="5DCB1D21"/>
    <w:rsid w:val="5DCF35BF"/>
    <w:rsid w:val="5DD72473"/>
    <w:rsid w:val="5DE92462"/>
    <w:rsid w:val="5DFD6560"/>
    <w:rsid w:val="5E0019CA"/>
    <w:rsid w:val="5E0A45F7"/>
    <w:rsid w:val="5E0D2339"/>
    <w:rsid w:val="5E0D742B"/>
    <w:rsid w:val="5E0E058B"/>
    <w:rsid w:val="5E211941"/>
    <w:rsid w:val="5E2B7C30"/>
    <w:rsid w:val="5E2F22B0"/>
    <w:rsid w:val="5E316028"/>
    <w:rsid w:val="5E413D91"/>
    <w:rsid w:val="5E420235"/>
    <w:rsid w:val="5E465A3C"/>
    <w:rsid w:val="5E473A9D"/>
    <w:rsid w:val="5E483371"/>
    <w:rsid w:val="5E4F2952"/>
    <w:rsid w:val="5E543AC4"/>
    <w:rsid w:val="5E6C0A33"/>
    <w:rsid w:val="5E6E2DD8"/>
    <w:rsid w:val="5E734892"/>
    <w:rsid w:val="5E7A79CF"/>
    <w:rsid w:val="5E7E2DBB"/>
    <w:rsid w:val="5E8F3DCD"/>
    <w:rsid w:val="5E9B16F3"/>
    <w:rsid w:val="5E9B7945"/>
    <w:rsid w:val="5EB033F0"/>
    <w:rsid w:val="5EB50A07"/>
    <w:rsid w:val="5EBB1D95"/>
    <w:rsid w:val="5EBB7FE7"/>
    <w:rsid w:val="5EC549C2"/>
    <w:rsid w:val="5EC56770"/>
    <w:rsid w:val="5ECE1AC8"/>
    <w:rsid w:val="5ED35331"/>
    <w:rsid w:val="5EDA221B"/>
    <w:rsid w:val="5EDB5F93"/>
    <w:rsid w:val="5EFD2AA8"/>
    <w:rsid w:val="5EFD5F0A"/>
    <w:rsid w:val="5F053010"/>
    <w:rsid w:val="5F0E6369"/>
    <w:rsid w:val="5F1B77D0"/>
    <w:rsid w:val="5F3C2ED6"/>
    <w:rsid w:val="5F446EBE"/>
    <w:rsid w:val="5F447EE8"/>
    <w:rsid w:val="5F4755B5"/>
    <w:rsid w:val="5F4F1C87"/>
    <w:rsid w:val="5F5521EA"/>
    <w:rsid w:val="5F6661A5"/>
    <w:rsid w:val="5F677827"/>
    <w:rsid w:val="5F6B7317"/>
    <w:rsid w:val="5F6D308F"/>
    <w:rsid w:val="5F765B72"/>
    <w:rsid w:val="5F9920D6"/>
    <w:rsid w:val="5F9B08F3"/>
    <w:rsid w:val="5F9B75BB"/>
    <w:rsid w:val="5FAC3E62"/>
    <w:rsid w:val="5FB962D5"/>
    <w:rsid w:val="5FBE38EB"/>
    <w:rsid w:val="5FC829BC"/>
    <w:rsid w:val="5FD44EBD"/>
    <w:rsid w:val="5FDE3F8D"/>
    <w:rsid w:val="5FDF3861"/>
    <w:rsid w:val="5FE64732"/>
    <w:rsid w:val="5FE80968"/>
    <w:rsid w:val="5FF70B1F"/>
    <w:rsid w:val="5FF92B75"/>
    <w:rsid w:val="5FFC4413"/>
    <w:rsid w:val="60123C37"/>
    <w:rsid w:val="601259E5"/>
    <w:rsid w:val="60172FFB"/>
    <w:rsid w:val="60251BBC"/>
    <w:rsid w:val="602F58F2"/>
    <w:rsid w:val="603B4F3C"/>
    <w:rsid w:val="603C0CB4"/>
    <w:rsid w:val="604715FA"/>
    <w:rsid w:val="60477D84"/>
    <w:rsid w:val="60496F8D"/>
    <w:rsid w:val="604F0DD1"/>
    <w:rsid w:val="60583D40"/>
    <w:rsid w:val="605A6A6C"/>
    <w:rsid w:val="605E6E7C"/>
    <w:rsid w:val="606326E4"/>
    <w:rsid w:val="60675D31"/>
    <w:rsid w:val="607448F1"/>
    <w:rsid w:val="6075677E"/>
    <w:rsid w:val="607B17DC"/>
    <w:rsid w:val="60803296"/>
    <w:rsid w:val="608C6212"/>
    <w:rsid w:val="609B3C2C"/>
    <w:rsid w:val="609D3AE0"/>
    <w:rsid w:val="60B464F7"/>
    <w:rsid w:val="60BA7FC6"/>
    <w:rsid w:val="60BB26AF"/>
    <w:rsid w:val="60BD0047"/>
    <w:rsid w:val="60D30604"/>
    <w:rsid w:val="60D40EEC"/>
    <w:rsid w:val="60F43BD8"/>
    <w:rsid w:val="60FB291D"/>
    <w:rsid w:val="61073070"/>
    <w:rsid w:val="611C26A2"/>
    <w:rsid w:val="611F03B9"/>
    <w:rsid w:val="611F660B"/>
    <w:rsid w:val="612E684E"/>
    <w:rsid w:val="612F3ED2"/>
    <w:rsid w:val="613A62D4"/>
    <w:rsid w:val="61412A26"/>
    <w:rsid w:val="61532759"/>
    <w:rsid w:val="618A0DD5"/>
    <w:rsid w:val="61926BBD"/>
    <w:rsid w:val="61B52ACC"/>
    <w:rsid w:val="61C80A51"/>
    <w:rsid w:val="61E82EA1"/>
    <w:rsid w:val="61F71336"/>
    <w:rsid w:val="61FE26C5"/>
    <w:rsid w:val="62092E18"/>
    <w:rsid w:val="620B6B90"/>
    <w:rsid w:val="620F48D2"/>
    <w:rsid w:val="6211064A"/>
    <w:rsid w:val="62173786"/>
    <w:rsid w:val="62243CCF"/>
    <w:rsid w:val="623C31ED"/>
    <w:rsid w:val="62426A55"/>
    <w:rsid w:val="6261663B"/>
    <w:rsid w:val="626A7D5A"/>
    <w:rsid w:val="626D33A6"/>
    <w:rsid w:val="6278154A"/>
    <w:rsid w:val="6291178B"/>
    <w:rsid w:val="629B6165"/>
    <w:rsid w:val="629B7F14"/>
    <w:rsid w:val="62A414BE"/>
    <w:rsid w:val="62BD432E"/>
    <w:rsid w:val="62D6719E"/>
    <w:rsid w:val="62EA2C49"/>
    <w:rsid w:val="62EA49F7"/>
    <w:rsid w:val="62F13FD7"/>
    <w:rsid w:val="62F67840"/>
    <w:rsid w:val="630006BE"/>
    <w:rsid w:val="63014E7B"/>
    <w:rsid w:val="630A235D"/>
    <w:rsid w:val="630B627B"/>
    <w:rsid w:val="6311467A"/>
    <w:rsid w:val="63133F4E"/>
    <w:rsid w:val="63181564"/>
    <w:rsid w:val="631B2E02"/>
    <w:rsid w:val="632717A7"/>
    <w:rsid w:val="633A3BD0"/>
    <w:rsid w:val="6343302D"/>
    <w:rsid w:val="634560D1"/>
    <w:rsid w:val="634C3904"/>
    <w:rsid w:val="635011B8"/>
    <w:rsid w:val="6361115D"/>
    <w:rsid w:val="637B1AF3"/>
    <w:rsid w:val="63846BFA"/>
    <w:rsid w:val="63952BB5"/>
    <w:rsid w:val="63AA36DB"/>
    <w:rsid w:val="63B03E93"/>
    <w:rsid w:val="63B05C41"/>
    <w:rsid w:val="63C139AA"/>
    <w:rsid w:val="63C65464"/>
    <w:rsid w:val="63C86705"/>
    <w:rsid w:val="63DE49A4"/>
    <w:rsid w:val="63E52203"/>
    <w:rsid w:val="63E92F01"/>
    <w:rsid w:val="63EB0A27"/>
    <w:rsid w:val="64041AE8"/>
    <w:rsid w:val="64055F8C"/>
    <w:rsid w:val="640713D3"/>
    <w:rsid w:val="640E2967"/>
    <w:rsid w:val="6424218B"/>
    <w:rsid w:val="642D54E3"/>
    <w:rsid w:val="642D7291"/>
    <w:rsid w:val="643248A8"/>
    <w:rsid w:val="64383D13"/>
    <w:rsid w:val="643B19AE"/>
    <w:rsid w:val="643E324C"/>
    <w:rsid w:val="64607667"/>
    <w:rsid w:val="64610138"/>
    <w:rsid w:val="64682ECF"/>
    <w:rsid w:val="646A4041"/>
    <w:rsid w:val="647E236A"/>
    <w:rsid w:val="648B3FB8"/>
    <w:rsid w:val="64915A72"/>
    <w:rsid w:val="64986E00"/>
    <w:rsid w:val="64990483"/>
    <w:rsid w:val="64A82DBC"/>
    <w:rsid w:val="64AC465A"/>
    <w:rsid w:val="64B654D9"/>
    <w:rsid w:val="64BE4CF4"/>
    <w:rsid w:val="64C25C2B"/>
    <w:rsid w:val="64C359FD"/>
    <w:rsid w:val="64D67929"/>
    <w:rsid w:val="64DF4A2F"/>
    <w:rsid w:val="64EA5D49"/>
    <w:rsid w:val="64EC2CA8"/>
    <w:rsid w:val="64F61D79"/>
    <w:rsid w:val="64F97173"/>
    <w:rsid w:val="65270184"/>
    <w:rsid w:val="65444892"/>
    <w:rsid w:val="654523B9"/>
    <w:rsid w:val="65483F55"/>
    <w:rsid w:val="654A79CF"/>
    <w:rsid w:val="65646CE3"/>
    <w:rsid w:val="657131AE"/>
    <w:rsid w:val="65736F26"/>
    <w:rsid w:val="65931376"/>
    <w:rsid w:val="659770B8"/>
    <w:rsid w:val="65B03CD6"/>
    <w:rsid w:val="65B37C6A"/>
    <w:rsid w:val="65C87949"/>
    <w:rsid w:val="65CD5C3A"/>
    <w:rsid w:val="65DC2D1D"/>
    <w:rsid w:val="65EB7404"/>
    <w:rsid w:val="65F242EE"/>
    <w:rsid w:val="65F52031"/>
    <w:rsid w:val="65FC516D"/>
    <w:rsid w:val="65FD6F9E"/>
    <w:rsid w:val="66013EDF"/>
    <w:rsid w:val="66014531"/>
    <w:rsid w:val="6609788A"/>
    <w:rsid w:val="660F30F2"/>
    <w:rsid w:val="661E1587"/>
    <w:rsid w:val="661F2C0A"/>
    <w:rsid w:val="66326DE1"/>
    <w:rsid w:val="663366B5"/>
    <w:rsid w:val="664408C2"/>
    <w:rsid w:val="665705F5"/>
    <w:rsid w:val="665925BF"/>
    <w:rsid w:val="666176C6"/>
    <w:rsid w:val="666D606B"/>
    <w:rsid w:val="66724083"/>
    <w:rsid w:val="667B3037"/>
    <w:rsid w:val="66862C89"/>
    <w:rsid w:val="669730E8"/>
    <w:rsid w:val="66976C44"/>
    <w:rsid w:val="66A01F9C"/>
    <w:rsid w:val="66A6332B"/>
    <w:rsid w:val="66B617C0"/>
    <w:rsid w:val="66BE0674"/>
    <w:rsid w:val="66C0619B"/>
    <w:rsid w:val="66C537B1"/>
    <w:rsid w:val="66C8504F"/>
    <w:rsid w:val="66E07054"/>
    <w:rsid w:val="66FD259E"/>
    <w:rsid w:val="67002A3B"/>
    <w:rsid w:val="67177D85"/>
    <w:rsid w:val="672524A2"/>
    <w:rsid w:val="67386679"/>
    <w:rsid w:val="674072DB"/>
    <w:rsid w:val="675863D3"/>
    <w:rsid w:val="675E59B4"/>
    <w:rsid w:val="678B49FB"/>
    <w:rsid w:val="679565B5"/>
    <w:rsid w:val="679A2E90"/>
    <w:rsid w:val="67A45ABC"/>
    <w:rsid w:val="67A535E2"/>
    <w:rsid w:val="67AD6686"/>
    <w:rsid w:val="67BA708E"/>
    <w:rsid w:val="67BD092C"/>
    <w:rsid w:val="67BF28F6"/>
    <w:rsid w:val="67C40E81"/>
    <w:rsid w:val="67C63C85"/>
    <w:rsid w:val="67DF08A2"/>
    <w:rsid w:val="67E8684F"/>
    <w:rsid w:val="67F72090"/>
    <w:rsid w:val="67F867D3"/>
    <w:rsid w:val="67FF2CF3"/>
    <w:rsid w:val="68000819"/>
    <w:rsid w:val="680E1188"/>
    <w:rsid w:val="680E737E"/>
    <w:rsid w:val="6810758F"/>
    <w:rsid w:val="681744E0"/>
    <w:rsid w:val="6817628E"/>
    <w:rsid w:val="68203FE7"/>
    <w:rsid w:val="6821710D"/>
    <w:rsid w:val="683A1F7D"/>
    <w:rsid w:val="683D585C"/>
    <w:rsid w:val="68456A72"/>
    <w:rsid w:val="685C6397"/>
    <w:rsid w:val="68712C0C"/>
    <w:rsid w:val="68792AA5"/>
    <w:rsid w:val="68833924"/>
    <w:rsid w:val="688356D2"/>
    <w:rsid w:val="688D47A2"/>
    <w:rsid w:val="689C7B98"/>
    <w:rsid w:val="689F0032"/>
    <w:rsid w:val="689F6284"/>
    <w:rsid w:val="68BD1E4E"/>
    <w:rsid w:val="68CF4DBB"/>
    <w:rsid w:val="68D20407"/>
    <w:rsid w:val="68D91796"/>
    <w:rsid w:val="68E5013A"/>
    <w:rsid w:val="68F93BE6"/>
    <w:rsid w:val="68FD1293"/>
    <w:rsid w:val="69085BD7"/>
    <w:rsid w:val="690E58E3"/>
    <w:rsid w:val="6917406C"/>
    <w:rsid w:val="69177F2E"/>
    <w:rsid w:val="691C2C5A"/>
    <w:rsid w:val="693469CC"/>
    <w:rsid w:val="69366BE8"/>
    <w:rsid w:val="693764BC"/>
    <w:rsid w:val="69482477"/>
    <w:rsid w:val="69721D9A"/>
    <w:rsid w:val="697274F4"/>
    <w:rsid w:val="698303A0"/>
    <w:rsid w:val="69877E42"/>
    <w:rsid w:val="698A0CE2"/>
    <w:rsid w:val="698A6F34"/>
    <w:rsid w:val="698F1235"/>
    <w:rsid w:val="69A55B1C"/>
    <w:rsid w:val="69AC2A06"/>
    <w:rsid w:val="69C04704"/>
    <w:rsid w:val="69C73CE4"/>
    <w:rsid w:val="69C9180A"/>
    <w:rsid w:val="69D00DEB"/>
    <w:rsid w:val="69D139C2"/>
    <w:rsid w:val="69DF4B8A"/>
    <w:rsid w:val="69E16412"/>
    <w:rsid w:val="69FD7E56"/>
    <w:rsid w:val="6A184540"/>
    <w:rsid w:val="6A1B4F77"/>
    <w:rsid w:val="6A1D3904"/>
    <w:rsid w:val="6A31115D"/>
    <w:rsid w:val="6A3A44B6"/>
    <w:rsid w:val="6A425588"/>
    <w:rsid w:val="6A575068"/>
    <w:rsid w:val="6A5D46C3"/>
    <w:rsid w:val="6A635409"/>
    <w:rsid w:val="6A641533"/>
    <w:rsid w:val="6A6872A3"/>
    <w:rsid w:val="6A6B28C1"/>
    <w:rsid w:val="6A701C86"/>
    <w:rsid w:val="6A7514E9"/>
    <w:rsid w:val="6A773014"/>
    <w:rsid w:val="6A7A48B2"/>
    <w:rsid w:val="6A7F45BF"/>
    <w:rsid w:val="6A7F58F7"/>
    <w:rsid w:val="6A815C41"/>
    <w:rsid w:val="6A86594D"/>
    <w:rsid w:val="6A902328"/>
    <w:rsid w:val="6A9E4A45"/>
    <w:rsid w:val="6AB31E28"/>
    <w:rsid w:val="6AB965D8"/>
    <w:rsid w:val="6ABC311D"/>
    <w:rsid w:val="6ABF6769"/>
    <w:rsid w:val="6AD00976"/>
    <w:rsid w:val="6AD46F87"/>
    <w:rsid w:val="6AD541DF"/>
    <w:rsid w:val="6AD62431"/>
    <w:rsid w:val="6AE368FC"/>
    <w:rsid w:val="6AE508C6"/>
    <w:rsid w:val="6AFE7291"/>
    <w:rsid w:val="6B056872"/>
    <w:rsid w:val="6B105217"/>
    <w:rsid w:val="6B1271E1"/>
    <w:rsid w:val="6B19056F"/>
    <w:rsid w:val="6B1E7934"/>
    <w:rsid w:val="6B2313EE"/>
    <w:rsid w:val="6B256F14"/>
    <w:rsid w:val="6B264A3A"/>
    <w:rsid w:val="6B2C0FE5"/>
    <w:rsid w:val="6B403D4E"/>
    <w:rsid w:val="6B4078AA"/>
    <w:rsid w:val="6B413801"/>
    <w:rsid w:val="6B421874"/>
    <w:rsid w:val="6B4B624F"/>
    <w:rsid w:val="6B4C44A1"/>
    <w:rsid w:val="6B565C21"/>
    <w:rsid w:val="6B5B46E4"/>
    <w:rsid w:val="6B601CFA"/>
    <w:rsid w:val="6B60619E"/>
    <w:rsid w:val="6B657311"/>
    <w:rsid w:val="6B6F4633"/>
    <w:rsid w:val="6B713F07"/>
    <w:rsid w:val="6B761553"/>
    <w:rsid w:val="6B79100E"/>
    <w:rsid w:val="6B7C06CC"/>
    <w:rsid w:val="6B8A6D77"/>
    <w:rsid w:val="6B9A16B0"/>
    <w:rsid w:val="6B9B481D"/>
    <w:rsid w:val="6BA047ED"/>
    <w:rsid w:val="6BA138DB"/>
    <w:rsid w:val="6BA71180"/>
    <w:rsid w:val="6BBB5183"/>
    <w:rsid w:val="6BBD0EFB"/>
    <w:rsid w:val="6BC66B16"/>
    <w:rsid w:val="6BC92584"/>
    <w:rsid w:val="6BC93D43"/>
    <w:rsid w:val="6BD10E4A"/>
    <w:rsid w:val="6BE04BE9"/>
    <w:rsid w:val="6BEB1F0C"/>
    <w:rsid w:val="6C0E1756"/>
    <w:rsid w:val="6C103720"/>
    <w:rsid w:val="6C256AA0"/>
    <w:rsid w:val="6C2C7E2E"/>
    <w:rsid w:val="6C382C77"/>
    <w:rsid w:val="6C463B96"/>
    <w:rsid w:val="6C467142"/>
    <w:rsid w:val="6C63614E"/>
    <w:rsid w:val="6C77554D"/>
    <w:rsid w:val="6C7C2B64"/>
    <w:rsid w:val="6C7E5D75"/>
    <w:rsid w:val="6C7F4402"/>
    <w:rsid w:val="6C9F2CF6"/>
    <w:rsid w:val="6CA65E33"/>
    <w:rsid w:val="6CA87373"/>
    <w:rsid w:val="6CAE2F39"/>
    <w:rsid w:val="6CCB7647"/>
    <w:rsid w:val="6CD035F8"/>
    <w:rsid w:val="6CEB1A97"/>
    <w:rsid w:val="6CEF1588"/>
    <w:rsid w:val="6CF546C4"/>
    <w:rsid w:val="6D024D4F"/>
    <w:rsid w:val="6D08089B"/>
    <w:rsid w:val="6D21370B"/>
    <w:rsid w:val="6D2A7880"/>
    <w:rsid w:val="6D30394E"/>
    <w:rsid w:val="6D3C22F3"/>
    <w:rsid w:val="6D4318D3"/>
    <w:rsid w:val="6D4B0788"/>
    <w:rsid w:val="6D5E5A3C"/>
    <w:rsid w:val="6D657A9C"/>
    <w:rsid w:val="6D723F67"/>
    <w:rsid w:val="6D875C64"/>
    <w:rsid w:val="6D9143ED"/>
    <w:rsid w:val="6D920165"/>
    <w:rsid w:val="6D9722EC"/>
    <w:rsid w:val="6D9A247D"/>
    <w:rsid w:val="6DA305C4"/>
    <w:rsid w:val="6DA90639"/>
    <w:rsid w:val="6DB36A59"/>
    <w:rsid w:val="6DB66549"/>
    <w:rsid w:val="6DBC387E"/>
    <w:rsid w:val="6DC3394D"/>
    <w:rsid w:val="6DC9627D"/>
    <w:rsid w:val="6DCA581F"/>
    <w:rsid w:val="6DEA1D4F"/>
    <w:rsid w:val="6DEC5AC7"/>
    <w:rsid w:val="6DF1132F"/>
    <w:rsid w:val="6DF64B98"/>
    <w:rsid w:val="6DF80910"/>
    <w:rsid w:val="6E001573"/>
    <w:rsid w:val="6E0077C5"/>
    <w:rsid w:val="6E05302D"/>
    <w:rsid w:val="6E1119D2"/>
    <w:rsid w:val="6E130D92"/>
    <w:rsid w:val="6E1A437E"/>
    <w:rsid w:val="6E1D4E5E"/>
    <w:rsid w:val="6E3966C0"/>
    <w:rsid w:val="6E3B25AB"/>
    <w:rsid w:val="6E510020"/>
    <w:rsid w:val="6E511DCE"/>
    <w:rsid w:val="6E557B10"/>
    <w:rsid w:val="6E60564A"/>
    <w:rsid w:val="6E66587A"/>
    <w:rsid w:val="6E677844"/>
    <w:rsid w:val="6E69248F"/>
    <w:rsid w:val="6E6C09B6"/>
    <w:rsid w:val="6E7066F8"/>
    <w:rsid w:val="6E753D0F"/>
    <w:rsid w:val="6E7D0E15"/>
    <w:rsid w:val="6E823F0A"/>
    <w:rsid w:val="6E82642B"/>
    <w:rsid w:val="6E8E6B7E"/>
    <w:rsid w:val="6E963C85"/>
    <w:rsid w:val="6E970129"/>
    <w:rsid w:val="6EA91C0A"/>
    <w:rsid w:val="6EAB14DE"/>
    <w:rsid w:val="6EB5235D"/>
    <w:rsid w:val="6EC30F1E"/>
    <w:rsid w:val="6EC92BFA"/>
    <w:rsid w:val="6EF54E4F"/>
    <w:rsid w:val="6F081D86"/>
    <w:rsid w:val="6F174CC1"/>
    <w:rsid w:val="6F174DC6"/>
    <w:rsid w:val="6F235519"/>
    <w:rsid w:val="6F375468"/>
    <w:rsid w:val="6F6049BF"/>
    <w:rsid w:val="6F6D49E6"/>
    <w:rsid w:val="6F767D3E"/>
    <w:rsid w:val="6F7A7103"/>
    <w:rsid w:val="6F8561D3"/>
    <w:rsid w:val="6F8D6E36"/>
    <w:rsid w:val="6F8F2BAE"/>
    <w:rsid w:val="6FA32AFD"/>
    <w:rsid w:val="6FA56875"/>
    <w:rsid w:val="6FB645DF"/>
    <w:rsid w:val="6FBD3BBF"/>
    <w:rsid w:val="6FBE0DC2"/>
    <w:rsid w:val="6FC22F83"/>
    <w:rsid w:val="6FC62348"/>
    <w:rsid w:val="6FD35191"/>
    <w:rsid w:val="6FD72644"/>
    <w:rsid w:val="6FD827A7"/>
    <w:rsid w:val="6FE663C9"/>
    <w:rsid w:val="6FEA4288"/>
    <w:rsid w:val="6FEC1DAE"/>
    <w:rsid w:val="6FEF189F"/>
    <w:rsid w:val="6FF9271D"/>
    <w:rsid w:val="6FF944CB"/>
    <w:rsid w:val="7007308C"/>
    <w:rsid w:val="70074E3A"/>
    <w:rsid w:val="70082960"/>
    <w:rsid w:val="701F58F4"/>
    <w:rsid w:val="70260D33"/>
    <w:rsid w:val="70384B42"/>
    <w:rsid w:val="703E6382"/>
    <w:rsid w:val="70433998"/>
    <w:rsid w:val="70453BB5"/>
    <w:rsid w:val="706109EE"/>
    <w:rsid w:val="706E310B"/>
    <w:rsid w:val="70707D6F"/>
    <w:rsid w:val="70787AE6"/>
    <w:rsid w:val="707E6704"/>
    <w:rsid w:val="70855DAA"/>
    <w:rsid w:val="708B7258"/>
    <w:rsid w:val="708C50EF"/>
    <w:rsid w:val="70910BA8"/>
    <w:rsid w:val="70A24B63"/>
    <w:rsid w:val="70A26506"/>
    <w:rsid w:val="70B054D2"/>
    <w:rsid w:val="70C42D2B"/>
    <w:rsid w:val="70C54B3E"/>
    <w:rsid w:val="70C920F0"/>
    <w:rsid w:val="70CE7706"/>
    <w:rsid w:val="70D475D2"/>
    <w:rsid w:val="70DC1E23"/>
    <w:rsid w:val="70DD3DED"/>
    <w:rsid w:val="70E17439"/>
    <w:rsid w:val="70E433CD"/>
    <w:rsid w:val="70E4517B"/>
    <w:rsid w:val="70E62CA2"/>
    <w:rsid w:val="70E64A50"/>
    <w:rsid w:val="70F03B20"/>
    <w:rsid w:val="710747E4"/>
    <w:rsid w:val="71094BE2"/>
    <w:rsid w:val="710D6480"/>
    <w:rsid w:val="711041C2"/>
    <w:rsid w:val="711A294B"/>
    <w:rsid w:val="711D243B"/>
    <w:rsid w:val="71285068"/>
    <w:rsid w:val="71290DE0"/>
    <w:rsid w:val="712A5284"/>
    <w:rsid w:val="71341C5F"/>
    <w:rsid w:val="7141612A"/>
    <w:rsid w:val="71461992"/>
    <w:rsid w:val="71520337"/>
    <w:rsid w:val="715C5F56"/>
    <w:rsid w:val="716144B4"/>
    <w:rsid w:val="7162798B"/>
    <w:rsid w:val="7168781F"/>
    <w:rsid w:val="7169742F"/>
    <w:rsid w:val="717007BD"/>
    <w:rsid w:val="71724535"/>
    <w:rsid w:val="71752277"/>
    <w:rsid w:val="717604C9"/>
    <w:rsid w:val="717A6835"/>
    <w:rsid w:val="717F46A4"/>
    <w:rsid w:val="719974E5"/>
    <w:rsid w:val="719C7804"/>
    <w:rsid w:val="71A14E1B"/>
    <w:rsid w:val="71B2750D"/>
    <w:rsid w:val="71B52352"/>
    <w:rsid w:val="71BA7C8A"/>
    <w:rsid w:val="71C56D5B"/>
    <w:rsid w:val="71CF3736"/>
    <w:rsid w:val="71EA49F7"/>
    <w:rsid w:val="71EC078C"/>
    <w:rsid w:val="71FD4747"/>
    <w:rsid w:val="71FD64F5"/>
    <w:rsid w:val="72141A90"/>
    <w:rsid w:val="72203F91"/>
    <w:rsid w:val="722437C0"/>
    <w:rsid w:val="72253C9E"/>
    <w:rsid w:val="722F68CA"/>
    <w:rsid w:val="723839D1"/>
    <w:rsid w:val="72457E9C"/>
    <w:rsid w:val="724759C2"/>
    <w:rsid w:val="724D1E21"/>
    <w:rsid w:val="724E4FA2"/>
    <w:rsid w:val="7251239D"/>
    <w:rsid w:val="725400DF"/>
    <w:rsid w:val="7258372B"/>
    <w:rsid w:val="72730565"/>
    <w:rsid w:val="72741A8A"/>
    <w:rsid w:val="727803D7"/>
    <w:rsid w:val="727A5D97"/>
    <w:rsid w:val="727B566C"/>
    <w:rsid w:val="727D2E62"/>
    <w:rsid w:val="727D5888"/>
    <w:rsid w:val="728A0953"/>
    <w:rsid w:val="7294672D"/>
    <w:rsid w:val="729D71C3"/>
    <w:rsid w:val="72A1339F"/>
    <w:rsid w:val="72A252EE"/>
    <w:rsid w:val="72A64AC1"/>
    <w:rsid w:val="72A746B3"/>
    <w:rsid w:val="72A921D9"/>
    <w:rsid w:val="72AF58B1"/>
    <w:rsid w:val="72B33869"/>
    <w:rsid w:val="72B8241C"/>
    <w:rsid w:val="72BA43E6"/>
    <w:rsid w:val="72BB1F0C"/>
    <w:rsid w:val="72C963D7"/>
    <w:rsid w:val="72CE60E3"/>
    <w:rsid w:val="72DD6326"/>
    <w:rsid w:val="72E2393D"/>
    <w:rsid w:val="72EB0A43"/>
    <w:rsid w:val="72F62F44"/>
    <w:rsid w:val="73041B05"/>
    <w:rsid w:val="730833A3"/>
    <w:rsid w:val="7309711B"/>
    <w:rsid w:val="73165394"/>
    <w:rsid w:val="7319019D"/>
    <w:rsid w:val="73397A01"/>
    <w:rsid w:val="733C129F"/>
    <w:rsid w:val="733E6DC5"/>
    <w:rsid w:val="734737A0"/>
    <w:rsid w:val="734B7734"/>
    <w:rsid w:val="73634A7D"/>
    <w:rsid w:val="73640FBD"/>
    <w:rsid w:val="7372081D"/>
    <w:rsid w:val="737547B1"/>
    <w:rsid w:val="737A5923"/>
    <w:rsid w:val="73813156"/>
    <w:rsid w:val="7386251A"/>
    <w:rsid w:val="73974727"/>
    <w:rsid w:val="73A806E2"/>
    <w:rsid w:val="73C66DBA"/>
    <w:rsid w:val="73D72A64"/>
    <w:rsid w:val="73E334C8"/>
    <w:rsid w:val="73EA6309"/>
    <w:rsid w:val="73EC4A73"/>
    <w:rsid w:val="741915E0"/>
    <w:rsid w:val="741D3D69"/>
    <w:rsid w:val="741E2752"/>
    <w:rsid w:val="742835D1"/>
    <w:rsid w:val="74367A9C"/>
    <w:rsid w:val="743E2DF5"/>
    <w:rsid w:val="74477EFB"/>
    <w:rsid w:val="74485A21"/>
    <w:rsid w:val="744F6DB0"/>
    <w:rsid w:val="74566390"/>
    <w:rsid w:val="74575C64"/>
    <w:rsid w:val="745B39A7"/>
    <w:rsid w:val="745B7503"/>
    <w:rsid w:val="746513D5"/>
    <w:rsid w:val="746C5BB4"/>
    <w:rsid w:val="746F7452"/>
    <w:rsid w:val="747B0A80"/>
    <w:rsid w:val="748527D2"/>
    <w:rsid w:val="74A54C22"/>
    <w:rsid w:val="74B24BB1"/>
    <w:rsid w:val="74BD7896"/>
    <w:rsid w:val="74BF3F35"/>
    <w:rsid w:val="74CC21AE"/>
    <w:rsid w:val="74D13E3E"/>
    <w:rsid w:val="74DF0134"/>
    <w:rsid w:val="74E120FE"/>
    <w:rsid w:val="74E67714"/>
    <w:rsid w:val="74F02341"/>
    <w:rsid w:val="750E0A19"/>
    <w:rsid w:val="751122B7"/>
    <w:rsid w:val="75175B20"/>
    <w:rsid w:val="751D6EAE"/>
    <w:rsid w:val="75226272"/>
    <w:rsid w:val="752C70F1"/>
    <w:rsid w:val="75483F2B"/>
    <w:rsid w:val="75491A51"/>
    <w:rsid w:val="754B57C9"/>
    <w:rsid w:val="754D5C67"/>
    <w:rsid w:val="754E7067"/>
    <w:rsid w:val="75526B58"/>
    <w:rsid w:val="755328D0"/>
    <w:rsid w:val="75555C41"/>
    <w:rsid w:val="756D1BE3"/>
    <w:rsid w:val="75722D56"/>
    <w:rsid w:val="758D1F43"/>
    <w:rsid w:val="758E3908"/>
    <w:rsid w:val="75915B98"/>
    <w:rsid w:val="759929D8"/>
    <w:rsid w:val="759C7DD3"/>
    <w:rsid w:val="75A1363B"/>
    <w:rsid w:val="75A924F0"/>
    <w:rsid w:val="75B23A9A"/>
    <w:rsid w:val="75D02172"/>
    <w:rsid w:val="75D44D84"/>
    <w:rsid w:val="75DA55C9"/>
    <w:rsid w:val="75E1612D"/>
    <w:rsid w:val="75E654F2"/>
    <w:rsid w:val="75EB48B6"/>
    <w:rsid w:val="75F32F93"/>
    <w:rsid w:val="75F53987"/>
    <w:rsid w:val="75FC5D75"/>
    <w:rsid w:val="760836BA"/>
    <w:rsid w:val="760B4F58"/>
    <w:rsid w:val="761262E7"/>
    <w:rsid w:val="76143D91"/>
    <w:rsid w:val="762229CE"/>
    <w:rsid w:val="76256C60"/>
    <w:rsid w:val="762A1882"/>
    <w:rsid w:val="764364A0"/>
    <w:rsid w:val="76465F91"/>
    <w:rsid w:val="7650466E"/>
    <w:rsid w:val="76544B51"/>
    <w:rsid w:val="76562678"/>
    <w:rsid w:val="76636B42"/>
    <w:rsid w:val="766D7254"/>
    <w:rsid w:val="7671125F"/>
    <w:rsid w:val="7687281A"/>
    <w:rsid w:val="768D3BBF"/>
    <w:rsid w:val="769B62DC"/>
    <w:rsid w:val="769D2054"/>
    <w:rsid w:val="76A35191"/>
    <w:rsid w:val="76A5715B"/>
    <w:rsid w:val="76A74C81"/>
    <w:rsid w:val="76AE24B4"/>
    <w:rsid w:val="76B80C3C"/>
    <w:rsid w:val="76BB24DB"/>
    <w:rsid w:val="76C375E1"/>
    <w:rsid w:val="76CF41D8"/>
    <w:rsid w:val="76D31F1A"/>
    <w:rsid w:val="76D637B8"/>
    <w:rsid w:val="76EA1B46"/>
    <w:rsid w:val="76F459ED"/>
    <w:rsid w:val="76FB321F"/>
    <w:rsid w:val="7715608F"/>
    <w:rsid w:val="77242776"/>
    <w:rsid w:val="772462D2"/>
    <w:rsid w:val="772C33D8"/>
    <w:rsid w:val="773D6CBB"/>
    <w:rsid w:val="77514BED"/>
    <w:rsid w:val="775A263D"/>
    <w:rsid w:val="776E39F1"/>
    <w:rsid w:val="77723487"/>
    <w:rsid w:val="778154D2"/>
    <w:rsid w:val="77860D3A"/>
    <w:rsid w:val="77980A6E"/>
    <w:rsid w:val="779C67B0"/>
    <w:rsid w:val="779F1DFC"/>
    <w:rsid w:val="77A47413"/>
    <w:rsid w:val="77B43AFA"/>
    <w:rsid w:val="77C27899"/>
    <w:rsid w:val="77F02658"/>
    <w:rsid w:val="77FE6B23"/>
    <w:rsid w:val="7800347A"/>
    <w:rsid w:val="7801371C"/>
    <w:rsid w:val="7804209D"/>
    <w:rsid w:val="780954C8"/>
    <w:rsid w:val="780D320A"/>
    <w:rsid w:val="78120820"/>
    <w:rsid w:val="78144598"/>
    <w:rsid w:val="783E1615"/>
    <w:rsid w:val="78450BF6"/>
    <w:rsid w:val="78482494"/>
    <w:rsid w:val="784C1F84"/>
    <w:rsid w:val="78564BB1"/>
    <w:rsid w:val="785726D7"/>
    <w:rsid w:val="78591FAB"/>
    <w:rsid w:val="786F5C73"/>
    <w:rsid w:val="787212BF"/>
    <w:rsid w:val="78770683"/>
    <w:rsid w:val="787B0173"/>
    <w:rsid w:val="788039DC"/>
    <w:rsid w:val="788833C0"/>
    <w:rsid w:val="78994A9D"/>
    <w:rsid w:val="7899684C"/>
    <w:rsid w:val="789B0816"/>
    <w:rsid w:val="78A70F68"/>
    <w:rsid w:val="78A71377"/>
    <w:rsid w:val="78B0626D"/>
    <w:rsid w:val="78B83176"/>
    <w:rsid w:val="78BC253A"/>
    <w:rsid w:val="78C31B1A"/>
    <w:rsid w:val="78C935D5"/>
    <w:rsid w:val="78D83818"/>
    <w:rsid w:val="78DC3DFA"/>
    <w:rsid w:val="78EB0347"/>
    <w:rsid w:val="78F87A16"/>
    <w:rsid w:val="79142376"/>
    <w:rsid w:val="791505C8"/>
    <w:rsid w:val="793D367B"/>
    <w:rsid w:val="794B3A23"/>
    <w:rsid w:val="7956473D"/>
    <w:rsid w:val="795B1D53"/>
    <w:rsid w:val="795C61F7"/>
    <w:rsid w:val="796E7CD8"/>
    <w:rsid w:val="7973709D"/>
    <w:rsid w:val="797F3C71"/>
    <w:rsid w:val="798A645C"/>
    <w:rsid w:val="799040F2"/>
    <w:rsid w:val="79905EA0"/>
    <w:rsid w:val="799A6D1F"/>
    <w:rsid w:val="799D05BD"/>
    <w:rsid w:val="79A11E5C"/>
    <w:rsid w:val="79A6540D"/>
    <w:rsid w:val="79B0209F"/>
    <w:rsid w:val="79B55907"/>
    <w:rsid w:val="79C63670"/>
    <w:rsid w:val="79C943F8"/>
    <w:rsid w:val="79C97604"/>
    <w:rsid w:val="79D7587D"/>
    <w:rsid w:val="79D97847"/>
    <w:rsid w:val="79DA35C0"/>
    <w:rsid w:val="79DB7B85"/>
    <w:rsid w:val="79E306C6"/>
    <w:rsid w:val="79EF1AFD"/>
    <w:rsid w:val="79F503F9"/>
    <w:rsid w:val="79F83E71"/>
    <w:rsid w:val="7A1940E8"/>
    <w:rsid w:val="7A202934"/>
    <w:rsid w:val="7A4A42A1"/>
    <w:rsid w:val="7A4D526B"/>
    <w:rsid w:val="7A590988"/>
    <w:rsid w:val="7A770E0E"/>
    <w:rsid w:val="7A812B89"/>
    <w:rsid w:val="7A88301C"/>
    <w:rsid w:val="7A8A6D94"/>
    <w:rsid w:val="7A8B61DF"/>
    <w:rsid w:val="7A94551C"/>
    <w:rsid w:val="7A982F10"/>
    <w:rsid w:val="7AA5597C"/>
    <w:rsid w:val="7AA634A2"/>
    <w:rsid w:val="7AAC0AB8"/>
    <w:rsid w:val="7AAF220A"/>
    <w:rsid w:val="7AB12572"/>
    <w:rsid w:val="7ABE6A3D"/>
    <w:rsid w:val="7AC93DFB"/>
    <w:rsid w:val="7ACC1EB1"/>
    <w:rsid w:val="7AE71AF0"/>
    <w:rsid w:val="7AF04419"/>
    <w:rsid w:val="7AF4245F"/>
    <w:rsid w:val="7AFD1314"/>
    <w:rsid w:val="7B046B46"/>
    <w:rsid w:val="7B072192"/>
    <w:rsid w:val="7B087CB8"/>
    <w:rsid w:val="7B1448AF"/>
    <w:rsid w:val="7B196F79"/>
    <w:rsid w:val="7B203254"/>
    <w:rsid w:val="7B266300"/>
    <w:rsid w:val="7B2965AD"/>
    <w:rsid w:val="7B4056A4"/>
    <w:rsid w:val="7B461E1D"/>
    <w:rsid w:val="7B4927DD"/>
    <w:rsid w:val="7B6363C2"/>
    <w:rsid w:val="7B75534E"/>
    <w:rsid w:val="7B762E74"/>
    <w:rsid w:val="7B7A0BB6"/>
    <w:rsid w:val="7B876E2F"/>
    <w:rsid w:val="7B8C2698"/>
    <w:rsid w:val="7B9F23CB"/>
    <w:rsid w:val="7BA45C33"/>
    <w:rsid w:val="7BC71922"/>
    <w:rsid w:val="7BD858DD"/>
    <w:rsid w:val="7BE139D5"/>
    <w:rsid w:val="7BE25BDD"/>
    <w:rsid w:val="7C014E34"/>
    <w:rsid w:val="7C127041"/>
    <w:rsid w:val="7C1508DF"/>
    <w:rsid w:val="7C176405"/>
    <w:rsid w:val="7C330D65"/>
    <w:rsid w:val="7C3C5447"/>
    <w:rsid w:val="7C4411C4"/>
    <w:rsid w:val="7C442F72"/>
    <w:rsid w:val="7C5533D1"/>
    <w:rsid w:val="7C5E5DE2"/>
    <w:rsid w:val="7C5F1B5A"/>
    <w:rsid w:val="7C662EE9"/>
    <w:rsid w:val="7C6F7FEF"/>
    <w:rsid w:val="7C701FB9"/>
    <w:rsid w:val="7C756C80"/>
    <w:rsid w:val="7C86358B"/>
    <w:rsid w:val="7C8B144C"/>
    <w:rsid w:val="7C8B294F"/>
    <w:rsid w:val="7C921F30"/>
    <w:rsid w:val="7CA37C99"/>
    <w:rsid w:val="7CCF0A8E"/>
    <w:rsid w:val="7CD04806"/>
    <w:rsid w:val="7CD0616A"/>
    <w:rsid w:val="7CD65712"/>
    <w:rsid w:val="7CD95DB0"/>
    <w:rsid w:val="7CE309DD"/>
    <w:rsid w:val="7CE65DD7"/>
    <w:rsid w:val="7CEC5AE4"/>
    <w:rsid w:val="7CEF7382"/>
    <w:rsid w:val="7CF40437"/>
    <w:rsid w:val="7CFC55FB"/>
    <w:rsid w:val="7D060228"/>
    <w:rsid w:val="7D07647A"/>
    <w:rsid w:val="7D0A41BC"/>
    <w:rsid w:val="7D0C1CE2"/>
    <w:rsid w:val="7D133A6A"/>
    <w:rsid w:val="7D1D3EEF"/>
    <w:rsid w:val="7D24527D"/>
    <w:rsid w:val="7D252DA4"/>
    <w:rsid w:val="7D344D95"/>
    <w:rsid w:val="7D3905FD"/>
    <w:rsid w:val="7D3E0C8C"/>
    <w:rsid w:val="7D3F77E3"/>
    <w:rsid w:val="7D641B1E"/>
    <w:rsid w:val="7D6E64F9"/>
    <w:rsid w:val="7D711B45"/>
    <w:rsid w:val="7D7D2BE0"/>
    <w:rsid w:val="7D7E4262"/>
    <w:rsid w:val="7D80447E"/>
    <w:rsid w:val="7DA737B9"/>
    <w:rsid w:val="7DBD6359"/>
    <w:rsid w:val="7DBF6D54"/>
    <w:rsid w:val="7DD23206"/>
    <w:rsid w:val="7DD520D4"/>
    <w:rsid w:val="7DDA1DE0"/>
    <w:rsid w:val="7DE44A0D"/>
    <w:rsid w:val="7DF10ED8"/>
    <w:rsid w:val="7DF369FE"/>
    <w:rsid w:val="7DFC1D56"/>
    <w:rsid w:val="7DFF35F5"/>
    <w:rsid w:val="7E026C41"/>
    <w:rsid w:val="7E040C0B"/>
    <w:rsid w:val="7E123328"/>
    <w:rsid w:val="7E1352F2"/>
    <w:rsid w:val="7E154BC6"/>
    <w:rsid w:val="7E1A21DD"/>
    <w:rsid w:val="7E215319"/>
    <w:rsid w:val="7E2651A5"/>
    <w:rsid w:val="7E357016"/>
    <w:rsid w:val="7E3C65F7"/>
    <w:rsid w:val="7E4D4360"/>
    <w:rsid w:val="7E4F632A"/>
    <w:rsid w:val="7E53749D"/>
    <w:rsid w:val="7E5C45A3"/>
    <w:rsid w:val="7E6672C6"/>
    <w:rsid w:val="7E891110"/>
    <w:rsid w:val="7E941B72"/>
    <w:rsid w:val="7E97382D"/>
    <w:rsid w:val="7EB3006D"/>
    <w:rsid w:val="7EB42631"/>
    <w:rsid w:val="7EBC3294"/>
    <w:rsid w:val="7EC9775F"/>
    <w:rsid w:val="7ECD54A1"/>
    <w:rsid w:val="7ED20D09"/>
    <w:rsid w:val="7EEA0AA5"/>
    <w:rsid w:val="7EED78F1"/>
    <w:rsid w:val="7F013836"/>
    <w:rsid w:val="7F111831"/>
    <w:rsid w:val="7F166E48"/>
    <w:rsid w:val="7F1B26B0"/>
    <w:rsid w:val="7F3177DE"/>
    <w:rsid w:val="7F3A18CD"/>
    <w:rsid w:val="7F3E639F"/>
    <w:rsid w:val="7F4549B0"/>
    <w:rsid w:val="7F477001"/>
    <w:rsid w:val="7F567244"/>
    <w:rsid w:val="7F5931D8"/>
    <w:rsid w:val="7F5B485B"/>
    <w:rsid w:val="7F6851CA"/>
    <w:rsid w:val="7F6A0F42"/>
    <w:rsid w:val="7F7122D0"/>
    <w:rsid w:val="7F7462EF"/>
    <w:rsid w:val="7F7818B1"/>
    <w:rsid w:val="7F8042C1"/>
    <w:rsid w:val="7F89761A"/>
    <w:rsid w:val="7F8D69DE"/>
    <w:rsid w:val="7F8F4030"/>
    <w:rsid w:val="7F947D6D"/>
    <w:rsid w:val="7FA77AA0"/>
    <w:rsid w:val="7FA91A6A"/>
    <w:rsid w:val="7FB87EFF"/>
    <w:rsid w:val="7FB96EB9"/>
    <w:rsid w:val="7FE40C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500" w:lineRule="exact"/>
      <w:ind w:firstLine="723" w:firstLineChars="200"/>
      <w:jc w:val="both"/>
    </w:pPr>
    <w:rPr>
      <w:rFonts w:ascii="Times New Roman" w:hAnsi="Times New Roman" w:eastAsia="宋体" w:cs="Times New Roman"/>
      <w:kern w:val="2"/>
      <w:sz w:val="28"/>
      <w:szCs w:val="24"/>
      <w:lang w:val="en-US" w:eastAsia="zh-CN" w:bidi="ar-SA"/>
    </w:rPr>
  </w:style>
  <w:style w:type="paragraph" w:styleId="2">
    <w:name w:val="heading 1"/>
    <w:basedOn w:val="1"/>
    <w:next w:val="1"/>
    <w:link w:val="37"/>
    <w:autoRedefine/>
    <w:qFormat/>
    <w:uiPriority w:val="0"/>
    <w:pPr>
      <w:keepNext w:val="0"/>
      <w:keepLines w:val="0"/>
      <w:numPr>
        <w:ilvl w:val="0"/>
        <w:numId w:val="1"/>
      </w:numPr>
      <w:spacing w:before="100" w:beforeLines="100" w:beforeAutospacing="0" w:after="100" w:afterLines="100" w:afterAutospacing="0" w:line="240" w:lineRule="auto"/>
      <w:ind w:left="432" w:hanging="432" w:firstLineChars="0"/>
      <w:jc w:val="center"/>
      <w:outlineLvl w:val="0"/>
    </w:pPr>
    <w:rPr>
      <w:rFonts w:eastAsia="黑体" w:asciiTheme="minorAscii" w:hAnsiTheme="minorAscii"/>
      <w:b/>
      <w:kern w:val="44"/>
      <w:sz w:val="44"/>
    </w:rPr>
  </w:style>
  <w:style w:type="paragraph" w:styleId="3">
    <w:name w:val="heading 2"/>
    <w:basedOn w:val="1"/>
    <w:next w:val="1"/>
    <w:link w:val="34"/>
    <w:autoRedefine/>
    <w:unhideWhenUsed/>
    <w:qFormat/>
    <w:uiPriority w:val="0"/>
    <w:pPr>
      <w:keepNext w:val="0"/>
      <w:keepLines w:val="0"/>
      <w:numPr>
        <w:ilvl w:val="1"/>
        <w:numId w:val="1"/>
      </w:numPr>
      <w:tabs>
        <w:tab w:val="left" w:pos="420"/>
      </w:tabs>
      <w:spacing w:before="50" w:beforeLines="50" w:beforeAutospacing="0" w:after="50" w:afterLines="50" w:afterAutospacing="0" w:line="240" w:lineRule="auto"/>
      <w:ind w:left="575" w:hanging="575" w:firstLineChars="0"/>
      <w:outlineLvl w:val="1"/>
    </w:pPr>
    <w:rPr>
      <w:rFonts w:ascii="Arial" w:hAnsi="Arial" w:eastAsia="黑体"/>
      <w:b/>
      <w:sz w:val="32"/>
    </w:rPr>
  </w:style>
  <w:style w:type="paragraph" w:styleId="4">
    <w:name w:val="heading 3"/>
    <w:basedOn w:val="1"/>
    <w:next w:val="1"/>
    <w:link w:val="38"/>
    <w:autoRedefine/>
    <w:unhideWhenUsed/>
    <w:qFormat/>
    <w:uiPriority w:val="0"/>
    <w:pPr>
      <w:numPr>
        <w:ilvl w:val="2"/>
        <w:numId w:val="1"/>
      </w:numPr>
      <w:tabs>
        <w:tab w:val="left" w:pos="0"/>
      </w:tabs>
      <w:spacing w:beforeAutospacing="0" w:afterAutospacing="0" w:line="240" w:lineRule="auto"/>
      <w:ind w:left="720" w:hanging="720" w:firstLineChars="0"/>
      <w:jc w:val="left"/>
      <w:outlineLvl w:val="2"/>
    </w:pPr>
    <w:rPr>
      <w:rFonts w:hint="eastAsia" w:ascii="宋体" w:hAnsi="宋体" w:eastAsia="黑体" w:cs="宋体"/>
      <w:b/>
      <w:bCs/>
      <w:kern w:val="0"/>
      <w:sz w:val="30"/>
      <w:szCs w:val="27"/>
      <w:lang w:bidi="ar"/>
    </w:rPr>
  </w:style>
  <w:style w:type="paragraph" w:styleId="5">
    <w:name w:val="heading 4"/>
    <w:basedOn w:val="1"/>
    <w:next w:val="1"/>
    <w:link w:val="36"/>
    <w:autoRedefine/>
    <w:unhideWhenUsed/>
    <w:qFormat/>
    <w:uiPriority w:val="0"/>
    <w:pPr>
      <w:keepNext w:val="0"/>
      <w:keepLines w:val="0"/>
      <w:numPr>
        <w:ilvl w:val="3"/>
        <w:numId w:val="1"/>
      </w:numPr>
      <w:tabs>
        <w:tab w:val="left" w:pos="420"/>
      </w:tabs>
      <w:spacing w:line="500" w:lineRule="exact"/>
      <w:ind w:left="864" w:hanging="864" w:firstLineChars="0"/>
      <w:jc w:val="left"/>
      <w:outlineLvl w:val="3"/>
    </w:pPr>
    <w:rPr>
      <w:rFonts w:eastAsia="黑体" w:asciiTheme="majorAscii" w:hAnsiTheme="majorAscii" w:cstheme="majorBidi"/>
      <w:b/>
      <w:bCs/>
      <w:szCs w:val="28"/>
    </w:rPr>
  </w:style>
  <w:style w:type="paragraph" w:styleId="6">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7">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51" w:hanging="1151" w:firstLineChars="0"/>
      <w:outlineLvl w:val="5"/>
    </w:pPr>
    <w:rPr>
      <w:rFonts w:ascii="Arial" w:hAnsi="Arial" w:eastAsia="黑体"/>
      <w:b/>
      <w:sz w:val="24"/>
    </w:rPr>
  </w:style>
  <w:style w:type="paragraph" w:styleId="8">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9">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40" w:hanging="1440" w:firstLineChars="0"/>
      <w:outlineLvl w:val="7"/>
    </w:pPr>
    <w:rPr>
      <w:rFonts w:ascii="Arial" w:hAnsi="Arial" w:eastAsia="黑体"/>
      <w:sz w:val="24"/>
    </w:rPr>
  </w:style>
  <w:style w:type="paragraph" w:styleId="10">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83" w:hanging="1583" w:firstLineChars="0"/>
      <w:outlineLvl w:val="8"/>
    </w:pPr>
    <w:rPr>
      <w:rFonts w:ascii="Arial" w:hAnsi="Arial" w:eastAsia="黑体"/>
      <w:sz w:val="21"/>
    </w:rPr>
  </w:style>
  <w:style w:type="character" w:default="1" w:styleId="31">
    <w:name w:val="Default Paragraph Font"/>
    <w:autoRedefine/>
    <w:semiHidden/>
    <w:qFormat/>
    <w:uiPriority w:val="0"/>
  </w:style>
  <w:style w:type="table" w:default="1" w:styleId="29">
    <w:name w:val="Normal Table"/>
    <w:autoRedefine/>
    <w:semiHidden/>
    <w:qFormat/>
    <w:uiPriority w:val="0"/>
    <w:tblPr>
      <w:tblCellMar>
        <w:top w:w="0" w:type="dxa"/>
        <w:left w:w="108" w:type="dxa"/>
        <w:bottom w:w="0" w:type="dxa"/>
        <w:right w:w="108" w:type="dxa"/>
      </w:tblCellMar>
    </w:tblPr>
  </w:style>
  <w:style w:type="paragraph" w:styleId="11">
    <w:name w:val="caption"/>
    <w:basedOn w:val="1"/>
    <w:next w:val="1"/>
    <w:autoRedefine/>
    <w:unhideWhenUsed/>
    <w:qFormat/>
    <w:uiPriority w:val="0"/>
    <w:rPr>
      <w:rFonts w:ascii="Arial" w:hAnsi="Arial" w:eastAsia="黑体"/>
      <w:sz w:val="20"/>
    </w:rPr>
  </w:style>
  <w:style w:type="paragraph" w:styleId="12">
    <w:name w:val="Document Map"/>
    <w:basedOn w:val="1"/>
    <w:autoRedefine/>
    <w:semiHidden/>
    <w:qFormat/>
    <w:uiPriority w:val="0"/>
    <w:pPr>
      <w:shd w:val="clear" w:color="auto" w:fill="000080"/>
    </w:pPr>
  </w:style>
  <w:style w:type="paragraph" w:styleId="13">
    <w:name w:val="annotation text"/>
    <w:basedOn w:val="1"/>
    <w:autoRedefine/>
    <w:qFormat/>
    <w:uiPriority w:val="99"/>
    <w:pPr>
      <w:jc w:val="left"/>
    </w:pPr>
  </w:style>
  <w:style w:type="paragraph" w:styleId="14">
    <w:name w:val="Body Text"/>
    <w:basedOn w:val="1"/>
    <w:link w:val="50"/>
    <w:autoRedefine/>
    <w:qFormat/>
    <w:uiPriority w:val="0"/>
    <w:pPr>
      <w:adjustRightInd w:val="0"/>
      <w:snapToGrid w:val="0"/>
      <w:ind w:firstLine="723" w:firstLineChars="200"/>
    </w:pPr>
  </w:style>
  <w:style w:type="paragraph" w:styleId="15">
    <w:name w:val="Body Text Indent"/>
    <w:basedOn w:val="1"/>
    <w:autoRedefine/>
    <w:qFormat/>
    <w:uiPriority w:val="0"/>
    <w:pPr>
      <w:spacing w:after="120"/>
      <w:ind w:left="420" w:leftChars="200"/>
    </w:pPr>
  </w:style>
  <w:style w:type="paragraph" w:styleId="16">
    <w:name w:val="toc 3"/>
    <w:basedOn w:val="1"/>
    <w:next w:val="1"/>
    <w:autoRedefine/>
    <w:qFormat/>
    <w:uiPriority w:val="39"/>
    <w:pPr>
      <w:ind w:left="840" w:leftChars="400"/>
    </w:pPr>
  </w:style>
  <w:style w:type="paragraph" w:styleId="17">
    <w:name w:val="Plain Text"/>
    <w:basedOn w:val="1"/>
    <w:next w:val="1"/>
    <w:autoRedefine/>
    <w:qFormat/>
    <w:uiPriority w:val="0"/>
    <w:rPr>
      <w:rFonts w:ascii="宋体" w:hAnsi="Courier New"/>
    </w:rPr>
  </w:style>
  <w:style w:type="paragraph" w:styleId="18">
    <w:name w:val="Body Text Indent 2"/>
    <w:basedOn w:val="1"/>
    <w:autoRedefine/>
    <w:qFormat/>
    <w:uiPriority w:val="0"/>
    <w:pPr>
      <w:adjustRightInd w:val="0"/>
      <w:snapToGrid w:val="0"/>
      <w:spacing w:line="500" w:lineRule="exact"/>
      <w:ind w:firstLine="480" w:firstLineChars="200"/>
    </w:pPr>
    <w:rPr>
      <w:sz w:val="28"/>
    </w:rPr>
  </w:style>
  <w:style w:type="paragraph" w:styleId="19">
    <w:name w:val="Balloon Text"/>
    <w:basedOn w:val="1"/>
    <w:autoRedefine/>
    <w:qFormat/>
    <w:uiPriority w:val="0"/>
    <w:rPr>
      <w:sz w:val="18"/>
      <w:szCs w:val="18"/>
    </w:rPr>
  </w:style>
  <w:style w:type="paragraph" w:styleId="20">
    <w:name w:val="footer"/>
    <w:basedOn w:val="1"/>
    <w:autoRedefine/>
    <w:qFormat/>
    <w:uiPriority w:val="0"/>
    <w:pPr>
      <w:tabs>
        <w:tab w:val="center" w:pos="4153"/>
        <w:tab w:val="right" w:pos="8306"/>
      </w:tabs>
      <w:snapToGrid w:val="0"/>
      <w:jc w:val="left"/>
    </w:pPr>
    <w:rPr>
      <w:sz w:val="18"/>
    </w:rPr>
  </w:style>
  <w:style w:type="paragraph" w:styleId="2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2">
    <w:name w:val="toc 1"/>
    <w:basedOn w:val="1"/>
    <w:next w:val="1"/>
    <w:autoRedefine/>
    <w:qFormat/>
    <w:uiPriority w:val="39"/>
  </w:style>
  <w:style w:type="paragraph" w:styleId="23">
    <w:name w:val="Body Text Indent 3"/>
    <w:basedOn w:val="1"/>
    <w:autoRedefine/>
    <w:qFormat/>
    <w:uiPriority w:val="0"/>
    <w:pPr>
      <w:spacing w:after="120"/>
      <w:ind w:left="420" w:leftChars="200"/>
    </w:pPr>
    <w:rPr>
      <w:sz w:val="16"/>
      <w:szCs w:val="16"/>
    </w:rPr>
  </w:style>
  <w:style w:type="paragraph" w:styleId="24">
    <w:name w:val="toc 2"/>
    <w:basedOn w:val="1"/>
    <w:next w:val="1"/>
    <w:autoRedefine/>
    <w:qFormat/>
    <w:uiPriority w:val="39"/>
    <w:pPr>
      <w:ind w:left="420" w:leftChars="200"/>
    </w:pPr>
  </w:style>
  <w:style w:type="paragraph" w:styleId="25">
    <w:name w:val="HTML Preformatted"/>
    <w:basedOn w:val="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eastAsia="宋体" w:cs="Arial"/>
      <w:kern w:val="0"/>
      <w:sz w:val="24"/>
    </w:rPr>
  </w:style>
  <w:style w:type="paragraph" w:styleId="26">
    <w:name w:val="Normal (Web)"/>
    <w:basedOn w:val="1"/>
    <w:next w:val="1"/>
    <w:autoRedefine/>
    <w:qFormat/>
    <w:uiPriority w:val="0"/>
    <w:pPr>
      <w:spacing w:before="0" w:beforeAutospacing="1" w:after="0" w:afterAutospacing="1"/>
      <w:ind w:left="0" w:right="0"/>
      <w:jc w:val="left"/>
    </w:pPr>
    <w:rPr>
      <w:kern w:val="0"/>
      <w:sz w:val="28"/>
      <w:lang w:val="en-US" w:eastAsia="zh-CN" w:bidi="ar"/>
    </w:rPr>
  </w:style>
  <w:style w:type="paragraph" w:styleId="27">
    <w:name w:val="Body Text First Indent"/>
    <w:basedOn w:val="14"/>
    <w:next w:val="1"/>
    <w:autoRedefine/>
    <w:qFormat/>
    <w:uiPriority w:val="0"/>
    <w:pPr>
      <w:ind w:firstLine="420" w:firstLineChars="100"/>
    </w:pPr>
  </w:style>
  <w:style w:type="paragraph" w:styleId="28">
    <w:name w:val="Body Text First Indent 2"/>
    <w:basedOn w:val="15"/>
    <w:autoRedefine/>
    <w:qFormat/>
    <w:uiPriority w:val="99"/>
    <w:pPr>
      <w:spacing w:after="120" w:afterLines="0" w:line="240" w:lineRule="auto"/>
      <w:ind w:left="420" w:leftChars="200" w:firstLine="420" w:firstLineChars="200"/>
    </w:pPr>
    <w:rPr>
      <w:rFonts w:ascii="Times New Roman" w:hAnsi="Times New Roman"/>
      <w:sz w:val="21"/>
    </w:rPr>
  </w:style>
  <w:style w:type="table" w:styleId="30">
    <w:name w:val="Table Grid"/>
    <w:basedOn w:val="2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Hyperlink"/>
    <w:basedOn w:val="31"/>
    <w:qFormat/>
    <w:uiPriority w:val="0"/>
    <w:rPr>
      <w:color w:val="0000FF"/>
      <w:u w:val="single"/>
    </w:rPr>
  </w:style>
  <w:style w:type="character" w:styleId="33">
    <w:name w:val="annotation reference"/>
    <w:autoRedefine/>
    <w:qFormat/>
    <w:uiPriority w:val="0"/>
    <w:rPr>
      <w:sz w:val="21"/>
      <w:szCs w:val="21"/>
    </w:rPr>
  </w:style>
  <w:style w:type="character" w:customStyle="1" w:styleId="34">
    <w:name w:val="标题 2 字符"/>
    <w:link w:val="3"/>
    <w:autoRedefine/>
    <w:qFormat/>
    <w:uiPriority w:val="0"/>
    <w:rPr>
      <w:rFonts w:ascii="Arial" w:hAnsi="Arial" w:eastAsia="黑体" w:cs="宋体"/>
      <w:b/>
      <w:kern w:val="2"/>
      <w:sz w:val="32"/>
      <w:szCs w:val="24"/>
    </w:rPr>
  </w:style>
  <w:style w:type="paragraph" w:customStyle="1" w:styleId="35">
    <w:name w:val="明显引用1"/>
    <w:next w:val="1"/>
    <w:autoRedefine/>
    <w:qFormat/>
    <w:uiPriority w:val="0"/>
    <w:pPr>
      <w:wordWrap w:val="0"/>
      <w:spacing w:before="360" w:after="360"/>
      <w:ind w:left="950" w:right="950"/>
      <w:jc w:val="center"/>
    </w:pPr>
    <w:rPr>
      <w:rFonts w:ascii="Times New Roman" w:hAnsi="Times New Roman" w:eastAsia="宋体" w:cs="Times New Roman"/>
      <w:i/>
      <w:sz w:val="21"/>
      <w:lang w:val="en-US" w:eastAsia="zh-CN" w:bidi="ar-SA"/>
    </w:rPr>
  </w:style>
  <w:style w:type="character" w:customStyle="1" w:styleId="36">
    <w:name w:val="标题 4 Char"/>
    <w:link w:val="5"/>
    <w:autoRedefine/>
    <w:qFormat/>
    <w:uiPriority w:val="0"/>
    <w:rPr>
      <w:rFonts w:eastAsia="黑体" w:asciiTheme="majorAscii" w:hAnsiTheme="majorAscii" w:cstheme="majorBidi"/>
      <w:b/>
      <w:bCs/>
      <w:sz w:val="28"/>
      <w:szCs w:val="28"/>
    </w:rPr>
  </w:style>
  <w:style w:type="character" w:customStyle="1" w:styleId="37">
    <w:name w:val="标题 1 字符"/>
    <w:link w:val="2"/>
    <w:autoRedefine/>
    <w:qFormat/>
    <w:uiPriority w:val="9"/>
    <w:rPr>
      <w:rFonts w:eastAsia="黑体" w:cs="Times New Roman" w:asciiTheme="minorAscii" w:hAnsiTheme="minorAscii"/>
      <w:b/>
      <w:bCs/>
      <w:snapToGrid w:val="0"/>
      <w:color w:val="000000" w:themeColor="text1"/>
      <w:kern w:val="44"/>
      <w:sz w:val="44"/>
      <w:szCs w:val="24"/>
      <w14:textFill>
        <w14:solidFill>
          <w14:schemeClr w14:val="tx1"/>
        </w14:solidFill>
      </w14:textFill>
    </w:rPr>
  </w:style>
  <w:style w:type="character" w:customStyle="1" w:styleId="38">
    <w:name w:val="标题 3 字符"/>
    <w:link w:val="4"/>
    <w:autoRedefine/>
    <w:qFormat/>
    <w:uiPriority w:val="0"/>
    <w:rPr>
      <w:rFonts w:ascii="宋体" w:hAnsi="宋体" w:eastAsia="黑体" w:cs="宋体"/>
      <w:b/>
      <w:kern w:val="2"/>
      <w:sz w:val="30"/>
      <w:szCs w:val="28"/>
    </w:rPr>
  </w:style>
  <w:style w:type="paragraph" w:customStyle="1" w:styleId="39">
    <w:name w:val="表格样式"/>
    <w:basedOn w:val="1"/>
    <w:autoRedefine/>
    <w:qFormat/>
    <w:uiPriority w:val="0"/>
    <w:pPr>
      <w:numPr>
        <w:ilvl w:val="5"/>
        <w:numId w:val="2"/>
      </w:numPr>
      <w:ind w:firstLine="0" w:firstLineChars="0"/>
    </w:pPr>
  </w:style>
  <w:style w:type="paragraph" w:customStyle="1" w:styleId="40">
    <w:name w:val="2级标题"/>
    <w:basedOn w:val="3"/>
    <w:autoRedefine/>
    <w:qFormat/>
    <w:uiPriority w:val="0"/>
    <w:pPr>
      <w:keepNext w:val="0"/>
      <w:keepLines w:val="0"/>
      <w:numPr>
        <w:ilvl w:val="1"/>
        <w:numId w:val="3"/>
      </w:numPr>
      <w:spacing w:before="160" w:after="0" w:afterLines="50" w:line="500" w:lineRule="exact"/>
      <w:jc w:val="left"/>
    </w:pPr>
    <w:rPr>
      <w:rFonts w:ascii="Times New Roman" w:hAnsi="Times New Roman"/>
      <w:smallCaps/>
      <w:kern w:val="0"/>
      <w:szCs w:val="36"/>
    </w:rPr>
  </w:style>
  <w:style w:type="paragraph" w:customStyle="1" w:styleId="41">
    <w:name w:val="3级标题"/>
    <w:basedOn w:val="1"/>
    <w:autoRedefine/>
    <w:qFormat/>
    <w:uiPriority w:val="0"/>
    <w:pPr>
      <w:numPr>
        <w:ilvl w:val="2"/>
        <w:numId w:val="3"/>
      </w:numPr>
      <w:adjustRightInd w:val="0"/>
      <w:snapToGrid w:val="0"/>
      <w:spacing w:before="240" w:after="120" w:line="500" w:lineRule="exact"/>
      <w:outlineLvl w:val="2"/>
    </w:pPr>
    <w:rPr>
      <w:rFonts w:eastAsia="黑体"/>
      <w:b/>
      <w:snapToGrid w:val="0"/>
      <w:kern w:val="0"/>
      <w:sz w:val="32"/>
      <w:szCs w:val="32"/>
    </w:rPr>
  </w:style>
  <w:style w:type="paragraph" w:customStyle="1" w:styleId="42">
    <w:name w:val="4级标题"/>
    <w:basedOn w:val="1"/>
    <w:autoRedefine/>
    <w:qFormat/>
    <w:uiPriority w:val="0"/>
    <w:pPr>
      <w:numPr>
        <w:ilvl w:val="3"/>
        <w:numId w:val="3"/>
      </w:numPr>
      <w:spacing w:line="500" w:lineRule="exact"/>
      <w:jc w:val="left"/>
      <w:outlineLvl w:val="3"/>
    </w:pPr>
    <w:rPr>
      <w:rFonts w:eastAsia="黑体"/>
      <w:b/>
      <w:sz w:val="28"/>
      <w:szCs w:val="28"/>
    </w:rPr>
  </w:style>
  <w:style w:type="paragraph" w:customStyle="1" w:styleId="43">
    <w:name w:val="表头"/>
    <w:basedOn w:val="44"/>
    <w:autoRedefine/>
    <w:qFormat/>
    <w:uiPriority w:val="0"/>
    <w:pPr>
      <w:numPr>
        <w:ilvl w:val="5"/>
        <w:numId w:val="3"/>
      </w:numPr>
      <w:ind w:firstLineChars="0"/>
      <w:jc w:val="center"/>
    </w:pPr>
    <w:rPr>
      <w:sz w:val="24"/>
      <w:szCs w:val="24"/>
    </w:rPr>
  </w:style>
  <w:style w:type="paragraph" w:styleId="44">
    <w:name w:val="List Paragraph"/>
    <w:basedOn w:val="1"/>
    <w:autoRedefine/>
    <w:unhideWhenUsed/>
    <w:qFormat/>
    <w:uiPriority w:val="1"/>
    <w:pPr>
      <w:spacing w:beforeLines="0" w:afterLines="0"/>
      <w:ind w:left="1399" w:hanging="702"/>
    </w:pPr>
    <w:rPr>
      <w:rFonts w:hint="eastAsia"/>
      <w:sz w:val="24"/>
      <w:szCs w:val="24"/>
    </w:rPr>
  </w:style>
  <w:style w:type="paragraph" w:customStyle="1" w:styleId="45">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6">
    <w:name w:val="三级条标题"/>
    <w:basedOn w:val="47"/>
    <w:next w:val="1"/>
    <w:autoRedefine/>
    <w:qFormat/>
    <w:uiPriority w:val="0"/>
    <w:pPr>
      <w:numPr>
        <w:ilvl w:val="4"/>
        <w:numId w:val="4"/>
      </w:numPr>
      <w:ind w:left="945"/>
      <w:outlineLvl w:val="4"/>
    </w:pPr>
  </w:style>
  <w:style w:type="paragraph" w:customStyle="1" w:styleId="47">
    <w:name w:val="二级条标题"/>
    <w:basedOn w:val="48"/>
    <w:next w:val="1"/>
    <w:autoRedefine/>
    <w:qFormat/>
    <w:uiPriority w:val="0"/>
    <w:pPr>
      <w:ind w:left="945"/>
      <w:outlineLvl w:val="3"/>
    </w:pPr>
  </w:style>
  <w:style w:type="paragraph" w:customStyle="1" w:styleId="48">
    <w:name w:val="一级条标题"/>
    <w:basedOn w:val="49"/>
    <w:next w:val="1"/>
    <w:autoRedefine/>
    <w:qFormat/>
    <w:uiPriority w:val="0"/>
    <w:pPr>
      <w:outlineLvl w:val="2"/>
    </w:pPr>
  </w:style>
  <w:style w:type="paragraph" w:customStyle="1" w:styleId="49">
    <w:name w:val="章标题"/>
    <w:basedOn w:val="1"/>
    <w:next w:val="1"/>
    <w:autoRedefine/>
    <w:qFormat/>
    <w:uiPriority w:val="0"/>
    <w:pPr>
      <w:snapToGrid w:val="0"/>
      <w:spacing w:line="360" w:lineRule="auto"/>
      <w:jc w:val="center"/>
    </w:pPr>
    <w:rPr>
      <w:b/>
      <w:sz w:val="44"/>
      <w:szCs w:val="44"/>
    </w:rPr>
  </w:style>
  <w:style w:type="character" w:customStyle="1" w:styleId="50">
    <w:name w:val="正文文本 Char"/>
    <w:link w:val="14"/>
    <w:autoRedefine/>
    <w:qFormat/>
    <w:uiPriority w:val="0"/>
  </w:style>
  <w:style w:type="table" w:customStyle="1" w:styleId="51">
    <w:name w:val="Table Normal"/>
    <w:autoRedefine/>
    <w:unhideWhenUsed/>
    <w:qFormat/>
    <w:uiPriority w:val="0"/>
    <w:tblPr>
      <w:tblCellMar>
        <w:top w:w="0" w:type="dxa"/>
        <w:left w:w="0" w:type="dxa"/>
        <w:bottom w:w="0" w:type="dxa"/>
        <w:right w:w="0" w:type="dxa"/>
      </w:tblCellMar>
    </w:tblPr>
  </w:style>
  <w:style w:type="paragraph" w:customStyle="1" w:styleId="52">
    <w:name w:val="正文1 Char"/>
    <w:basedOn w:val="1"/>
    <w:autoRedefine/>
    <w:qFormat/>
    <w:uiPriority w:val="0"/>
    <w:pPr>
      <w:widowControl/>
      <w:spacing w:line="700" w:lineRule="exact"/>
      <w:ind w:firstLine="200" w:firstLineChars="200"/>
      <w:jc w:val="left"/>
    </w:pPr>
    <w:rPr>
      <w:rFonts w:ascii="Arial" w:hAnsi="Arial"/>
      <w:kern w:val="0"/>
      <w:sz w:val="28"/>
    </w:rPr>
  </w:style>
  <w:style w:type="paragraph" w:customStyle="1" w:styleId="53">
    <w:name w:val="Body text|1"/>
    <w:basedOn w:val="1"/>
    <w:autoRedefine/>
    <w:qFormat/>
    <w:uiPriority w:val="0"/>
    <w:pPr>
      <w:widowControl w:val="0"/>
      <w:shd w:val="clear" w:color="auto" w:fill="auto"/>
      <w:spacing w:line="326" w:lineRule="auto"/>
      <w:ind w:firstLine="400"/>
    </w:pPr>
    <w:rPr>
      <w:rFonts w:ascii="宋体" w:hAnsi="宋体" w:eastAsia="宋体" w:cs="宋体"/>
      <w:sz w:val="20"/>
      <w:szCs w:val="20"/>
      <w:u w:val="none"/>
      <w:shd w:val="clear" w:color="auto" w:fill="auto"/>
      <w:lang w:val="zh-TW" w:eastAsia="zh-TW" w:bidi="zh-TW"/>
    </w:rPr>
  </w:style>
  <w:style w:type="paragraph" w:customStyle="1" w:styleId="54">
    <w:name w:val="标题4"/>
    <w:basedOn w:val="5"/>
    <w:next w:val="55"/>
    <w:autoRedefine/>
    <w:qFormat/>
    <w:uiPriority w:val="0"/>
    <w:rPr>
      <w:rFonts w:eastAsia="Times New Roman"/>
    </w:rPr>
  </w:style>
  <w:style w:type="paragraph" w:customStyle="1" w:styleId="55">
    <w:name w:val="Char1"/>
    <w:basedOn w:val="1"/>
    <w:next w:val="56"/>
    <w:autoRedefine/>
    <w:qFormat/>
    <w:uiPriority w:val="99"/>
    <w:pPr>
      <w:spacing w:line="360" w:lineRule="auto"/>
      <w:ind w:firstLine="200" w:firstLineChars="200"/>
    </w:pPr>
    <w:rPr>
      <w:rFonts w:ascii="宋体" w:hAnsi="宋体" w:cs="宋体"/>
    </w:rPr>
  </w:style>
  <w:style w:type="paragraph" w:customStyle="1" w:styleId="56">
    <w:name w:val="Char"/>
    <w:basedOn w:val="12"/>
    <w:next w:val="57"/>
    <w:autoRedefine/>
    <w:semiHidden/>
    <w:qFormat/>
    <w:uiPriority w:val="0"/>
    <w:pPr>
      <w:ind w:left="-48"/>
    </w:pPr>
  </w:style>
  <w:style w:type="paragraph" w:customStyle="1" w:styleId="57">
    <w:name w:val="首行缩进加粗"/>
    <w:basedOn w:val="1"/>
    <w:next w:val="58"/>
    <w:autoRedefine/>
    <w:qFormat/>
    <w:uiPriority w:val="0"/>
    <w:pPr>
      <w:spacing w:line="360" w:lineRule="auto"/>
      <w:ind w:left="482" w:firstLine="4834"/>
    </w:pPr>
    <w:rPr>
      <w:rFonts w:ascii="宋体"/>
    </w:rPr>
  </w:style>
  <w:style w:type="paragraph" w:customStyle="1" w:styleId="58">
    <w:name w:val="四级条标题"/>
    <w:basedOn w:val="46"/>
    <w:next w:val="4"/>
    <w:autoRedefine/>
    <w:qFormat/>
    <w:uiPriority w:val="0"/>
    <w:pPr>
      <w:spacing w:before="50" w:after="50"/>
      <w:ind w:left="1080" w:firstLine="14"/>
      <w:outlineLvl w:val="5"/>
    </w:pPr>
  </w:style>
  <w:style w:type="character" w:customStyle="1" w:styleId="59">
    <w:name w:val="font11"/>
    <w:basedOn w:val="31"/>
    <w:autoRedefine/>
    <w:qFormat/>
    <w:uiPriority w:val="0"/>
    <w:rPr>
      <w:rFonts w:hint="eastAsia" w:ascii="宋体" w:hAnsi="宋体" w:eastAsia="宋体" w:cs="宋体"/>
      <w:color w:val="000000"/>
      <w:sz w:val="24"/>
      <w:szCs w:val="24"/>
      <w:u w:val="none"/>
    </w:rPr>
  </w:style>
  <w:style w:type="paragraph" w:customStyle="1" w:styleId="60">
    <w:name w:val=" Char Char Char Char Char Char Char Char Char Char Char Char"/>
    <w:basedOn w:val="1"/>
    <w:autoRedefine/>
    <w:qFormat/>
    <w:uiPriority w:val="0"/>
    <w:pPr>
      <w:snapToGrid w:val="0"/>
      <w:spacing w:line="360" w:lineRule="auto"/>
      <w:ind w:firstLine="200" w:firstLineChars="200"/>
    </w:pPr>
    <w:rPr>
      <w:rFonts w:eastAsia="仿宋_GB2312"/>
      <w:sz w:val="24"/>
    </w:rPr>
  </w:style>
  <w:style w:type="character" w:customStyle="1" w:styleId="61">
    <w:name w:val="font01"/>
    <w:basedOn w:val="31"/>
    <w:autoRedefine/>
    <w:qFormat/>
    <w:uiPriority w:val="0"/>
    <w:rPr>
      <w:rFonts w:hint="eastAsia" w:ascii="宋体" w:hAnsi="宋体" w:eastAsia="宋体" w:cs="宋体"/>
      <w:color w:val="000000"/>
      <w:sz w:val="24"/>
      <w:szCs w:val="24"/>
      <w:u w:val="none"/>
    </w:rPr>
  </w:style>
  <w:style w:type="paragraph" w:customStyle="1" w:styleId="62">
    <w:name w:val="p0"/>
    <w:basedOn w:val="1"/>
    <w:autoRedefine/>
    <w:qFormat/>
    <w:uiPriority w:val="0"/>
    <w:pPr>
      <w:widowControl/>
      <w:spacing w:line="360" w:lineRule="auto"/>
      <w:ind w:firstLine="480" w:firstLineChars="200"/>
    </w:pPr>
    <w:rPr>
      <w:rFonts w:eastAsia="宋体"/>
      <w:sz w:val="24"/>
      <w:szCs w:val="21"/>
      <w:lang w:val="en-US" w:eastAsia="zh-CN" w:bidi="ar-SA"/>
    </w:rPr>
  </w:style>
  <w:style w:type="paragraph" w:customStyle="1" w:styleId="63">
    <w:name w:val="正文1 Char Char Char Char Char Char Char"/>
    <w:basedOn w:val="1"/>
    <w:autoRedefine/>
    <w:qFormat/>
    <w:uiPriority w:val="0"/>
    <w:pPr>
      <w:tabs>
        <w:tab w:val="left" w:pos="5327"/>
        <w:tab w:val="left" w:pos="6326"/>
        <w:tab w:val="left" w:pos="7230"/>
        <w:tab w:val="left" w:pos="9301"/>
      </w:tabs>
      <w:autoSpaceDE w:val="0"/>
      <w:autoSpaceDN w:val="0"/>
      <w:adjustRightInd w:val="0"/>
      <w:snapToGrid w:val="0"/>
      <w:spacing w:line="600" w:lineRule="exact"/>
      <w:ind w:firstLine="560" w:firstLineChars="200"/>
      <w:jc w:val="left"/>
    </w:pPr>
    <w:rPr>
      <w:rFonts w:ascii="Arial Narrow" w:hAnsi="Arial Narrow" w:eastAsia="仿宋_GB2312"/>
      <w:color w:val="000000"/>
      <w:kern w:val="10"/>
      <w:sz w:val="28"/>
      <w:szCs w:val="28"/>
      <w:lang w:val="en-US" w:eastAsia="zh-CN" w:bidi="ar-SA"/>
    </w:rPr>
  </w:style>
  <w:style w:type="paragraph" w:customStyle="1" w:styleId="64">
    <w:name w:val="正文缩进2"/>
    <w:basedOn w:val="1"/>
    <w:autoRedefine/>
    <w:qFormat/>
    <w:uiPriority w:val="0"/>
    <w:pPr>
      <w:snapToGrid w:val="0"/>
      <w:spacing w:line="300" w:lineRule="auto"/>
      <w:ind w:firstLine="539"/>
    </w:pPr>
    <w:rPr>
      <w:rFonts w:ascii="Plotter" w:hAnsi="Plotter" w:eastAsia="仿宋_GB2312"/>
      <w:sz w:val="28"/>
      <w:szCs w:val="28"/>
    </w:rPr>
  </w:style>
  <w:style w:type="paragraph" w:customStyle="1" w:styleId="65">
    <w:name w:val="Header or footer|1"/>
    <w:basedOn w:val="1"/>
    <w:autoRedefine/>
    <w:qFormat/>
    <w:uiPriority w:val="0"/>
    <w:pPr>
      <w:widowControl w:val="0"/>
      <w:shd w:val="clear" w:color="auto" w:fill="auto"/>
    </w:pPr>
    <w:rPr>
      <w:sz w:val="20"/>
      <w:szCs w:val="20"/>
      <w:u w:val="none"/>
      <w:shd w:val="clear" w:color="auto" w:fill="auto"/>
    </w:rPr>
  </w:style>
  <w:style w:type="paragraph" w:customStyle="1" w:styleId="66">
    <w:name w:val="无间隔1"/>
    <w:autoRedefine/>
    <w:qFormat/>
    <w:uiPriority w:val="0"/>
    <w:pPr>
      <w:widowControl w:val="0"/>
      <w:spacing w:line="240" w:lineRule="auto"/>
      <w:ind w:firstLine="0" w:firstLineChars="0"/>
      <w:jc w:val="center"/>
    </w:pPr>
    <w:rPr>
      <w:rFonts w:ascii="Times New Roman" w:hAnsi="Times New Roman" w:eastAsia="宋体" w:cs="Times New Roman"/>
      <w:kern w:val="2"/>
      <w:sz w:val="24"/>
      <w:szCs w:val="21"/>
      <w:lang w:val="en-US" w:eastAsia="zh-CN" w:bidi="ar-SA"/>
    </w:rPr>
  </w:style>
  <w:style w:type="paragraph" w:customStyle="1" w:styleId="67">
    <w:name w:val="Table Paragraph"/>
    <w:basedOn w:val="1"/>
    <w:qFormat/>
    <w:uiPriority w:val="1"/>
    <w:pPr>
      <w:autoSpaceDE w:val="0"/>
      <w:autoSpaceDN w:val="0"/>
      <w:jc w:val="left"/>
    </w:pPr>
    <w:rPr>
      <w:rFonts w:ascii="Times New Roman" w:hAnsi="Times New Roman" w:eastAsia="Times New Roman" w:cs="Times New Roman"/>
      <w:kern w:val="0"/>
      <w:sz w:val="22"/>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3.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12.png"/><Relationship Id="rId23" Type="http://schemas.openxmlformats.org/officeDocument/2006/relationships/image" Target="media/image11.png"/><Relationship Id="rId22" Type="http://schemas.openxmlformats.org/officeDocument/2006/relationships/image" Target="media/image10.png"/><Relationship Id="rId21" Type="http://schemas.openxmlformats.org/officeDocument/2006/relationships/image" Target="media/image9.jpeg"/><Relationship Id="rId20" Type="http://schemas.openxmlformats.org/officeDocument/2006/relationships/image" Target="media/image8.png"/><Relationship Id="rId2" Type="http://schemas.openxmlformats.org/officeDocument/2006/relationships/settings" Target="settings.xml"/><Relationship Id="rId19" Type="http://schemas.openxmlformats.org/officeDocument/2006/relationships/image" Target="media/image7.png"/><Relationship Id="rId18" Type="http://schemas.openxmlformats.org/officeDocument/2006/relationships/image" Target="media/image6.png"/><Relationship Id="rId17" Type="http://schemas.openxmlformats.org/officeDocument/2006/relationships/image" Target="media/image5.png"/><Relationship Id="rId16" Type="http://schemas.openxmlformats.org/officeDocument/2006/relationships/image" Target="media/image4.png"/><Relationship Id="rId15" Type="http://schemas.openxmlformats.org/officeDocument/2006/relationships/image" Target="media/image3.jpeg"/><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95</Pages>
  <Words>54919</Words>
  <Characters>60645</Characters>
  <Lines>0</Lines>
  <Paragraphs>0</Paragraphs>
  <TotalTime>1</TotalTime>
  <ScaleCrop>false</ScaleCrop>
  <LinksUpToDate>false</LinksUpToDate>
  <CharactersWithSpaces>61815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2022-07-29T02:48:00Z</dcterms:created>
  <dc:creator>白林</dc:creator>
  <cp:lastModifiedBy>鱼跃</cp:lastModifiedBy>
  <dcterms:modified xsi:type="dcterms:W3CDTF">2025-04-12T09:32:58Z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4009144E22F547EE87DB5F70C90E891D</vt:lpwstr>
  </property>
  <property fmtid="{D5CDD505-2E9C-101B-9397-08002B2CF9AE}" pid="4" name="KSOTemplateDocerSaveRecord">
    <vt:lpwstr>eyJoZGlkIjoiNzg2ZWMyNWY1YmQ3MDJiMTg2OGY1MTBmNzJjMTI4MzUiLCJ1c2VySWQiOiIxMDAzMTk3MTEwIn0=</vt:lpwstr>
  </property>
</Properties>
</file>