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snapToGrid/>
        <w:ind w:firstLine="0" w:firstLineChars="0"/>
        <w:rPr>
          <w:rFonts w:ascii="宋体" w:hAnsi="仿宋" w:cs="宋体"/>
          <w:bCs/>
          <w:color w:val="000000" w:themeColor="text1"/>
          <w:kern w:val="0"/>
          <w:szCs w:val="28"/>
        </w:rPr>
      </w:pPr>
      <w:bookmarkStart w:id="0" w:name="_Toc470781558"/>
      <w:bookmarkStart w:id="1" w:name="_Toc485397562"/>
      <w:bookmarkStart w:id="2" w:name="_Toc486522024"/>
      <w:bookmarkStart w:id="3" w:name="_Toc484089655"/>
      <w:bookmarkStart w:id="4" w:name="_Toc469761000"/>
      <w:bookmarkStart w:id="5" w:name="_Toc470694897"/>
      <w:bookmarkStart w:id="6" w:name="_Toc470774281"/>
      <w:bookmarkStart w:id="7" w:name="_Toc472410475"/>
      <w:bookmarkStart w:id="8" w:name="_Toc470696738"/>
      <w:bookmarkStart w:id="9" w:name="_Toc470680245"/>
      <w:bookmarkStart w:id="10" w:name="_Toc470860339"/>
    </w:p>
    <w:p>
      <w:pPr>
        <w:ind w:firstLine="0" w:firstLineChars="0"/>
      </w:pPr>
    </w:p>
    <w:p>
      <w:pPr>
        <w:spacing w:line="480" w:lineRule="auto"/>
        <w:ind w:firstLine="0" w:firstLineChars="0"/>
        <w:jc w:val="center"/>
        <w:rPr>
          <w:rFonts w:ascii="宋体" w:hAnsi="宋体" w:eastAsia="黑体" w:cs="宋体-18030"/>
          <w:b/>
          <w:color w:val="000000" w:themeColor="text1"/>
          <w:sz w:val="44"/>
          <w:szCs w:val="44"/>
        </w:rPr>
      </w:pPr>
    </w:p>
    <w:p>
      <w:pPr>
        <w:spacing w:line="480" w:lineRule="auto"/>
        <w:ind w:firstLine="0" w:firstLineChars="0"/>
        <w:jc w:val="center"/>
        <w:rPr>
          <w:rFonts w:ascii="黑体" w:hAnsi="黑体" w:eastAsia="黑体" w:cs="黑体"/>
          <w:b/>
          <w:color w:val="000000" w:themeColor="text1"/>
          <w:sz w:val="52"/>
          <w:szCs w:val="52"/>
        </w:rPr>
      </w:pPr>
      <w:r>
        <w:rPr>
          <w:rFonts w:hint="eastAsia" w:ascii="宋体" w:hAnsi="宋体" w:eastAsia="黑体" w:cs="宋体-18030"/>
          <w:b/>
          <w:color w:val="000000" w:themeColor="text1"/>
          <w:sz w:val="44"/>
          <w:szCs w:val="44"/>
        </w:rPr>
        <w:t>漾濞县跃进化工有限责任公司</w:t>
      </w:r>
    </w:p>
    <w:p>
      <w:pPr>
        <w:spacing w:line="480" w:lineRule="auto"/>
        <w:ind w:firstLine="0" w:firstLineChars="0"/>
        <w:jc w:val="center"/>
        <w:rPr>
          <w:rFonts w:ascii="黑体" w:hAnsi="黑体" w:eastAsia="黑体" w:cs="黑体"/>
          <w:b/>
          <w:color w:val="FF0000"/>
          <w:sz w:val="52"/>
          <w:szCs w:val="52"/>
        </w:rPr>
      </w:pPr>
      <w:r>
        <w:rPr>
          <w:rFonts w:hint="eastAsia" w:ascii="黑体" w:hAnsi="黑体" w:eastAsia="黑体" w:cs="黑体"/>
          <w:b/>
          <w:color w:val="auto"/>
          <w:sz w:val="52"/>
          <w:szCs w:val="52"/>
        </w:rPr>
        <w:t>12万t/a硫酸生产装置</w:t>
      </w:r>
    </w:p>
    <w:p>
      <w:pPr>
        <w:spacing w:line="480" w:lineRule="auto"/>
        <w:ind w:firstLine="0" w:firstLineChars="0"/>
        <w:jc w:val="center"/>
        <w:rPr>
          <w:rFonts w:ascii="黑体" w:hAnsi="黑体" w:eastAsia="黑体" w:cs="黑体"/>
          <w:b/>
          <w:color w:val="000000" w:themeColor="text1"/>
          <w:sz w:val="52"/>
          <w:szCs w:val="52"/>
        </w:rPr>
      </w:pPr>
      <w:r>
        <w:rPr>
          <w:rFonts w:hint="eastAsia" w:ascii="黑体" w:hAnsi="黑体" w:eastAsia="黑体" w:cs="黑体"/>
          <w:b/>
          <w:color w:val="000000" w:themeColor="text1"/>
          <w:sz w:val="52"/>
          <w:szCs w:val="52"/>
        </w:rPr>
        <w:t>安 全 现 状 评 价 报 告</w:t>
      </w:r>
    </w:p>
    <w:p>
      <w:pPr>
        <w:ind w:firstLine="0" w:firstLineChars="0"/>
        <w:jc w:val="center"/>
        <w:rPr>
          <w:rFonts w:ascii="宋体" w:hAnsi="宋体" w:cs="宋体-18030"/>
          <w:color w:val="000000" w:themeColor="text1"/>
          <w:szCs w:val="28"/>
        </w:rPr>
      </w:pPr>
    </w:p>
    <w:p>
      <w:pPr>
        <w:spacing w:line="480" w:lineRule="auto"/>
        <w:ind w:firstLine="2800" w:firstLineChars="1000"/>
        <w:rPr>
          <w:rFonts w:ascii="宋体" w:hAnsi="宋体" w:cs="宋体-18030"/>
          <w:color w:val="000000" w:themeColor="text1"/>
          <w:szCs w:val="28"/>
        </w:rPr>
      </w:pPr>
    </w:p>
    <w:p>
      <w:pPr>
        <w:spacing w:line="480" w:lineRule="auto"/>
        <w:ind w:firstLine="2800" w:firstLineChars="1000"/>
        <w:rPr>
          <w:rFonts w:ascii="宋体" w:hAnsi="宋体" w:cs="宋体-18030"/>
          <w:color w:val="000000" w:themeColor="text1"/>
          <w:szCs w:val="28"/>
        </w:rPr>
      </w:pPr>
    </w:p>
    <w:p>
      <w:pPr>
        <w:spacing w:line="480" w:lineRule="auto"/>
        <w:ind w:firstLine="2800" w:firstLineChars="1000"/>
        <w:rPr>
          <w:rFonts w:ascii="宋体" w:hAnsi="宋体" w:cs="宋体-18030"/>
          <w:color w:val="000000" w:themeColor="text1"/>
          <w:szCs w:val="28"/>
        </w:rPr>
      </w:pPr>
    </w:p>
    <w:p>
      <w:pPr>
        <w:ind w:firstLine="0" w:firstLineChars="0"/>
        <w:rPr>
          <w:rFonts w:ascii="仿宋" w:hAnsi="仿宋" w:eastAsia="仿宋"/>
          <w:b/>
          <w:bCs/>
          <w:snapToGrid w:val="0"/>
          <w:color w:val="000000" w:themeColor="text1"/>
          <w:kern w:val="0"/>
          <w:szCs w:val="28"/>
        </w:rPr>
      </w:pPr>
    </w:p>
    <w:p>
      <w:pPr>
        <w:ind w:firstLine="0" w:firstLineChars="0"/>
        <w:rPr>
          <w:rFonts w:ascii="宋体" w:hAnsi="宋体"/>
          <w:bCs/>
          <w:snapToGrid w:val="0"/>
          <w:color w:val="000000" w:themeColor="text1"/>
          <w:kern w:val="0"/>
          <w:szCs w:val="28"/>
        </w:rPr>
      </w:pPr>
    </w:p>
    <w:p>
      <w:pPr>
        <w:ind w:firstLine="0" w:firstLineChars="0"/>
        <w:jc w:val="center"/>
        <w:rPr>
          <w:rFonts w:ascii="宋体" w:hAnsi="宋体"/>
          <w:bCs/>
          <w:snapToGrid w:val="0"/>
          <w:color w:val="000000" w:themeColor="text1"/>
          <w:kern w:val="0"/>
          <w:sz w:val="32"/>
          <w:szCs w:val="32"/>
        </w:rPr>
      </w:pPr>
    </w:p>
    <w:p>
      <w:pPr>
        <w:ind w:firstLine="0" w:firstLineChars="0"/>
        <w:jc w:val="center"/>
        <w:rPr>
          <w:rFonts w:ascii="宋体" w:hAnsi="宋体"/>
          <w:bCs/>
          <w:snapToGrid w:val="0"/>
          <w:color w:val="000000" w:themeColor="text1"/>
          <w:kern w:val="0"/>
          <w:sz w:val="32"/>
          <w:szCs w:val="32"/>
        </w:rPr>
      </w:pPr>
      <w:r>
        <w:rPr>
          <w:rFonts w:hint="eastAsia" w:ascii="宋体" w:hAnsi="宋体"/>
          <w:bCs/>
          <w:snapToGrid w:val="0"/>
          <w:color w:val="000000" w:themeColor="text1"/>
          <w:kern w:val="0"/>
          <w:sz w:val="32"/>
          <w:szCs w:val="32"/>
        </w:rPr>
        <w:t>昭通市鼎安科技有限公司</w:t>
      </w:r>
    </w:p>
    <w:p>
      <w:pPr>
        <w:ind w:firstLine="0" w:firstLineChars="0"/>
        <w:jc w:val="center"/>
        <w:rPr>
          <w:rFonts w:ascii="宋体" w:hAnsi="宋体"/>
          <w:bCs/>
          <w:snapToGrid w:val="0"/>
          <w:color w:val="000000" w:themeColor="text1"/>
          <w:kern w:val="0"/>
          <w:sz w:val="32"/>
          <w:szCs w:val="32"/>
        </w:rPr>
      </w:pPr>
      <w:r>
        <w:rPr>
          <w:rFonts w:hint="eastAsia" w:ascii="宋体" w:hAnsi="宋体" w:cs="宋体"/>
          <w:bCs/>
          <w:sz w:val="32"/>
          <w:szCs w:val="32"/>
        </w:rPr>
        <w:t>评价资质证书编号：APJ-（云）-005</w:t>
      </w:r>
    </w:p>
    <w:p>
      <w:pPr>
        <w:ind w:firstLine="0" w:firstLineChars="0"/>
        <w:jc w:val="center"/>
        <w:rPr>
          <w:rFonts w:ascii="宋体" w:hAnsi="宋体"/>
          <w:bCs/>
          <w:snapToGrid w:val="0"/>
          <w:color w:val="000000" w:themeColor="text1"/>
          <w:kern w:val="0"/>
          <w:sz w:val="32"/>
          <w:szCs w:val="32"/>
        </w:rPr>
      </w:pPr>
    </w:p>
    <w:p>
      <w:pPr>
        <w:ind w:firstLine="0" w:firstLineChars="0"/>
        <w:jc w:val="center"/>
        <w:rPr>
          <w:rFonts w:ascii="宋体" w:hAnsi="宋体"/>
          <w:bCs/>
          <w:snapToGrid w:val="0"/>
          <w:color w:val="000000" w:themeColor="text1"/>
          <w:kern w:val="0"/>
          <w:sz w:val="32"/>
          <w:szCs w:val="32"/>
        </w:rPr>
      </w:pPr>
      <w:r>
        <w:rPr>
          <w:rFonts w:hint="eastAsia" w:ascii="宋体" w:hAnsi="宋体"/>
          <w:bCs/>
          <w:snapToGrid w:val="0"/>
          <w:color w:val="000000" w:themeColor="text1"/>
          <w:kern w:val="0"/>
          <w:sz w:val="32"/>
          <w:szCs w:val="32"/>
        </w:rPr>
        <w:t>2024</w:t>
      </w:r>
      <w:r>
        <w:rPr>
          <w:rFonts w:ascii="宋体" w:hAnsi="宋体"/>
          <w:bCs/>
          <w:snapToGrid w:val="0"/>
          <w:color w:val="000000" w:themeColor="text1"/>
          <w:kern w:val="0"/>
          <w:sz w:val="32"/>
          <w:szCs w:val="32"/>
        </w:rPr>
        <w:t>年</w:t>
      </w:r>
      <w:r>
        <w:rPr>
          <w:rFonts w:hint="eastAsia" w:ascii="宋体" w:hAnsi="宋体"/>
          <w:bCs/>
          <w:snapToGrid w:val="0"/>
          <w:color w:val="000000" w:themeColor="text1"/>
          <w:kern w:val="0"/>
          <w:sz w:val="32"/>
          <w:szCs w:val="32"/>
          <w:lang w:val="en-US" w:eastAsia="zh-CN"/>
        </w:rPr>
        <w:t>4</w:t>
      </w:r>
      <w:r>
        <w:rPr>
          <w:rFonts w:ascii="宋体" w:hAnsi="宋体"/>
          <w:bCs/>
          <w:snapToGrid w:val="0"/>
          <w:color w:val="000000" w:themeColor="text1"/>
          <w:kern w:val="0"/>
          <w:sz w:val="32"/>
          <w:szCs w:val="32"/>
        </w:rPr>
        <w:t>月</w:t>
      </w:r>
    </w:p>
    <w:p>
      <w:pPr>
        <w:ind w:firstLine="0" w:firstLineChars="0"/>
        <w:rPr>
          <w:rFonts w:ascii="仿宋" w:hAnsi="仿宋" w:eastAsia="仿宋"/>
          <w:bCs/>
          <w:snapToGrid w:val="0"/>
          <w:color w:val="000000" w:themeColor="text1"/>
          <w:kern w:val="0"/>
          <w:szCs w:val="28"/>
        </w:rPr>
      </w:pPr>
    </w:p>
    <w:p>
      <w:pPr>
        <w:ind w:firstLine="0" w:firstLineChars="0"/>
        <w:jc w:val="center"/>
        <w:rPr>
          <w:rFonts w:ascii="仿宋" w:hAnsi="仿宋" w:eastAsia="仿宋"/>
          <w:bCs/>
          <w:snapToGrid w:val="0"/>
          <w:color w:val="000000" w:themeColor="text1"/>
          <w:kern w:val="0"/>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7" w:right="1417" w:bottom="1587" w:left="1417" w:header="851" w:footer="1020" w:gutter="0"/>
          <w:pgNumType w:fmt="upperRoman" w:start="1"/>
          <w:cols w:space="0" w:num="1"/>
          <w:docGrid w:linePitch="381" w:charSpace="0"/>
        </w:sectPr>
      </w:pPr>
    </w:p>
    <w:p>
      <w:pPr>
        <w:ind w:firstLine="0" w:firstLineChars="0"/>
        <w:jc w:val="center"/>
        <w:rPr>
          <w:rFonts w:asciiTheme="minorEastAsia" w:hAnsiTheme="minorEastAsia" w:eastAsiaTheme="minorEastAsia"/>
          <w:bCs/>
          <w:snapToGrid w:val="0"/>
          <w:color w:val="000000" w:themeColor="text1"/>
          <w:kern w:val="0"/>
          <w:szCs w:val="28"/>
        </w:rPr>
      </w:pPr>
    </w:p>
    <w:p>
      <w:pPr>
        <w:ind w:firstLine="0" w:firstLineChars="0"/>
        <w:jc w:val="center"/>
        <w:rPr>
          <w:rFonts w:ascii="宋体" w:hAnsi="宋体" w:cs="宋体-18030"/>
          <w:b/>
          <w:bCs/>
          <w:color w:val="000000" w:themeColor="text1"/>
          <w:sz w:val="48"/>
          <w:szCs w:val="48"/>
        </w:rPr>
      </w:pPr>
    </w:p>
    <w:p>
      <w:pPr>
        <w:ind w:firstLine="0" w:firstLineChars="0"/>
        <w:jc w:val="center"/>
        <w:rPr>
          <w:rFonts w:ascii="黑体" w:hAnsi="黑体" w:eastAsia="黑体" w:cs="黑体"/>
          <w:b/>
          <w:color w:val="auto"/>
          <w:sz w:val="52"/>
          <w:szCs w:val="52"/>
        </w:rPr>
      </w:pPr>
      <w:r>
        <w:rPr>
          <w:rFonts w:hint="eastAsia" w:ascii="宋体" w:hAnsi="宋体" w:cs="宋体-18030"/>
          <w:b/>
          <w:bCs/>
          <w:color w:val="000000" w:themeColor="text1"/>
          <w:sz w:val="48"/>
          <w:szCs w:val="48"/>
        </w:rPr>
        <w:t>漾濞县跃进化工有限责任公司</w:t>
      </w:r>
    </w:p>
    <w:p>
      <w:pPr>
        <w:spacing w:line="480" w:lineRule="auto"/>
        <w:ind w:firstLine="0" w:firstLineChars="0"/>
        <w:jc w:val="center"/>
        <w:rPr>
          <w:rFonts w:ascii="黑体" w:hAnsi="黑体" w:eastAsia="黑体" w:cs="黑体"/>
          <w:b/>
          <w:color w:val="auto"/>
          <w:sz w:val="32"/>
          <w:szCs w:val="32"/>
        </w:rPr>
      </w:pPr>
    </w:p>
    <w:p>
      <w:pPr>
        <w:spacing w:line="480" w:lineRule="auto"/>
        <w:ind w:firstLine="0" w:firstLineChars="0"/>
        <w:jc w:val="center"/>
        <w:rPr>
          <w:rFonts w:ascii="宋体" w:hAnsi="宋体" w:cs="宋体-18030"/>
          <w:color w:val="000000" w:themeColor="text1"/>
          <w:szCs w:val="28"/>
        </w:rPr>
      </w:pPr>
      <w:r>
        <w:rPr>
          <w:rFonts w:hint="eastAsia" w:ascii="黑体" w:hAnsi="黑体" w:eastAsia="黑体" w:cs="黑体"/>
          <w:b/>
          <w:color w:val="auto"/>
          <w:sz w:val="52"/>
          <w:szCs w:val="52"/>
        </w:rPr>
        <w:t>12万t/a硫酸生产装置</w:t>
      </w:r>
    </w:p>
    <w:p>
      <w:pPr>
        <w:ind w:firstLine="0" w:firstLineChars="0"/>
        <w:rPr>
          <w:rFonts w:ascii="宋体" w:hAnsi="宋体" w:cs="宋体-18030"/>
          <w:color w:val="000000" w:themeColor="text1"/>
          <w:szCs w:val="28"/>
        </w:rPr>
      </w:pPr>
    </w:p>
    <w:p>
      <w:pPr>
        <w:tabs>
          <w:tab w:val="left" w:pos="720"/>
          <w:tab w:val="left" w:pos="900"/>
          <w:tab w:val="left" w:pos="7020"/>
          <w:tab w:val="left" w:pos="7307"/>
          <w:tab w:val="left" w:pos="7380"/>
        </w:tabs>
        <w:ind w:firstLine="0" w:firstLineChars="0"/>
        <w:jc w:val="center"/>
        <w:rPr>
          <w:rFonts w:ascii="宋体" w:hAnsi="宋体"/>
          <w:b/>
          <w:bCs/>
          <w:snapToGrid w:val="0"/>
          <w:color w:val="000000" w:themeColor="text1"/>
          <w:kern w:val="0"/>
          <w:sz w:val="48"/>
          <w:szCs w:val="48"/>
        </w:rPr>
      </w:pPr>
      <w:r>
        <w:rPr>
          <w:rFonts w:hint="eastAsia" w:ascii="宋体" w:hAnsi="宋体"/>
          <w:b/>
          <w:bCs/>
          <w:snapToGrid w:val="0"/>
          <w:color w:val="000000" w:themeColor="text1"/>
          <w:kern w:val="0"/>
          <w:sz w:val="48"/>
          <w:szCs w:val="48"/>
        </w:rPr>
        <w:t>安全现状评价报告</w:t>
      </w:r>
    </w:p>
    <w:p>
      <w:pPr>
        <w:ind w:firstLine="0" w:firstLineChars="0"/>
        <w:jc w:val="center"/>
        <w:rPr>
          <w:rFonts w:ascii="宋体" w:hAnsi="宋体" w:cs="宋体-18030"/>
          <w:color w:val="000000" w:themeColor="text1"/>
          <w:szCs w:val="28"/>
        </w:rPr>
      </w:pPr>
    </w:p>
    <w:p>
      <w:pPr>
        <w:ind w:firstLine="0" w:firstLineChars="0"/>
        <w:rPr>
          <w:rFonts w:ascii="宋体" w:hAnsi="宋体" w:cs="宋体-18030"/>
          <w:color w:val="000000" w:themeColor="text1"/>
          <w:szCs w:val="28"/>
        </w:rPr>
      </w:pPr>
    </w:p>
    <w:p>
      <w:pPr>
        <w:ind w:firstLine="0" w:firstLineChars="0"/>
        <w:jc w:val="center"/>
        <w:rPr>
          <w:rFonts w:ascii="宋体" w:hAnsi="宋体" w:cs="宋体-18030"/>
          <w:color w:val="000000" w:themeColor="text1"/>
          <w:szCs w:val="28"/>
        </w:rPr>
      </w:pPr>
    </w:p>
    <w:p>
      <w:pPr>
        <w:adjustRightInd/>
        <w:ind w:firstLine="2240" w:firstLineChars="800"/>
        <w:rPr>
          <w:rFonts w:ascii="宋体" w:hAnsi="宋体" w:cs="宋体"/>
          <w:szCs w:val="28"/>
        </w:rPr>
      </w:pPr>
      <w:r>
        <w:rPr>
          <w:rFonts w:hint="eastAsia" w:ascii="宋体" w:hAnsi="宋体" w:cs="宋体"/>
          <w:szCs w:val="28"/>
        </w:rPr>
        <w:t>评价机构名称：昭通市鼎安科技有限公司</w:t>
      </w:r>
    </w:p>
    <w:p>
      <w:pPr>
        <w:adjustRightInd/>
        <w:ind w:firstLine="2240" w:firstLineChars="800"/>
        <w:rPr>
          <w:rFonts w:ascii="宋体" w:hAnsi="宋体" w:cs="宋体"/>
          <w:szCs w:val="28"/>
        </w:rPr>
      </w:pPr>
      <w:r>
        <w:rPr>
          <w:rFonts w:hint="eastAsia" w:ascii="宋体" w:hAnsi="宋体" w:cs="宋体"/>
          <w:szCs w:val="28"/>
        </w:rPr>
        <w:t>评价资质证书编号：APJ-（云）-005</w:t>
      </w:r>
    </w:p>
    <w:p>
      <w:pPr>
        <w:adjustRightInd/>
        <w:ind w:firstLine="2240" w:firstLineChars="800"/>
        <w:rPr>
          <w:rFonts w:ascii="宋体" w:hAnsi="宋体" w:cs="宋体"/>
          <w:szCs w:val="28"/>
        </w:rPr>
      </w:pPr>
      <w:r>
        <w:rPr>
          <w:rFonts w:hint="eastAsia" w:ascii="宋体" w:hAnsi="宋体" w:cs="宋体"/>
          <w:szCs w:val="28"/>
        </w:rPr>
        <w:t>法定代表人：毛卫旭</w:t>
      </w:r>
    </w:p>
    <w:p>
      <w:pPr>
        <w:adjustRightInd/>
        <w:ind w:firstLine="2240" w:firstLineChars="800"/>
        <w:rPr>
          <w:rFonts w:ascii="宋体" w:hAnsi="宋体" w:cs="宋体"/>
          <w:szCs w:val="28"/>
        </w:rPr>
      </w:pPr>
      <w:r>
        <w:rPr>
          <w:rFonts w:hint="eastAsia" w:ascii="宋体" w:hAnsi="宋体" w:cs="宋体"/>
          <w:szCs w:val="28"/>
        </w:rPr>
        <w:t>项目负责人：杨庆国</w:t>
      </w:r>
    </w:p>
    <w:p>
      <w:pPr>
        <w:adjustRightInd/>
        <w:ind w:firstLine="2240" w:firstLineChars="800"/>
        <w:rPr>
          <w:rFonts w:ascii="宋体" w:hAnsi="宋体" w:cs="宋体"/>
          <w:szCs w:val="28"/>
        </w:rPr>
      </w:pPr>
      <w:r>
        <w:rPr>
          <w:rFonts w:hint="eastAsia" w:ascii="宋体" w:hAnsi="宋体" w:cs="宋体"/>
          <w:szCs w:val="28"/>
        </w:rPr>
        <w:t>技术负责人：饶旭军</w:t>
      </w:r>
    </w:p>
    <w:p>
      <w:pPr>
        <w:adjustRightInd/>
        <w:ind w:firstLine="2240" w:firstLineChars="800"/>
        <w:rPr>
          <w:rFonts w:ascii="宋体" w:hAnsi="宋体" w:cs="宋体"/>
          <w:szCs w:val="28"/>
        </w:rPr>
      </w:pPr>
      <w:r>
        <w:rPr>
          <w:rFonts w:hint="eastAsia" w:ascii="宋体" w:hAnsi="宋体" w:cs="宋体"/>
          <w:szCs w:val="28"/>
        </w:rPr>
        <w:t>过程控制负责人：李晓达</w:t>
      </w:r>
    </w:p>
    <w:p>
      <w:pPr>
        <w:adjustRightInd/>
        <w:ind w:firstLine="2240" w:firstLineChars="800"/>
        <w:rPr>
          <w:rFonts w:ascii="宋体" w:hAnsi="宋体" w:cs="宋体"/>
          <w:szCs w:val="28"/>
        </w:rPr>
      </w:pPr>
      <w:r>
        <w:rPr>
          <w:rFonts w:hint="eastAsia" w:ascii="宋体" w:hAnsi="宋体" w:cs="宋体"/>
          <w:szCs w:val="28"/>
        </w:rPr>
        <w:t>评价机构联系电话：0870-3170896</w:t>
      </w:r>
    </w:p>
    <w:p>
      <w:pPr>
        <w:ind w:firstLine="0" w:firstLineChars="0"/>
        <w:jc w:val="center"/>
        <w:rPr>
          <w:rFonts w:ascii="宋体" w:hAnsi="宋体" w:cs="宋体-18030"/>
          <w:color w:val="000000" w:themeColor="text1"/>
          <w:szCs w:val="28"/>
        </w:rPr>
      </w:pPr>
    </w:p>
    <w:p>
      <w:pPr>
        <w:ind w:firstLine="0" w:firstLineChars="0"/>
        <w:rPr>
          <w:rFonts w:ascii="宋体" w:hAnsi="宋体" w:cs="宋体-18030"/>
          <w:color w:val="000000" w:themeColor="text1"/>
          <w:szCs w:val="28"/>
        </w:rPr>
      </w:pPr>
    </w:p>
    <w:p>
      <w:pPr>
        <w:ind w:firstLine="0" w:firstLineChars="0"/>
        <w:jc w:val="center"/>
        <w:rPr>
          <w:rFonts w:ascii="宋体" w:hAnsi="宋体" w:cs="宋体-18030"/>
          <w:color w:val="000000" w:themeColor="text1"/>
          <w:szCs w:val="28"/>
        </w:rPr>
      </w:pPr>
      <w:r>
        <w:rPr>
          <w:rFonts w:hint="eastAsia" w:ascii="宋体" w:hAnsi="宋体" w:cs="宋体"/>
          <w:b/>
          <w:spacing w:val="12"/>
          <w:kern w:val="0"/>
          <w:sz w:val="24"/>
        </w:rPr>
        <w:t>昭通市鼎安科技有限公司</w:t>
      </w:r>
    </w:p>
    <w:p>
      <w:pPr>
        <w:ind w:firstLine="0" w:firstLineChars="0"/>
        <w:jc w:val="center"/>
        <w:rPr>
          <w:rFonts w:ascii="宋体" w:hAnsi="宋体" w:cs="宋体-18030"/>
          <w:color w:val="000000" w:themeColor="text1"/>
          <w:szCs w:val="28"/>
        </w:rPr>
      </w:pPr>
      <w:r>
        <w:rPr>
          <w:rFonts w:hint="eastAsia" w:ascii="宋体" w:hAnsi="宋体" w:cs="宋体-18030"/>
          <w:b/>
          <w:bCs/>
          <w:color w:val="000000" w:themeColor="text1"/>
          <w:sz w:val="24"/>
        </w:rPr>
        <w:t>二0二四年</w:t>
      </w:r>
      <w:r>
        <w:rPr>
          <w:rFonts w:hint="eastAsia" w:ascii="宋体" w:hAnsi="宋体" w:cs="宋体-18030"/>
          <w:b/>
          <w:bCs/>
          <w:color w:val="000000" w:themeColor="text1"/>
          <w:sz w:val="24"/>
          <w:lang w:val="en-US" w:eastAsia="zh-CN"/>
        </w:rPr>
        <w:t>四</w:t>
      </w:r>
      <w:r>
        <w:rPr>
          <w:rFonts w:hint="eastAsia" w:ascii="宋体" w:hAnsi="宋体" w:cs="宋体-18030"/>
          <w:b/>
          <w:bCs/>
          <w:color w:val="000000" w:themeColor="text1"/>
          <w:sz w:val="24"/>
        </w:rPr>
        <w:t>月</w:t>
      </w:r>
    </w:p>
    <w:p>
      <w:pPr>
        <w:ind w:firstLine="0" w:firstLineChars="0"/>
        <w:jc w:val="center"/>
        <w:rPr>
          <w:rFonts w:ascii="宋体" w:hAnsi="宋体" w:cs="宋体-18030"/>
          <w:color w:val="000000" w:themeColor="text1"/>
          <w:szCs w:val="28"/>
        </w:rPr>
        <w:sectPr>
          <w:headerReference r:id="rId9" w:type="default"/>
          <w:footerReference r:id="rId10" w:type="default"/>
          <w:pgSz w:w="11906" w:h="16838"/>
          <w:pgMar w:top="1417" w:right="1417" w:bottom="1587" w:left="1417" w:header="851" w:footer="1020" w:gutter="0"/>
          <w:pgNumType w:fmt="upperRoman" w:start="1"/>
          <w:cols w:space="0" w:num="1"/>
          <w:docGrid w:linePitch="381" w:charSpace="0"/>
        </w:sectPr>
      </w:pPr>
    </w:p>
    <w:p>
      <w:pPr>
        <w:spacing w:line="240" w:lineRule="auto"/>
        <w:ind w:firstLine="0" w:firstLineChars="0"/>
        <w:jc w:val="center"/>
        <w:rPr>
          <w:b/>
          <w:bCs/>
          <w:color w:val="000000" w:themeColor="text1"/>
          <w:sz w:val="44"/>
          <w:szCs w:val="44"/>
        </w:rPr>
      </w:pPr>
      <w:r>
        <w:rPr>
          <w:rFonts w:hint="eastAsia"/>
          <w:b/>
          <w:bCs/>
          <w:color w:val="000000" w:themeColor="text1"/>
          <w:sz w:val="44"/>
          <w:szCs w:val="44"/>
        </w:rPr>
        <w:t>现 场 照 片</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1" w:type="dxa"/>
          </w:tcPr>
          <w:p>
            <w:pPr>
              <w:widowControl/>
              <w:spacing w:line="240" w:lineRule="auto"/>
              <w:ind w:firstLine="0" w:firstLineChars="0"/>
              <w:jc w:val="center"/>
              <w:rPr>
                <w:rFonts w:ascii="宋体" w:hAnsi="宋体" w:cs="宋体"/>
                <w:b/>
                <w:color w:val="000000" w:themeColor="text1"/>
                <w:sz w:val="44"/>
                <w:szCs w:val="44"/>
              </w:rPr>
            </w:pPr>
            <w:r>
              <w:rPr>
                <w:rFonts w:hint="eastAsia" w:ascii="宋体" w:hAnsi="宋体" w:cs="宋体"/>
                <w:b/>
                <w:color w:val="000000" w:themeColor="text1"/>
                <w:sz w:val="44"/>
                <w:szCs w:val="44"/>
              </w:rPr>
              <w:drawing>
                <wp:inline distT="0" distB="0" distL="114300" distR="114300">
                  <wp:extent cx="4683125" cy="3312160"/>
                  <wp:effectExtent l="0" t="0" r="3175" b="2540"/>
                  <wp:docPr id="34" name="图片 34" descr="微信图片_20240314120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微信图片_20240314120751"/>
                          <pic:cNvPicPr>
                            <a:picLocks noChangeAspect="1"/>
                          </pic:cNvPicPr>
                        </pic:nvPicPr>
                        <pic:blipFill>
                          <a:blip r:embed="rId17" cstate="print"/>
                          <a:stretch>
                            <a:fillRect/>
                          </a:stretch>
                        </pic:blipFill>
                        <pic:spPr>
                          <a:xfrm>
                            <a:off x="0" y="0"/>
                            <a:ext cx="4683125" cy="3312160"/>
                          </a:xfrm>
                          <a:prstGeom prst="rect">
                            <a:avLst/>
                          </a:prstGeom>
                        </pic:spPr>
                      </pic:pic>
                    </a:graphicData>
                  </a:graphic>
                </wp:inline>
              </w:drawing>
            </w:r>
          </w:p>
          <w:p>
            <w:pPr>
              <w:widowControl/>
              <w:spacing w:line="240" w:lineRule="auto"/>
              <w:ind w:firstLine="0" w:firstLineChars="0"/>
              <w:jc w:val="center"/>
              <w:rPr>
                <w:rFonts w:ascii="宋体" w:hAnsi="宋体" w:cs="宋体"/>
                <w:b/>
                <w:bCs/>
                <w:color w:val="000000" w:themeColor="text1"/>
                <w:sz w:val="24"/>
              </w:rPr>
            </w:pPr>
            <w:r>
              <w:rPr>
                <w:rFonts w:hint="eastAsia" w:ascii="宋体" w:hAnsi="宋体" w:cs="宋体"/>
                <w:b/>
                <w:bCs/>
                <w:color w:val="000000" w:themeColor="text1"/>
                <w:sz w:val="24"/>
              </w:rPr>
              <w:t>图1 评价师现场照片</w:t>
            </w:r>
          </w:p>
          <w:p>
            <w:pPr>
              <w:widowControl/>
              <w:spacing w:line="240" w:lineRule="auto"/>
              <w:ind w:firstLine="0" w:firstLineChars="0"/>
              <w:jc w:val="center"/>
              <w:rPr>
                <w:color w:val="000000" w:themeColor="text1"/>
              </w:rPr>
            </w:pPr>
            <w:r>
              <w:rPr>
                <w:rFonts w:hint="eastAsia" w:ascii="宋体" w:hAnsi="宋体" w:cs="宋体"/>
                <w:b/>
                <w:bCs/>
                <w:color w:val="000000" w:themeColor="text1"/>
                <w:sz w:val="24"/>
              </w:rPr>
              <w:t>从右到左分别为：杨华（报告编制人）、兰焕平（业主单位主要负责人）、杨庆国（项目负责人）</w:t>
            </w:r>
          </w:p>
        </w:tc>
      </w:tr>
    </w:tbl>
    <w:tbl>
      <w:tblPr>
        <w:tblStyle w:val="39"/>
        <w:tblpPr w:leftFromText="180" w:rightFromText="180" w:vertAnchor="text" w:horzAnchor="margin" w:tblpY="10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8" w:hRule="atLeast"/>
        </w:trPr>
        <w:tc>
          <w:tcPr>
            <w:tcW w:w="9401" w:type="dxa"/>
          </w:tcPr>
          <w:p>
            <w:pPr>
              <w:widowControl/>
              <w:spacing w:line="240" w:lineRule="auto"/>
              <w:ind w:firstLine="0" w:firstLineChars="0"/>
              <w:jc w:val="center"/>
              <w:rPr>
                <w:rFonts w:ascii="宋体" w:hAnsi="宋体" w:cs="宋体"/>
                <w:b/>
                <w:color w:val="000000" w:themeColor="text1"/>
                <w:sz w:val="44"/>
                <w:szCs w:val="44"/>
                <w:lang w:val="zh-CN"/>
              </w:rPr>
            </w:pPr>
            <w:r>
              <w:rPr>
                <w:rFonts w:ascii="宋体" w:hAnsi="宋体" w:cs="宋体"/>
                <w:b/>
                <w:color w:val="000000" w:themeColor="text1"/>
                <w:sz w:val="44"/>
                <w:szCs w:val="44"/>
              </w:rPr>
              <w:drawing>
                <wp:inline distT="0" distB="0" distL="114300" distR="114300">
                  <wp:extent cx="4671695" cy="3503930"/>
                  <wp:effectExtent l="0" t="0" r="14605" b="1270"/>
                  <wp:docPr id="35" name="图片 35" descr="微信图片_20240314120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微信图片_20240314120836"/>
                          <pic:cNvPicPr>
                            <a:picLocks noChangeAspect="1"/>
                          </pic:cNvPicPr>
                        </pic:nvPicPr>
                        <pic:blipFill>
                          <a:blip r:embed="rId18" cstate="print"/>
                          <a:stretch>
                            <a:fillRect/>
                          </a:stretch>
                        </pic:blipFill>
                        <pic:spPr>
                          <a:xfrm>
                            <a:off x="0" y="0"/>
                            <a:ext cx="4671695" cy="3503930"/>
                          </a:xfrm>
                          <a:prstGeom prst="rect">
                            <a:avLst/>
                          </a:prstGeom>
                        </pic:spPr>
                      </pic:pic>
                    </a:graphicData>
                  </a:graphic>
                </wp:inline>
              </w:drawing>
            </w:r>
          </w:p>
          <w:p>
            <w:pPr>
              <w:widowControl/>
              <w:spacing w:line="240" w:lineRule="auto"/>
              <w:ind w:firstLine="0" w:firstLineChars="0"/>
              <w:jc w:val="center"/>
              <w:rPr>
                <w:rFonts w:cs="宋体"/>
                <w:b/>
                <w:bCs/>
                <w:color w:val="000000" w:themeColor="text1"/>
                <w:sz w:val="24"/>
              </w:rPr>
            </w:pPr>
            <w:r>
              <w:rPr>
                <w:rFonts w:hint="eastAsia" w:cs="宋体"/>
                <w:b/>
                <w:bCs/>
                <w:color w:val="000000" w:themeColor="text1"/>
                <w:sz w:val="24"/>
              </w:rPr>
              <w:t>图2 评价师现场照片</w:t>
            </w:r>
          </w:p>
          <w:p>
            <w:pPr>
              <w:pStyle w:val="56"/>
              <w:jc w:val="center"/>
              <w:rPr>
                <w:rFonts w:hint="default" w:cs="宋体"/>
                <w:b/>
                <w:color w:val="000000" w:themeColor="text1"/>
                <w:sz w:val="44"/>
                <w:szCs w:val="44"/>
                <w:lang w:val="zh-CN"/>
              </w:rPr>
            </w:pPr>
            <w:r>
              <w:rPr>
                <w:rFonts w:cs="宋体"/>
                <w:b/>
                <w:bCs/>
                <w:color w:val="000000" w:themeColor="text1"/>
                <w:szCs w:val="24"/>
              </w:rPr>
              <w:t>从右到左分别为：</w:t>
            </w:r>
            <w:r>
              <w:rPr>
                <w:rFonts w:cs="宋体"/>
                <w:b/>
                <w:bCs/>
                <w:color w:val="000000" w:themeColor="text1"/>
              </w:rPr>
              <w:t>杨庆国（项目负责人）、兰焕平（业主单位主要负责人）、杨华（报告编制人）</w:t>
            </w:r>
          </w:p>
        </w:tc>
      </w:tr>
    </w:tbl>
    <w:p>
      <w:pPr>
        <w:ind w:firstLine="0" w:firstLineChars="0"/>
        <w:rPr>
          <w:b/>
          <w:color w:val="000000" w:themeColor="text1"/>
          <w:sz w:val="24"/>
        </w:rPr>
      </w:pPr>
      <w:r>
        <w:rPr>
          <w:b/>
          <w:color w:val="000000" w:themeColor="text1"/>
          <w:sz w:val="24"/>
        </w:rPr>
        <w:br w:type="page"/>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6"/>
        <w:gridCol w:w="4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1" w:hRule="atLeast"/>
        </w:trPr>
        <w:tc>
          <w:tcPr>
            <w:tcW w:w="4626" w:type="dxa"/>
          </w:tcPr>
          <w:p>
            <w:pPr>
              <w:ind w:firstLine="0" w:firstLineChars="0"/>
              <w:jc w:val="center"/>
            </w:pPr>
            <w:r>
              <w:rPr>
                <w:rFonts w:hint="eastAsia"/>
              </w:rPr>
              <w:drawing>
                <wp:inline distT="0" distB="0" distL="114300" distR="114300">
                  <wp:extent cx="2794635" cy="2095500"/>
                  <wp:effectExtent l="0" t="0" r="5715" b="0"/>
                  <wp:docPr id="74" name="图片 74" descr="15dc2613405bc748c1b942b88c98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15dc2613405bc748c1b942b88c98004"/>
                          <pic:cNvPicPr>
                            <a:picLocks noChangeAspect="1"/>
                          </pic:cNvPicPr>
                        </pic:nvPicPr>
                        <pic:blipFill>
                          <a:blip r:embed="rId19" cstate="print"/>
                          <a:stretch>
                            <a:fillRect/>
                          </a:stretch>
                        </pic:blipFill>
                        <pic:spPr>
                          <a:xfrm>
                            <a:off x="0" y="0"/>
                            <a:ext cx="2794635" cy="2095500"/>
                          </a:xfrm>
                          <a:prstGeom prst="rect">
                            <a:avLst/>
                          </a:prstGeom>
                        </pic:spPr>
                      </pic:pic>
                    </a:graphicData>
                  </a:graphic>
                </wp:inline>
              </w:drawing>
            </w:r>
          </w:p>
        </w:tc>
        <w:tc>
          <w:tcPr>
            <w:tcW w:w="4566" w:type="dxa"/>
          </w:tcPr>
          <w:p>
            <w:pPr>
              <w:ind w:firstLine="0" w:firstLineChars="0"/>
            </w:pPr>
            <w:r>
              <w:rPr>
                <w:rFonts w:hint="eastAsia"/>
              </w:rPr>
              <w:drawing>
                <wp:inline distT="0" distB="0" distL="114300" distR="114300">
                  <wp:extent cx="2750820" cy="2063115"/>
                  <wp:effectExtent l="0" t="0" r="11430" b="13335"/>
                  <wp:docPr id="6" name="图片 6" descr="IMG_20240221_115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0240221_115910"/>
                          <pic:cNvPicPr>
                            <a:picLocks noChangeAspect="1"/>
                          </pic:cNvPicPr>
                        </pic:nvPicPr>
                        <pic:blipFill>
                          <a:blip r:embed="rId20" cstate="print"/>
                          <a:stretch>
                            <a:fillRect/>
                          </a:stretch>
                        </pic:blipFill>
                        <pic:spPr>
                          <a:xfrm>
                            <a:off x="0" y="0"/>
                            <a:ext cx="2750820" cy="206311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26" w:type="dxa"/>
          </w:tcPr>
          <w:p>
            <w:pPr>
              <w:ind w:firstLine="0" w:firstLineChars="0"/>
              <w:jc w:val="center"/>
              <w:rPr>
                <w:b/>
                <w:bCs/>
                <w:sz w:val="24"/>
              </w:rPr>
            </w:pPr>
            <w:r>
              <w:rPr>
                <w:rFonts w:hint="eastAsia"/>
                <w:b/>
                <w:bCs/>
                <w:sz w:val="24"/>
              </w:rPr>
              <w:t>图3 公司南面</w:t>
            </w:r>
          </w:p>
        </w:tc>
        <w:tc>
          <w:tcPr>
            <w:tcW w:w="4566" w:type="dxa"/>
          </w:tcPr>
          <w:p>
            <w:pPr>
              <w:ind w:firstLine="0" w:firstLineChars="0"/>
              <w:jc w:val="center"/>
              <w:rPr>
                <w:b/>
                <w:bCs/>
                <w:sz w:val="24"/>
              </w:rPr>
            </w:pPr>
            <w:r>
              <w:rPr>
                <w:rFonts w:hint="eastAsia"/>
                <w:b/>
                <w:bCs/>
                <w:sz w:val="24"/>
              </w:rPr>
              <w:t>图4 硫酸生产远程监控系统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26" w:type="dxa"/>
          </w:tcPr>
          <w:p>
            <w:pPr>
              <w:ind w:firstLine="0" w:firstLineChars="0"/>
              <w:jc w:val="center"/>
            </w:pPr>
            <w:r>
              <w:rPr>
                <w:rFonts w:hint="eastAsia"/>
              </w:rPr>
              <w:drawing>
                <wp:inline distT="0" distB="0" distL="114300" distR="114300">
                  <wp:extent cx="2291080" cy="2025015"/>
                  <wp:effectExtent l="0" t="0" r="13970" b="13335"/>
                  <wp:docPr id="7" name="图片 7" descr="IMG_20240221_113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0240221_113512"/>
                          <pic:cNvPicPr>
                            <a:picLocks noChangeAspect="1"/>
                          </pic:cNvPicPr>
                        </pic:nvPicPr>
                        <pic:blipFill>
                          <a:blip r:embed="rId21" cstate="print"/>
                          <a:stretch>
                            <a:fillRect/>
                          </a:stretch>
                        </pic:blipFill>
                        <pic:spPr>
                          <a:xfrm>
                            <a:off x="0" y="0"/>
                            <a:ext cx="2291080" cy="2025015"/>
                          </a:xfrm>
                          <a:prstGeom prst="rect">
                            <a:avLst/>
                          </a:prstGeom>
                        </pic:spPr>
                      </pic:pic>
                    </a:graphicData>
                  </a:graphic>
                </wp:inline>
              </w:drawing>
            </w:r>
          </w:p>
        </w:tc>
        <w:tc>
          <w:tcPr>
            <w:tcW w:w="4566" w:type="dxa"/>
          </w:tcPr>
          <w:p>
            <w:pPr>
              <w:ind w:firstLine="0" w:firstLineChars="0"/>
            </w:pPr>
            <w:r>
              <w:rPr>
                <w:rFonts w:hint="eastAsia"/>
              </w:rPr>
              <w:drawing>
                <wp:inline distT="0" distB="0" distL="114300" distR="114300">
                  <wp:extent cx="2419350" cy="2243455"/>
                  <wp:effectExtent l="0" t="0" r="0" b="4445"/>
                  <wp:docPr id="9" name="图片 9" descr="IMG_20240221_11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0240221_114031"/>
                          <pic:cNvPicPr>
                            <a:picLocks noChangeAspect="1"/>
                          </pic:cNvPicPr>
                        </pic:nvPicPr>
                        <pic:blipFill>
                          <a:blip r:embed="rId22" cstate="print"/>
                          <a:srcRect b="30469"/>
                          <a:stretch>
                            <a:fillRect/>
                          </a:stretch>
                        </pic:blipFill>
                        <pic:spPr>
                          <a:xfrm>
                            <a:off x="0" y="0"/>
                            <a:ext cx="2419350" cy="22434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4626" w:type="dxa"/>
          </w:tcPr>
          <w:p>
            <w:pPr>
              <w:ind w:firstLine="0" w:firstLineChars="0"/>
              <w:jc w:val="center"/>
              <w:rPr>
                <w:b/>
                <w:bCs/>
                <w:sz w:val="24"/>
              </w:rPr>
            </w:pPr>
            <w:r>
              <w:rPr>
                <w:rFonts w:hint="eastAsia"/>
                <w:b/>
                <w:bCs/>
                <w:sz w:val="24"/>
              </w:rPr>
              <w:t>图5 喷淋洗眼器</w:t>
            </w:r>
          </w:p>
        </w:tc>
        <w:tc>
          <w:tcPr>
            <w:tcW w:w="4566" w:type="dxa"/>
          </w:tcPr>
          <w:p>
            <w:pPr>
              <w:ind w:firstLine="0" w:firstLineChars="0"/>
              <w:jc w:val="center"/>
              <w:rPr>
                <w:b/>
                <w:bCs/>
                <w:sz w:val="24"/>
              </w:rPr>
            </w:pPr>
            <w:r>
              <w:rPr>
                <w:rFonts w:hint="eastAsia"/>
                <w:b/>
                <w:bCs/>
                <w:sz w:val="24"/>
              </w:rPr>
              <w:t xml:space="preserve">图6 有毒气体浓度检测报警仪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tcPr>
          <w:p>
            <w:pPr>
              <w:ind w:firstLine="0" w:firstLineChars="0"/>
              <w:jc w:val="center"/>
            </w:pPr>
            <w:r>
              <w:rPr>
                <w:rFonts w:hint="eastAsia"/>
              </w:rPr>
              <w:drawing>
                <wp:inline distT="0" distB="0" distL="114300" distR="114300">
                  <wp:extent cx="2794635" cy="2095500"/>
                  <wp:effectExtent l="0" t="0" r="5715" b="0"/>
                  <wp:docPr id="75" name="图片 75" descr="c15d590e329208db939a2c70b143d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c15d590e329208db939a2c70b143d33"/>
                          <pic:cNvPicPr>
                            <a:picLocks noChangeAspect="1"/>
                          </pic:cNvPicPr>
                        </pic:nvPicPr>
                        <pic:blipFill>
                          <a:blip r:embed="rId23" cstate="print"/>
                          <a:stretch>
                            <a:fillRect/>
                          </a:stretch>
                        </pic:blipFill>
                        <pic:spPr>
                          <a:xfrm>
                            <a:off x="0" y="0"/>
                            <a:ext cx="2794635" cy="2095500"/>
                          </a:xfrm>
                          <a:prstGeom prst="rect">
                            <a:avLst/>
                          </a:prstGeom>
                        </pic:spPr>
                      </pic:pic>
                    </a:graphicData>
                  </a:graphic>
                </wp:inline>
              </w:drawing>
            </w:r>
          </w:p>
        </w:tc>
        <w:tc>
          <w:tcPr>
            <w:tcW w:w="4566" w:type="dxa"/>
          </w:tcPr>
          <w:p>
            <w:pPr>
              <w:ind w:firstLine="0" w:firstLineChars="0"/>
              <w:jc w:val="center"/>
            </w:pPr>
            <w:r>
              <w:rPr>
                <w:rFonts w:hint="eastAsia"/>
              </w:rPr>
              <w:drawing>
                <wp:inline distT="0" distB="0" distL="114300" distR="114300">
                  <wp:extent cx="2070100" cy="1776095"/>
                  <wp:effectExtent l="0" t="0" r="6350" b="14605"/>
                  <wp:docPr id="8" name="图片 8" descr="IMG_20240221_113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240221_113851"/>
                          <pic:cNvPicPr>
                            <a:picLocks noChangeAspect="1"/>
                          </pic:cNvPicPr>
                        </pic:nvPicPr>
                        <pic:blipFill>
                          <a:blip r:embed="rId24" cstate="print"/>
                          <a:srcRect t="16556" b="25324"/>
                          <a:stretch>
                            <a:fillRect/>
                          </a:stretch>
                        </pic:blipFill>
                        <pic:spPr>
                          <a:xfrm>
                            <a:off x="0" y="0"/>
                            <a:ext cx="2070100" cy="17760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tcPr>
          <w:p>
            <w:pPr>
              <w:ind w:firstLine="0" w:firstLineChars="0"/>
              <w:jc w:val="center"/>
              <w:rPr>
                <w:b/>
                <w:bCs/>
                <w:sz w:val="24"/>
              </w:rPr>
            </w:pPr>
            <w:r>
              <w:rPr>
                <w:rFonts w:hint="eastAsia"/>
                <w:b/>
                <w:bCs/>
                <w:sz w:val="24"/>
              </w:rPr>
              <w:t xml:space="preserve">图7 硫酸装车区 </w:t>
            </w:r>
          </w:p>
        </w:tc>
        <w:tc>
          <w:tcPr>
            <w:tcW w:w="4566" w:type="dxa"/>
          </w:tcPr>
          <w:p>
            <w:pPr>
              <w:ind w:firstLine="0" w:firstLineChars="0"/>
              <w:jc w:val="center"/>
              <w:rPr>
                <w:b/>
                <w:bCs/>
                <w:sz w:val="24"/>
              </w:rPr>
            </w:pPr>
            <w:r>
              <w:rPr>
                <w:rFonts w:hint="eastAsia"/>
                <w:b/>
                <w:bCs/>
                <w:sz w:val="24"/>
              </w:rPr>
              <w:t>图8 风险告知牌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tcPr>
          <w:p>
            <w:pPr>
              <w:ind w:firstLine="0" w:firstLineChars="0"/>
              <w:jc w:val="center"/>
              <w:rPr>
                <w:b/>
                <w:bCs/>
                <w:sz w:val="24"/>
              </w:rPr>
            </w:pPr>
            <w:r>
              <w:rPr>
                <w:rFonts w:hint="eastAsia"/>
                <w:b/>
                <w:bCs/>
                <w:sz w:val="24"/>
              </w:rPr>
              <w:drawing>
                <wp:inline distT="0" distB="0" distL="114300" distR="114300">
                  <wp:extent cx="2750820" cy="2063115"/>
                  <wp:effectExtent l="0" t="0" r="11430" b="13335"/>
                  <wp:docPr id="77" name="图片 77" descr="IMG_20240221_113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IMG_20240221_113109"/>
                          <pic:cNvPicPr>
                            <a:picLocks noChangeAspect="1"/>
                          </pic:cNvPicPr>
                        </pic:nvPicPr>
                        <pic:blipFill>
                          <a:blip r:embed="rId25" cstate="print"/>
                          <a:stretch>
                            <a:fillRect/>
                          </a:stretch>
                        </pic:blipFill>
                        <pic:spPr>
                          <a:xfrm>
                            <a:off x="0" y="0"/>
                            <a:ext cx="2750820" cy="2063115"/>
                          </a:xfrm>
                          <a:prstGeom prst="rect">
                            <a:avLst/>
                          </a:prstGeom>
                        </pic:spPr>
                      </pic:pic>
                    </a:graphicData>
                  </a:graphic>
                </wp:inline>
              </w:drawing>
            </w:r>
          </w:p>
        </w:tc>
        <w:tc>
          <w:tcPr>
            <w:tcW w:w="4566" w:type="dxa"/>
          </w:tcPr>
          <w:p>
            <w:pPr>
              <w:ind w:firstLine="0" w:firstLineChars="0"/>
              <w:jc w:val="center"/>
              <w:rPr>
                <w:b/>
                <w:bCs/>
                <w:sz w:val="24"/>
              </w:rPr>
            </w:pPr>
            <w:r>
              <w:rPr>
                <w:rFonts w:hint="eastAsia"/>
                <w:b/>
                <w:bCs/>
                <w:sz w:val="24"/>
              </w:rPr>
              <w:drawing>
                <wp:inline distT="0" distB="0" distL="114300" distR="114300">
                  <wp:extent cx="2750820" cy="2063115"/>
                  <wp:effectExtent l="0" t="0" r="11430" b="13335"/>
                  <wp:docPr id="78" name="图片 78" descr="IMG_20240221_113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IMG_20240221_113920"/>
                          <pic:cNvPicPr>
                            <a:picLocks noChangeAspect="1"/>
                          </pic:cNvPicPr>
                        </pic:nvPicPr>
                        <pic:blipFill>
                          <a:blip r:embed="rId26" cstate="print"/>
                          <a:stretch>
                            <a:fillRect/>
                          </a:stretch>
                        </pic:blipFill>
                        <pic:spPr>
                          <a:xfrm>
                            <a:off x="0" y="0"/>
                            <a:ext cx="2750820" cy="206311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tcPr>
          <w:p>
            <w:pPr>
              <w:ind w:firstLine="0" w:firstLineChars="0"/>
              <w:jc w:val="center"/>
              <w:rPr>
                <w:b/>
                <w:bCs/>
                <w:sz w:val="24"/>
              </w:rPr>
            </w:pPr>
            <w:r>
              <w:rPr>
                <w:rFonts w:hint="eastAsia"/>
                <w:b/>
                <w:bCs/>
                <w:sz w:val="24"/>
              </w:rPr>
              <w:t>图9 安全告知书</w:t>
            </w:r>
          </w:p>
        </w:tc>
        <w:tc>
          <w:tcPr>
            <w:tcW w:w="4566" w:type="dxa"/>
          </w:tcPr>
          <w:p>
            <w:pPr>
              <w:ind w:firstLine="0" w:firstLineChars="0"/>
              <w:jc w:val="center"/>
              <w:rPr>
                <w:b/>
                <w:bCs/>
                <w:sz w:val="24"/>
              </w:rPr>
            </w:pPr>
            <w:r>
              <w:rPr>
                <w:rFonts w:hint="eastAsia"/>
                <w:b/>
                <w:bCs/>
                <w:sz w:val="24"/>
              </w:rPr>
              <w:t>图10 应急救援图</w:t>
            </w:r>
          </w:p>
        </w:tc>
      </w:tr>
    </w:tbl>
    <w:p>
      <w:pPr>
        <w:ind w:firstLine="0" w:firstLineChars="0"/>
        <w:jc w:val="center"/>
        <w:rPr>
          <w:b/>
          <w:color w:val="000000" w:themeColor="text1"/>
          <w:sz w:val="24"/>
        </w:rPr>
      </w:pPr>
    </w:p>
    <w:p>
      <w:pPr>
        <w:pStyle w:val="2"/>
        <w:sectPr>
          <w:headerReference r:id="rId11" w:type="default"/>
          <w:footerReference r:id="rId12" w:type="default"/>
          <w:pgSz w:w="11906" w:h="16838"/>
          <w:pgMar w:top="1417" w:right="1417" w:bottom="1587" w:left="1417" w:header="851" w:footer="1020" w:gutter="0"/>
          <w:pgNumType w:fmt="upperRoman" w:start="1"/>
          <w:cols w:space="0" w:num="1"/>
          <w:docGrid w:linePitch="381" w:charSpace="0"/>
        </w:sectPr>
      </w:pPr>
    </w:p>
    <w:p>
      <w:pPr>
        <w:ind w:firstLine="0" w:firstLineChars="0"/>
        <w:jc w:val="center"/>
        <w:rPr>
          <w:b/>
          <w:bCs/>
          <w:color w:val="000000" w:themeColor="text1"/>
          <w:sz w:val="44"/>
          <w:szCs w:val="44"/>
          <w:lang w:val="zh-CN"/>
        </w:rPr>
      </w:pPr>
      <w:r>
        <w:rPr>
          <w:rFonts w:hint="eastAsia"/>
          <w:b/>
          <w:bCs/>
          <w:color w:val="000000" w:themeColor="text1"/>
          <w:sz w:val="44"/>
          <w:szCs w:val="44"/>
          <w:lang w:val="zh-CN"/>
        </w:rPr>
        <w:t>前</w:t>
      </w:r>
      <w:r>
        <w:rPr>
          <w:rFonts w:hint="eastAsia"/>
          <w:b/>
          <w:bCs/>
          <w:color w:val="000000" w:themeColor="text1"/>
          <w:sz w:val="44"/>
          <w:szCs w:val="44"/>
        </w:rPr>
        <w:t xml:space="preserve">  </w:t>
      </w:r>
      <w:r>
        <w:rPr>
          <w:rFonts w:hint="eastAsia"/>
          <w:b/>
          <w:bCs/>
          <w:color w:val="000000" w:themeColor="text1"/>
          <w:sz w:val="44"/>
          <w:szCs w:val="44"/>
          <w:lang w:val="zh-CN"/>
        </w:rPr>
        <w:t>言</w:t>
      </w:r>
      <w:bookmarkEnd w:id="0"/>
      <w:bookmarkEnd w:id="1"/>
      <w:bookmarkEnd w:id="2"/>
      <w:bookmarkEnd w:id="3"/>
      <w:bookmarkEnd w:id="4"/>
      <w:bookmarkEnd w:id="5"/>
      <w:bookmarkEnd w:id="6"/>
      <w:bookmarkEnd w:id="7"/>
      <w:bookmarkEnd w:id="8"/>
      <w:bookmarkEnd w:id="9"/>
      <w:bookmarkEnd w:id="10"/>
    </w:p>
    <w:p>
      <w:pPr>
        <w:ind w:firstLine="0" w:firstLineChars="0"/>
        <w:rPr>
          <w:lang w:val="zh-CN"/>
        </w:rPr>
      </w:pPr>
    </w:p>
    <w:p>
      <w:pPr>
        <w:topLinePunct/>
        <w:ind w:firstLine="560"/>
        <w:rPr>
          <w:rFonts w:ascii="宋体" w:hAnsi="宋体"/>
          <w:color w:val="000000" w:themeColor="text1"/>
          <w:szCs w:val="20"/>
        </w:rPr>
      </w:pPr>
      <w:r>
        <w:rPr>
          <w:rFonts w:hint="eastAsia" w:ascii="宋体" w:hAnsi="宋体"/>
          <w:color w:val="000000" w:themeColor="text1"/>
          <w:szCs w:val="20"/>
        </w:rPr>
        <w:t>随着我国法制化的日趋健全和完善，安全生产监督管理体系也逐步向科学化、规范化、制度化发展，安全评价作为现代先进安全生产管理模式的主要内容之一越来越受到重视。安全评价不仅能有效地提高企业和生产设备的本质安全程度，而且可以为各级安全生产监督管理部门的决策和监督检查提供有力的技术支撑。</w:t>
      </w:r>
    </w:p>
    <w:p>
      <w:pPr>
        <w:topLinePunct/>
        <w:ind w:firstLine="560"/>
        <w:rPr>
          <w:rFonts w:ascii="宋体" w:hAnsi="宋体"/>
          <w:color w:val="000000" w:themeColor="text1"/>
          <w:szCs w:val="20"/>
        </w:rPr>
      </w:pPr>
      <w:r>
        <w:rPr>
          <w:rFonts w:hint="eastAsia" w:ascii="宋体" w:hAnsi="宋体"/>
          <w:color w:val="000000" w:themeColor="text1"/>
          <w:szCs w:val="20"/>
        </w:rPr>
        <w:t>根据《中华人民共和国安全生产法》（</w:t>
      </w:r>
      <w:r>
        <w:rPr>
          <w:rFonts w:hint="eastAsia"/>
          <w:color w:val="000000" w:themeColor="text1"/>
        </w:rPr>
        <w:t>中华人民共和国主席令第88号</w:t>
      </w:r>
      <w:r>
        <w:rPr>
          <w:rFonts w:hint="eastAsia" w:ascii="宋体" w:hAnsi="宋体"/>
          <w:color w:val="000000" w:themeColor="text1"/>
          <w:szCs w:val="20"/>
        </w:rPr>
        <w:t>）、《危险化学品安全管理条例》（中华人民共和国国务院令591号，第645号修正）、《安全生产许可证条例》（国务院397号令发布，国务院令第653号修正）等国家有关安全生产法律、法规、部门规章的要求，漾濞县跃进化工有限责任公司危险化学品安全生产许可证于2024年7月19日到期，按照《危险化学品生产企业安全生产许可证实施办法》（</w:t>
      </w:r>
      <w:r>
        <w:rPr>
          <w:color w:val="000000" w:themeColor="text1"/>
        </w:rPr>
        <w:t>国家安全生产监督管理总局令第41号，第79号第一次修正，第89号第二次修正</w:t>
      </w:r>
      <w:r>
        <w:rPr>
          <w:rFonts w:hint="eastAsia" w:ascii="宋体" w:hAnsi="宋体"/>
          <w:color w:val="000000" w:themeColor="text1"/>
          <w:szCs w:val="20"/>
        </w:rPr>
        <w:t>）的规定，特委托昭通市鼎安科技有限公司承担其安全现状评价工作。</w:t>
      </w:r>
    </w:p>
    <w:p>
      <w:pPr>
        <w:topLinePunct/>
        <w:ind w:firstLine="560"/>
        <w:rPr>
          <w:rFonts w:ascii="宋体" w:hAnsi="宋体"/>
          <w:color w:val="000000" w:themeColor="text1"/>
          <w:szCs w:val="20"/>
        </w:rPr>
      </w:pPr>
      <w:r>
        <w:rPr>
          <w:rFonts w:hint="eastAsia" w:ascii="宋体" w:hAnsi="宋体"/>
          <w:color w:val="000000" w:themeColor="text1"/>
          <w:szCs w:val="20"/>
        </w:rPr>
        <w:t>昭通市鼎安科技有限公司接受企业委托后，成立了项目评价组，评价组依据《安全评价通则》AQ8001-2007要求，参照《危险化学品生产企业安全评价导则(试行)》（安监管危化字[2004]127号）规定的评价程序，本着“科学、公正、独立、客观”的原则，经现场调研和查勘，以收集到的相关资料与标准规范为依据，对该公司存在的主要危险和有害因素及其危险危害程度进行辨识与分析，对系统配备的安全设施进行了有效性、可靠性、生产条件进行了分析评价。在此基础上有针对性的提出了消除、减弱和预防危险性，提高其安全程度的对策措施，最后得出评价结论，并编制完成了安全现状评价报告。</w:t>
      </w:r>
    </w:p>
    <w:p>
      <w:pPr>
        <w:topLinePunct/>
        <w:ind w:firstLine="560"/>
        <w:rPr>
          <w:rFonts w:ascii="宋体" w:hAnsi="宋体"/>
          <w:color w:val="000000" w:themeColor="text1"/>
          <w:szCs w:val="20"/>
        </w:rPr>
      </w:pPr>
      <w:r>
        <w:rPr>
          <w:rFonts w:hint="eastAsia" w:ascii="宋体" w:hAnsi="宋体"/>
          <w:color w:val="000000" w:themeColor="text1"/>
          <w:szCs w:val="20"/>
        </w:rPr>
        <w:t>在漾濞县跃进化工有限责任公司的安全评价以及评价报告的编写过程中，得到了</w:t>
      </w:r>
      <w:r>
        <w:rPr>
          <w:rFonts w:ascii="Arial" w:hAnsi="Arial" w:cs="Arial"/>
          <w:color w:val="333333"/>
          <w:szCs w:val="28"/>
          <w:shd w:val="clear" w:color="auto" w:fill="FFFFFF"/>
        </w:rPr>
        <w:t>大理白族自治州</w:t>
      </w:r>
      <w:r>
        <w:rPr>
          <w:rFonts w:hint="eastAsia" w:ascii="宋体" w:hAnsi="宋体"/>
          <w:color w:val="000000" w:themeColor="text1"/>
          <w:szCs w:val="20"/>
        </w:rPr>
        <w:t>应急管理局、</w:t>
      </w:r>
      <w:r>
        <w:rPr>
          <w:rFonts w:hint="eastAsia" w:ascii="Arial" w:hAnsi="Arial" w:cs="Arial"/>
          <w:color w:val="333333"/>
          <w:szCs w:val="28"/>
          <w:shd w:val="clear" w:color="auto" w:fill="FFFFFF"/>
        </w:rPr>
        <w:t>漾濞彝族自治县应急管</w:t>
      </w:r>
      <w:r>
        <w:rPr>
          <w:rFonts w:hint="eastAsia" w:ascii="宋体" w:hAnsi="宋体"/>
          <w:color w:val="000000" w:themeColor="text1"/>
          <w:szCs w:val="20"/>
        </w:rPr>
        <w:t>理局、漾濞县跃进化工有限责任公司等单位的支持和协助，在此表示衷心的感谢！</w:t>
      </w:r>
      <w:r>
        <w:rPr>
          <w:rFonts w:ascii="宋体" w:hAnsi="宋体"/>
          <w:color w:val="000000" w:themeColor="text1"/>
          <w:szCs w:val="20"/>
        </w:rPr>
        <w:br w:type="page"/>
      </w:r>
    </w:p>
    <w:p>
      <w:pPr>
        <w:topLinePunct/>
        <w:ind w:firstLine="0" w:firstLineChars="0"/>
        <w:rPr>
          <w:rFonts w:ascii="宋体" w:hAnsi="宋体"/>
          <w:color w:val="000000" w:themeColor="text1"/>
          <w:szCs w:val="20"/>
        </w:rPr>
        <w:sectPr>
          <w:footerReference r:id="rId13" w:type="default"/>
          <w:pgSz w:w="11906" w:h="16838"/>
          <w:pgMar w:top="1417" w:right="1417" w:bottom="1587" w:left="1417" w:header="851" w:footer="1020" w:gutter="0"/>
          <w:pgNumType w:fmt="upperRoman"/>
          <w:cols w:space="0" w:num="1"/>
          <w:docGrid w:linePitch="381" w:charSpace="0"/>
        </w:sectPr>
      </w:pPr>
    </w:p>
    <w:p>
      <w:pPr>
        <w:ind w:firstLine="0" w:firstLineChars="0"/>
        <w:jc w:val="center"/>
        <w:rPr>
          <w:lang w:val="zh-CN"/>
        </w:rPr>
      </w:pPr>
      <w:r>
        <w:rPr>
          <w:rFonts w:hint="eastAsia" w:ascii="宋体" w:hAnsi="宋体" w:cs="宋体"/>
          <w:b/>
          <w:color w:val="000000" w:themeColor="text1"/>
          <w:sz w:val="44"/>
          <w:szCs w:val="44"/>
          <w:lang w:val="zh-CN"/>
        </w:rPr>
        <w:t>目</w:t>
      </w:r>
      <w:r>
        <w:rPr>
          <w:rFonts w:hint="eastAsia" w:ascii="宋体" w:hAnsi="宋体" w:cs="宋体"/>
          <w:b/>
          <w:color w:val="000000" w:themeColor="text1"/>
          <w:sz w:val="44"/>
          <w:szCs w:val="44"/>
        </w:rPr>
        <w:t xml:space="preserve">  </w:t>
      </w:r>
      <w:r>
        <w:rPr>
          <w:rFonts w:hint="eastAsia" w:ascii="宋体" w:hAnsi="宋体" w:cs="宋体"/>
          <w:b/>
          <w:color w:val="000000" w:themeColor="text1"/>
          <w:sz w:val="44"/>
          <w:szCs w:val="44"/>
          <w:lang w:val="zh-CN"/>
        </w:rPr>
        <w:t>录</w:t>
      </w:r>
      <w:bookmarkStart w:id="11" w:name="_Toc23076_WPSOffice_Type2"/>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val="0"/>
        </w:rPr>
        <w:fldChar w:fldCharType="begin"/>
      </w:r>
      <w:r>
        <w:rPr>
          <w:rFonts w:hint="eastAsia" w:ascii="宋体" w:hAnsi="宋体" w:eastAsia="宋体" w:cs="宋体"/>
          <w:b w:val="0"/>
          <w:bCs w:val="0"/>
        </w:rPr>
        <w:instrText xml:space="preserve">TOC \o "1-3" \h \u </w:instrText>
      </w:r>
      <w:r>
        <w:rPr>
          <w:rFonts w:hint="eastAsia" w:ascii="宋体" w:hAnsi="宋体" w:eastAsia="宋体" w:cs="宋体"/>
          <w:b w:val="0"/>
          <w:bCs w:val="0"/>
        </w:rPr>
        <w:fldChar w:fldCharType="separate"/>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_Toc17570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非常用的术语说明</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_Toc17570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_Toc18821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  编制说明</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_Toc18821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_Toc18553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1.1 评价目的</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_Toc18553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_Toc23543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 评价依据</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_Toc23543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_Toc30588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1.3 评价范围</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_Toc30588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_Toc18044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1.4 评价程序</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_Toc18044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_Toc10471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1.5 评价原则</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_Toc10471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_Toc27924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 评价基准日</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_Toc27924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_Toc4398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  评价项目基本概况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_Toc4398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_Toc31280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 被评价单位简介</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_Toc31280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_Toc2475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2.2 地理位置及自然条件</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_Toc2475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_Toc23657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2.2.1 地理位置</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_Toc23657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_Toc12063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2.2.2 自然条件</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_Toc12063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_Toc26070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 周边环境及总平面布置</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_Toc26070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2.3.1 周边环境</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_Toc28255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2.3.2 总平面布置</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_Toc28255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_Toc16681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2.4 原料、辅助材料、产品及规模</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_Toc16681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_Toc12698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2.5 生产工艺</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_Toc12698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_Toc9351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2.6 生产过程控制</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_Toc9351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_Toc17137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2.7 主要建构筑物及设施设备</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_Toc17137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_Toc30294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2.7.1 主要建构筑物</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_Toc30294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_Toc5040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2.7.2 主要生产设备</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_Toc5040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_Toc10932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2.7.3 特种设备与强制检测设施</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_Toc10932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_Toc5983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2.8 公用工程和辅助设施</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_Toc5983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_Toc32617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2.8.1 供配电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_Toc32617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_Toc13210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2.8.2 给排水</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_Toc13210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_Toc11976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2.8.3 防雷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_Toc11976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_Toc8169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2.8.4 废渣处理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_Toc8169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_Toc26296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2.8.5 在线视频监控</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_Toc26296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_Toc15660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2.9 主要安全设施</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_Toc15660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_Toc3292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2.10 安全管理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_Toc3292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_Toc27029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2.10.1 安全管理机构</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_Toc27029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_Toc24890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2.10.2 安全生产管理制度</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_Toc24890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_Toc15690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2.10.3 安全生产教育</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_Toc15690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_Toc23246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2.10.4 从业人员持证情况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_Toc23246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_Toc15642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2.10.5 事故应急救援预案</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_Toc15642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_Toc13794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2.10.6 劳动防护用品配置</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_Toc13794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_Toc15347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2.10.7 工伤保险购买情况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_Toc15347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_Toc10805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2.11 安全费用提取使用情况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_Toc10805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_Toc10493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2.12 四区分离设置和双重预防机制情况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_Toc10493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_Toc12075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2.13 项目换证以来的安全运行情况及工艺变更情况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_Toc12075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_Toc14207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2.13.1 项目换证以来的安全运行情况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_Toc14207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_Toc9882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2.13.2 项目换证以来的工艺装置变更情况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_Toc9882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_Toc30458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2.13.3 项目换证以来安全设施变更情况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_Toc30458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_Toc19189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2.13.4 项目换证以来周边环境变化情况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_Toc19189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_Toc25892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2.13.5安全管理机构及人员变化情况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_Toc25892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_Toc25573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2.13.6项目换证以来总平面布置发生的变化情况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_Toc25573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_Toc7311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  危险和有害因素辨识结果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_Toc7311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_Toc23231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3.1 主要危险、有害物质辨识及物质的危险性分析结果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_Toc23231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_Toc28949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3.1.1 主要危险、有害物质辨识结果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_Toc28949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_Toc5397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3.1.2 主要危险、有害物质的危险性分析结果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_Toc5397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_Toc1489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3.1.3 危险和有害因素分布情况</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_Toc1489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_Toc820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3.2 主要危险和有害因素辨识分析结果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_Toc820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_Toc13105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3.3 危险化学品重大危险源辨识结果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_Toc13105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_Toc9724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3.4 剧毒品、易制毒危险化学品、易制爆危险化学品辨识结果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_Toc9724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_Toc5064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3.5 重点监管的危险化学品辨识结果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_Toc5064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_Toc19594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3.6 重点监管的危险化工工艺辨识结果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_Toc19594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_Toc29163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3.7 高毒物品辨识结果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_Toc29163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_Toc12161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3.8特别管控危险化学品辨识结果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_Toc12161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_Toc21522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lang w:val="en-US" w:eastAsia="zh-CN"/>
        </w:rPr>
        <w:t>3.9</w:t>
      </w:r>
      <w:r>
        <w:rPr>
          <w:rFonts w:hint="eastAsia" w:ascii="宋体" w:hAnsi="宋体" w:eastAsia="宋体" w:cs="宋体"/>
          <w:b w:val="0"/>
          <w:bCs/>
          <w:i w:val="0"/>
          <w:iCs w:val="0"/>
          <w:sz w:val="24"/>
          <w:szCs w:val="24"/>
        </w:rPr>
        <w:t>淘汰落后危险化学品安全生产工艺技术设备辨识结果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_Toc21522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_Toc11095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  安全评价单元的划分和评价方法选择</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_Toc11095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_Toc14346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4.1 安全评价单元划分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_Toc14346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_Toc24874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4.1.1 评价单元划分原则</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_Toc24874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_Toc22575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4.1.2 评价单元划分方法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_Toc22575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_Toc9252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4.1.3 评价单元的划分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_Toc9252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_Toc21676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4.2 评价方法的选择</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_Toc21676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_Toc20366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4.3 评价方法简介</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_Toc20366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_Toc7268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  安全条件和安全生产条件分析评价结果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_Toc7268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_Toc5279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5.1 厂址及总平面布置单元评价结果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_Toc5279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_Toc2601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5.2生产工艺及设备设施单元评价结果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_Toc2601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_Toc24455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5.3公用工程及辅助设施单元评价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_Toc24455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_Toc2924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5.4 安全管理及应急救援单元评价结果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_Toc2924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_Toc13634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5.5 重大安全隐患判定符合性分析结果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_Toc13634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_Toc693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5.6危险化学品生产单位申请换证条件单元评价结果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_Toc693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_Toc5079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  可能发生事故后果预测结果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_Toc5079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_Toc3708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6.1 可能发生的重大事故</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_Toc3708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_Toc794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6.2 事故后果预测</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_Toc794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_Toc27532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  存在问题、建议及整改情况、安全对策措施与建议和结论</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_Toc27532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_Toc17283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7.1 主要存在问题及整改情况说明</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_Toc17283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_Toc6948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7.1.1 主要存在问题</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_Toc6948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_Toc31585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7.1.2 整改建议及整改情况说明</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_Toc31585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_Toc4123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7.2 安全对策措施</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_Toc4123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_Toc9406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7.2.1 安全生产条件对策措施及建议</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_Toc9406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_Toc9342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7.2.2 安全管理对策措施及建议</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_Toc9342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_Toc14744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7.2.3 其他方面</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_Toc14744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49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_Toc28935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7.2.4 应急救援对策措施及建议</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_Toc28935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_Toc11733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8  安全现状评价结论</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_Toc11733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_Toc12967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8.1 主要危险和有害因素评价结果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_Toc12967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_Toc23858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8.1.1 单元评价综述</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_Toc23858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_Toc12931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8.1.2 存在的主要危险、有害物质</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_Toc12931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_Toc29673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8.1.3 存在的主要危险和有害因素</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_Toc29673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_Toc27419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8.2 本项目应重点防范的重大事故</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_Toc27419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_Toc5384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8.3 评价结论</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_Toc5384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_Toc25514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9  与</w:t>
      </w:r>
      <w:r>
        <w:rPr>
          <w:rFonts w:hint="eastAsia" w:ascii="宋体" w:hAnsi="宋体" w:eastAsia="宋体" w:cs="宋体"/>
          <w:b w:val="0"/>
          <w:bCs/>
          <w:i w:val="0"/>
          <w:iCs w:val="0"/>
          <w:sz w:val="24"/>
          <w:szCs w:val="24"/>
          <w:lang w:val="en-US" w:eastAsia="zh-CN"/>
        </w:rPr>
        <w:t>被评价</w:t>
      </w:r>
      <w:r>
        <w:rPr>
          <w:rFonts w:hint="eastAsia" w:ascii="宋体" w:hAnsi="宋体" w:eastAsia="宋体" w:cs="宋体"/>
          <w:b w:val="0"/>
          <w:bCs/>
          <w:i w:val="0"/>
          <w:iCs w:val="0"/>
          <w:sz w:val="24"/>
          <w:szCs w:val="24"/>
        </w:rPr>
        <w:t>单位交换意见的情况结果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_Toc25514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_Toc25012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F1  项目图表文件</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_Toc25012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_Toc14234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F1.2 有毒气体报警控制器分布、检查情况汇总表</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_Toc14234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59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_Toc19118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F1.3安全标志牌清单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_Toc19118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_Toc20408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  危险和有害因素辨识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_Toc20408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_Toc6967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F2.1 主要危险和有害因素辨识与分析的目的</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_Toc6967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_Toc10390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F2.2 主要危险和有害因素辨识与分析的方法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_Toc10390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_Toc29143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F2.3 危险和有害因素产生的原因</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_Toc29143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pos="3600"/>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_Toc16170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F2.3.1</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t xml:space="preserve"> 运行失控与设备故障</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_Toc16170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_Toc9306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F2.3.2 人员失误</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_Toc9306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_Toc29694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F2.3.3 管理缺陷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_Toc29694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_Toc4970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F2.3.4 环境的原因</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_Toc4970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_Toc9801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F2.4 主要危险有害物质的理化性质、辨识及其危险性分析</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_Toc9801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_Toc1456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F2.4.1 危险化学品辨识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_Toc1456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_Toc7457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F2.4.2 主要危险、有害物质的理化特性</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_Toc7457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64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_Toc31952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F2.4.3 主要危险、有害物质的存在部位</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_Toc31952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_Toc13158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F2.5 主要危险和有害因素分析</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_Toc13158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_Toc8621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F2.5.1 厂址及总平面布置危险性分析</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_Toc8621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_Toc3511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F2.5.2 生产工艺及设备设施危险性分析</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_Toc3511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74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_Toc9596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F2.5.3 公用工程及辅助设施危险性分析</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_Toc9596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81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_Toc7847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F2.5.4 安全管理及应急救援危险性分析</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_Toc7847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92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_Toc6732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F2.6 事故案例分析</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_Toc6732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93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_Toc3034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F2.7 危险化学品重大危险源辨识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_Toc3034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102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_Toc27462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F2.8 剧毒品、易制毒危险化学品、易制爆危险化学品辨识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_Toc27462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106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_Toc22153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F2.9重点监管的危险化学品辨识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_Toc22153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106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_Toc2841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F2.10重点监管的危险化工工艺辨识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_Toc2841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107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_Toc4497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F2.11高毒物品辨识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_Toc4497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107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_Toc15392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F2.12特别管控危险化学品辨识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_Toc15392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107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_Toc9206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F2.1</w:t>
      </w:r>
      <w:r>
        <w:rPr>
          <w:rFonts w:hint="eastAsia" w:ascii="宋体" w:hAnsi="宋体" w:eastAsia="宋体" w:cs="宋体"/>
          <w:b w:val="0"/>
          <w:bCs/>
          <w:i w:val="0"/>
          <w:iCs w:val="0"/>
          <w:sz w:val="24"/>
          <w:szCs w:val="24"/>
          <w:lang w:val="en-US" w:eastAsia="zh-CN"/>
        </w:rPr>
        <w:t>3</w:t>
      </w:r>
      <w:r>
        <w:rPr>
          <w:rFonts w:hint="eastAsia" w:ascii="宋体" w:hAnsi="宋体" w:eastAsia="宋体" w:cs="宋体"/>
          <w:b w:val="0"/>
          <w:bCs/>
          <w:i w:val="0"/>
          <w:iCs w:val="0"/>
          <w:sz w:val="24"/>
          <w:szCs w:val="24"/>
        </w:rPr>
        <w:t>淘汰落后危险化学品安全生产工艺技术设备辨识</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_Toc9206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107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_Toc20333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F3  安全评价方法简介</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_Toc20333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110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_Toc8019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F3.1 安全检查表法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_Toc8019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110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_Toc31408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F3.2 作业条件危险性评价法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_Toc31408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110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_Toc10208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F3.3评价方法选择汇总</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_Toc10208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112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_Toc14003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  安全条件和安全生产条件分析评价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_Toc14003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113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_Toc26127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F4.1 厂址及总平面布置评价单元分析评价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_Toc26127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113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_Toc5725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F4.1.1 厂址和总平面布置安全检查表</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_Toc5725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113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_Toc17197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F4.1.2 厂内建构筑物与周边建筑物距离检查表</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_Toc17197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117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_Toc8209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F4.1.3 单元小结</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_Toc8209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119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_Toc29207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F4.2 生产工艺及设备设施单元评价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_Toc29207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_Toc999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F4.2.1 生产工艺及设备设施安全检查表评价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_Toc999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pos="3600"/>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_Toc22782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F4.2.2</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t xml:space="preserve"> 作业条件危险性评价法评价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_Toc22782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_Toc5012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F4.2.3 危险化学品安全检查分析</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_Toc5012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_Toc27126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F4.2.4 单元小结</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_Toc27126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_Toc31057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F4.3 公用工程及辅助设施单元评价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_Toc31057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_Toc25834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F4.3.1 供配电安全检查</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_Toc25834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_Toc8596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F4.3.2 给排水检查</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_Toc8596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_Toc18402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F4.3.3 消防设施检查</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_Toc18402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129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_Toc28678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F4.3.4单元小结</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_Toc28678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131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_Toc22174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F4.4 安全管理及应急救援单元评价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_Toc22174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131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_Toc13623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F4.4.1 安全管理安全评价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_Toc13623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131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_Toc13047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F4.4.2 应急救援安全评价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_Toc13047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140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_Toc25439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F4.4.3 单元小结</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_Toc25439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142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_Toc11390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F4.5 重大安全隐患判定符合性分析</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_Toc11390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143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_Toc31438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w:t>
      </w:r>
      <w:r>
        <w:rPr>
          <w:rFonts w:hint="eastAsia" w:ascii="宋体" w:hAnsi="宋体" w:eastAsia="宋体" w:cs="宋体"/>
          <w:b w:val="0"/>
          <w:bCs/>
          <w:i w:val="0"/>
          <w:iCs w:val="0"/>
          <w:sz w:val="24"/>
          <w:szCs w:val="24"/>
          <w:lang w:val="en-US" w:eastAsia="zh-CN"/>
        </w:rPr>
        <w:t>6</w:t>
      </w:r>
      <w:r>
        <w:rPr>
          <w:rFonts w:hint="eastAsia" w:ascii="宋体" w:hAnsi="宋体" w:eastAsia="宋体" w:cs="宋体"/>
          <w:b w:val="0"/>
          <w:bCs/>
          <w:i w:val="0"/>
          <w:iCs w:val="0"/>
          <w:sz w:val="24"/>
          <w:szCs w:val="24"/>
        </w:rPr>
        <w:t xml:space="preserve"> 危险化学品生产单位申请换证条件单元评价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_Toc31438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144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_Toc10438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w:t>
      </w:r>
      <w:r>
        <w:rPr>
          <w:rFonts w:hint="eastAsia" w:ascii="宋体" w:hAnsi="宋体" w:eastAsia="宋体" w:cs="宋体"/>
          <w:b w:val="0"/>
          <w:bCs/>
          <w:i w:val="0"/>
          <w:iCs w:val="0"/>
          <w:sz w:val="24"/>
          <w:szCs w:val="24"/>
          <w:lang w:val="en-US" w:eastAsia="zh-CN"/>
        </w:rPr>
        <w:t>6</w:t>
      </w:r>
      <w:r>
        <w:rPr>
          <w:rFonts w:hint="eastAsia" w:ascii="宋体" w:hAnsi="宋体" w:eastAsia="宋体" w:cs="宋体"/>
          <w:b w:val="0"/>
          <w:bCs/>
          <w:i w:val="0"/>
          <w:iCs w:val="0"/>
          <w:sz w:val="24"/>
          <w:szCs w:val="24"/>
        </w:rPr>
        <w:t>.1 危险化学品生产单位申请换证条件安全评价</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_Toc10438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144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_Toc21074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F4.</w:t>
      </w:r>
      <w:r>
        <w:rPr>
          <w:rFonts w:hint="eastAsia" w:ascii="宋体" w:hAnsi="宋体" w:eastAsia="宋体" w:cs="宋体"/>
          <w:b w:val="0"/>
          <w:bCs/>
          <w:i w:val="0"/>
          <w:iCs w:val="0"/>
          <w:sz w:val="24"/>
          <w:szCs w:val="24"/>
          <w:lang w:val="en-US" w:eastAsia="zh-CN"/>
        </w:rPr>
        <w:t>6</w:t>
      </w:r>
      <w:r>
        <w:rPr>
          <w:rFonts w:hint="eastAsia" w:ascii="宋体" w:hAnsi="宋体" w:eastAsia="宋体" w:cs="宋体"/>
          <w:b w:val="0"/>
          <w:bCs/>
          <w:i w:val="0"/>
          <w:iCs w:val="0"/>
          <w:sz w:val="24"/>
          <w:szCs w:val="24"/>
        </w:rPr>
        <w:t>.2 单元小结</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_Toc21074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148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_Toc199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F5  评价依据</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_Toc199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149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_Toc25551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F5.1 法律、法规</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_Toc25551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149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_Toc24688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F5.2 部门规章及规范性文件</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_Toc24688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150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_Toc26256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F5.3 地方法规及文件</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_Toc26256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153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_Toc22678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F5.4 评价标准及规范</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_Toc22678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154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9"/>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_Toc19460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F5.5 被评价单位提供的相关资料</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_Toc19460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157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23"/>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_Toc20783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  企业提供的原始资料</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_Toc20783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158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_Toc12156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 委托书</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_Toc12156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158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_Toc26260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 材料真实性承诺书</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_Toc26260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159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_Toc14590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 漾濞县跃进化工有限责任公司营业执照</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_Toc14590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_Toc20895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F6.4 安全生产许可证</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_Toc20895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_Toc13141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F6.5 危险化学品登记证</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_Toc13141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_Toc14808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F6.6 非药品类易制毒化学品生产备案证</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_Toc14808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_Toc22541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F6.7 非药品类易制毒化学品经营备案证</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_Toc22541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_Toc2591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F6.8 安全生产标准化证书</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_Toc2591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_Toc10247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F6.9 土地使用证</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_Toc10247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_Toc26234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F6.10 主要负责人安全合格证</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_Toc26234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_Toc11847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F6.11 安全管理人员安全合格证、注册安全工程师资格证</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_Toc11847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_Toc5365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F6.12 特种作业操作证</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_Toc5365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169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_Toc31067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F6.13 应急预案备案登记表</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_Toc31067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191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_Toc17118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F6.14 关于公司安全生产委员会成立的决定</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_Toc17118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192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_Toc7414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F6.15 关于成立安全管理机构及人员任命的通知</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_Toc7414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193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_Toc28996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F6.16  工伤保险缴费凭证</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_Toc28996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195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_Toc3981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F6.17 安全生产责任保险投保单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_Toc3981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196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_Toc23109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F6.18 四区分离整治实施方案</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_Toc23109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201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_Toc25553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F6.19化学品安全技术说明书及标签</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_Toc25553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210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_Toc15040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F6.20 化学品安全技术说明书及安全标签发放记录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_Toc15040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_Toc2347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F6.21 雷电防护装置检测报告</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_Toc2347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_Toc23155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F6.22 主要负责人及安全管理人员毕业证书</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_Toc23155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_Toc20082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F6.23 心肺复苏培训证书</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_Toc20082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_Toc8867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F6.24职业安全健康培训证</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_Toc8867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_Toc7799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F6.25 安全生产管理制度目录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_Toc7799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239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_Toc26355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F6.26 安全生产责任制目录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_Toc26355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242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_Toc10756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F6.27 岗位操作规程目录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_Toc10756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243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_Toc23029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F6.28 安全阀校验报告</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_Toc23029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244</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_Toc12966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F6.29 压力表检定证书</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_Toc12966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247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_Toc13113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F6.30 叉车定期检验报告</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_Toc13113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256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_Toc1276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F6.31 二线锅炉内部、外部检验报告</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_Toc1276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259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_Toc31466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F6.32 一线锅炉内部、外部检验报告</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_Toc31466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263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_Toc26220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F6.33 桥式起重机定期检验报告</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_Toc26220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269</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_Toc20278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F6.34 有毒气体浓度检测报警仪校验报告</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_Toc20278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272</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_Toc6490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F6.35 关于成立应急救援指挥部的通知</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_Toc6490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283</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_Toc23060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F6.36 安全费用投入台帐</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_Toc23060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285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_Toc8746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F6.37 安全设计诊断报告</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_Toc8746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290</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_Toc11307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F6.38 安全培训会议记录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_Toc11307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296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_Toc30680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F6.39演练方案及记录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_Toc30680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306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_Toc11441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F6.40 工作场所职业病危害因素检测与评价报告</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_Toc11441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318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_Toc1978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F6.41 劳保用品发放规定及发放记录</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_Toc1978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321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_Toc1619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F6.42 双重预防机制</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_Toc1619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325</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_Toc9759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F6.43 道路运输协议</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_Toc9759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328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_Toc21478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F6.44 硫酸储罐壁厚检测资料</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_Toc21478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337</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_Toc17218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F6.45 关于上次评价至今企业变化的说明</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_Toc17218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338</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rPr>
          <w:rFonts w:hint="eastAsia" w:ascii="宋体" w:hAnsi="宋体" w:eastAsia="宋体" w:cs="宋体"/>
          <w:b w:val="0"/>
          <w:bCs/>
          <w:i w:val="0"/>
          <w:iCs w:val="0"/>
          <w:sz w:val="24"/>
          <w:szCs w:val="24"/>
        </w:rPr>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_Toc27273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F6.46 整改回复</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_Toc27273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341</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pStyle w:val="15"/>
        <w:tabs>
          <w:tab w:val="right" w:leader="dot" w:pos="9072"/>
        </w:tabs>
      </w:pP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HYPERLINK \l _Toc26915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F6.4</w:t>
      </w:r>
      <w:r>
        <w:rPr>
          <w:rFonts w:hint="eastAsia" w:ascii="宋体" w:hAnsi="宋体" w:eastAsia="宋体" w:cs="宋体"/>
          <w:b w:val="0"/>
          <w:bCs/>
          <w:i w:val="0"/>
          <w:iCs w:val="0"/>
          <w:sz w:val="24"/>
          <w:szCs w:val="24"/>
          <w:lang w:val="en-US" w:eastAsia="zh-CN"/>
        </w:rPr>
        <w:t>7</w:t>
      </w:r>
      <w:r>
        <w:rPr>
          <w:rFonts w:hint="eastAsia" w:ascii="宋体" w:hAnsi="宋体" w:eastAsia="宋体" w:cs="宋体"/>
          <w:b w:val="0"/>
          <w:bCs/>
          <w:i w:val="0"/>
          <w:iCs w:val="0"/>
          <w:sz w:val="24"/>
          <w:szCs w:val="24"/>
        </w:rPr>
        <w:t xml:space="preserve"> 总平面布置图</w:t>
      </w:r>
      <w:r>
        <w:rPr>
          <w:rFonts w:hint="eastAsia" w:ascii="宋体" w:hAnsi="宋体" w:eastAsia="宋体" w:cs="宋体"/>
          <w:b w:val="0"/>
          <w:bCs/>
          <w:i w:val="0"/>
          <w:iCs w:val="0"/>
          <w:sz w:val="24"/>
          <w:szCs w:val="24"/>
        </w:rPr>
        <w:tab/>
      </w:r>
      <w:r>
        <w:rPr>
          <w:rFonts w:hint="eastAsia" w:ascii="宋体" w:hAnsi="宋体" w:eastAsia="宋体" w:cs="宋体"/>
          <w:b w:val="0"/>
          <w:bCs/>
          <w:i w:val="0"/>
          <w:iCs w:val="0"/>
          <w:sz w:val="24"/>
          <w:szCs w:val="24"/>
        </w:rPr>
        <w:fldChar w:fldCharType="begin"/>
      </w:r>
      <w:r>
        <w:rPr>
          <w:rFonts w:hint="eastAsia" w:ascii="宋体" w:hAnsi="宋体" w:eastAsia="宋体" w:cs="宋体"/>
          <w:b w:val="0"/>
          <w:bCs/>
          <w:i w:val="0"/>
          <w:iCs w:val="0"/>
          <w:sz w:val="24"/>
          <w:szCs w:val="24"/>
        </w:rPr>
        <w:instrText xml:space="preserve"> PAGEREF _Toc26915 \h </w:instrText>
      </w:r>
      <w:r>
        <w:rPr>
          <w:rFonts w:hint="eastAsia" w:ascii="宋体" w:hAnsi="宋体" w:eastAsia="宋体" w:cs="宋体"/>
          <w:b w:val="0"/>
          <w:bCs/>
          <w:i w:val="0"/>
          <w:iCs w:val="0"/>
          <w:sz w:val="24"/>
          <w:szCs w:val="24"/>
        </w:rPr>
        <w:fldChar w:fldCharType="separate"/>
      </w:r>
      <w:r>
        <w:rPr>
          <w:rFonts w:hint="eastAsia" w:ascii="宋体" w:hAnsi="宋体" w:eastAsia="宋体" w:cs="宋体"/>
          <w:b w:val="0"/>
          <w:bCs/>
          <w:i w:val="0"/>
          <w:iCs w:val="0"/>
          <w:sz w:val="24"/>
          <w:szCs w:val="24"/>
        </w:rPr>
        <w:t>346</w:t>
      </w:r>
      <w:r>
        <w:rPr>
          <w:rFonts w:hint="eastAsia" w:ascii="宋体" w:hAnsi="宋体" w:eastAsia="宋体" w:cs="宋体"/>
          <w:b w:val="0"/>
          <w:bCs/>
          <w:i w:val="0"/>
          <w:iCs w:val="0"/>
          <w:sz w:val="24"/>
          <w:szCs w:val="24"/>
        </w:rPr>
        <w:fldChar w:fldCharType="end"/>
      </w:r>
      <w:r>
        <w:rPr>
          <w:rFonts w:hint="eastAsia" w:ascii="宋体" w:hAnsi="宋体" w:eastAsia="宋体" w:cs="宋体"/>
          <w:b w:val="0"/>
          <w:bCs/>
          <w:i w:val="0"/>
          <w:iCs w:val="0"/>
          <w:sz w:val="24"/>
          <w:szCs w:val="24"/>
        </w:rPr>
        <w:fldChar w:fldCharType="end"/>
      </w:r>
    </w:p>
    <w:p>
      <w:pPr>
        <w:ind w:firstLine="560"/>
        <w:rPr>
          <w:rFonts w:hint="eastAsia" w:ascii="宋体" w:hAnsi="宋体" w:eastAsia="宋体" w:cs="宋体"/>
          <w:b w:val="0"/>
          <w:bCs w:val="0"/>
        </w:rPr>
      </w:pPr>
      <w:r>
        <w:rPr>
          <w:rFonts w:hint="eastAsia" w:ascii="宋体" w:hAnsi="宋体" w:eastAsia="宋体" w:cs="宋体"/>
          <w:bCs w:val="0"/>
        </w:rPr>
        <w:fldChar w:fldCharType="end"/>
      </w:r>
    </w:p>
    <w:p>
      <w:pPr>
        <w:ind w:firstLine="0" w:firstLineChars="0"/>
        <w:rPr>
          <w:rFonts w:hint="eastAsia" w:ascii="宋体" w:hAnsi="宋体" w:eastAsia="宋体" w:cs="宋体"/>
          <w:b w:val="0"/>
          <w:bCs w:val="0"/>
          <w:color w:val="000000" w:themeColor="text1"/>
          <w:sz w:val="44"/>
          <w:szCs w:val="44"/>
          <w:lang w:val="zh-CN"/>
        </w:rPr>
      </w:pPr>
      <w:r>
        <w:rPr>
          <w:rFonts w:hint="eastAsia" w:ascii="宋体" w:hAnsi="宋体" w:eastAsia="宋体" w:cs="宋体"/>
          <w:b w:val="0"/>
          <w:bCs w:val="0"/>
          <w:color w:val="000000" w:themeColor="text1"/>
          <w:szCs w:val="28"/>
        </w:rPr>
        <w:br w:type="page"/>
      </w:r>
    </w:p>
    <w:p>
      <w:pPr>
        <w:pStyle w:val="60"/>
        <w:widowControl w:val="0"/>
        <w:tabs>
          <w:tab w:val="right" w:leader="dot" w:pos="9070"/>
        </w:tabs>
        <w:adjustRightInd w:val="0"/>
        <w:snapToGrid w:val="0"/>
        <w:spacing w:line="360" w:lineRule="auto"/>
        <w:jc w:val="both"/>
        <w:rPr>
          <w:rFonts w:hint="eastAsia" w:ascii="宋体" w:hAnsi="宋体" w:eastAsia="宋体" w:cs="宋体"/>
          <w:b w:val="0"/>
          <w:bCs w:val="0"/>
          <w:color w:val="000000" w:themeColor="text1"/>
          <w:sz w:val="28"/>
          <w:szCs w:val="28"/>
        </w:rPr>
        <w:sectPr>
          <w:pgSz w:w="11906" w:h="16838"/>
          <w:pgMar w:top="1417" w:right="1417" w:bottom="1587" w:left="1417" w:header="851" w:footer="1020" w:gutter="0"/>
          <w:pgNumType w:fmt="upperRoman"/>
          <w:cols w:space="0" w:num="1"/>
          <w:docGrid w:linePitch="381" w:charSpace="0"/>
        </w:sectPr>
      </w:pPr>
    </w:p>
    <w:bookmarkEnd w:id="11"/>
    <w:p>
      <w:pPr>
        <w:ind w:firstLine="0" w:firstLineChars="0"/>
        <w:jc w:val="center"/>
        <w:outlineLvl w:val="0"/>
        <w:rPr>
          <w:rFonts w:ascii="宋体" w:hAnsi="宋体" w:cs="宋体"/>
          <w:b/>
          <w:bCs/>
          <w:color w:val="000000" w:themeColor="text1"/>
          <w:sz w:val="32"/>
          <w:szCs w:val="32"/>
        </w:rPr>
      </w:pPr>
      <w:bookmarkStart w:id="12" w:name="_Toc25862"/>
      <w:bookmarkStart w:id="13" w:name="_Toc16645"/>
      <w:bookmarkStart w:id="14" w:name="_Toc24926"/>
      <w:bookmarkStart w:id="15" w:name="_Toc32053"/>
      <w:bookmarkStart w:id="16" w:name="_Toc24817"/>
      <w:bookmarkStart w:id="17" w:name="_Toc5697"/>
      <w:bookmarkStart w:id="18" w:name="_Toc17583"/>
      <w:bookmarkStart w:id="19" w:name="_Toc27272"/>
      <w:bookmarkStart w:id="20" w:name="_Toc7350"/>
      <w:bookmarkStart w:id="21" w:name="_Toc7879"/>
      <w:bookmarkStart w:id="22" w:name="_Toc15028"/>
      <w:bookmarkStart w:id="23" w:name="_Toc24819"/>
      <w:bookmarkStart w:id="24" w:name="_Toc19907"/>
      <w:bookmarkStart w:id="25" w:name="_Toc9091"/>
      <w:bookmarkStart w:id="26" w:name="_Toc111"/>
      <w:bookmarkStart w:id="27" w:name="_Toc17707"/>
      <w:bookmarkStart w:id="28" w:name="_Toc17570"/>
      <w:bookmarkStart w:id="29" w:name="_Toc5023"/>
      <w:bookmarkStart w:id="30" w:name="_Toc8078"/>
      <w:bookmarkStart w:id="31" w:name="_Toc19856"/>
      <w:bookmarkStart w:id="32" w:name="_Toc27779"/>
      <w:bookmarkStart w:id="33" w:name="_Toc17424"/>
      <w:bookmarkStart w:id="34" w:name="_Toc23679"/>
      <w:bookmarkStart w:id="35" w:name="_Toc23136"/>
      <w:bookmarkStart w:id="36" w:name="_Toc30012"/>
      <w:bookmarkStart w:id="37" w:name="_Toc15282"/>
      <w:bookmarkStart w:id="38" w:name="_Toc15336"/>
      <w:bookmarkStart w:id="39" w:name="_Toc1826"/>
      <w:bookmarkStart w:id="40" w:name="_Toc29243"/>
      <w:bookmarkStart w:id="41" w:name="_Toc30852"/>
      <w:bookmarkStart w:id="42" w:name="_Toc17419"/>
      <w:bookmarkStart w:id="43" w:name="_Toc26908"/>
      <w:bookmarkStart w:id="44" w:name="_Toc23535"/>
      <w:bookmarkStart w:id="45" w:name="_Toc27075"/>
      <w:bookmarkStart w:id="46" w:name="_Toc23156"/>
      <w:bookmarkStart w:id="47" w:name="_Toc23151"/>
      <w:bookmarkStart w:id="48" w:name="_Toc128056366"/>
      <w:bookmarkStart w:id="49" w:name="_Toc317766302"/>
      <w:bookmarkStart w:id="50" w:name="_Toc3942_WPSOffice_Level2"/>
      <w:bookmarkStart w:id="51" w:name="_Toc21993"/>
      <w:bookmarkStart w:id="52" w:name="_Toc12328_WPSOffice_Level2"/>
      <w:r>
        <w:rPr>
          <w:rFonts w:hint="eastAsia" w:ascii="宋体" w:hAnsi="宋体" w:cs="宋体"/>
          <w:b/>
          <w:bCs/>
          <w:color w:val="000000" w:themeColor="text1"/>
          <w:sz w:val="32"/>
          <w:szCs w:val="32"/>
        </w:rPr>
        <w:t>非常用的术语</w:t>
      </w:r>
      <w:bookmarkEnd w:id="12"/>
      <w:r>
        <w:rPr>
          <w:rFonts w:hint="eastAsia" w:ascii="宋体" w:hAnsi="宋体" w:cs="宋体"/>
          <w:b/>
          <w:bCs/>
          <w:color w:val="000000" w:themeColor="text1"/>
          <w:sz w:val="32"/>
          <w:szCs w:val="32"/>
        </w:rPr>
        <w:t>说明</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pPr>
        <w:ind w:firstLine="562"/>
        <w:rPr>
          <w:b/>
          <w:bCs/>
          <w:color w:val="000000" w:themeColor="text1"/>
        </w:rPr>
      </w:pPr>
    </w:p>
    <w:p>
      <w:pPr>
        <w:ind w:firstLine="562"/>
        <w:rPr>
          <w:rFonts w:ascii="宋体" w:hAnsi="宋体" w:cs="宋体"/>
          <w:b/>
          <w:bCs/>
          <w:color w:val="000000" w:themeColor="text1"/>
        </w:rPr>
      </w:pPr>
      <w:r>
        <w:rPr>
          <w:rFonts w:hint="eastAsia" w:ascii="宋体" w:hAnsi="宋体" w:cs="宋体"/>
          <w:b/>
          <w:bCs/>
          <w:color w:val="000000" w:themeColor="text1"/>
        </w:rPr>
        <w:t>（1）安全评价</w:t>
      </w:r>
    </w:p>
    <w:p>
      <w:pPr>
        <w:ind w:firstLine="560"/>
        <w:rPr>
          <w:rFonts w:ascii="宋体" w:hAnsi="宋体" w:cs="宋体"/>
          <w:color w:val="000000" w:themeColor="text1"/>
        </w:rPr>
      </w:pPr>
      <w:r>
        <w:rPr>
          <w:rFonts w:hint="eastAsia" w:ascii="宋体" w:hAnsi="宋体" w:cs="宋体"/>
          <w:color w:val="000000" w:themeColor="text1"/>
        </w:rPr>
        <w:t>安全评价是以实现安全为目的，应用安全系统工程原理和方法，辨识与分析工程、系统、生产经营活动中的危险有害因素，预测发生事故或造成职业危害的可能性及其严重程度，提出科学、合理、可行的安全对策措施建议，做出评价结论的活动。安全评价可针对一个特定的对象，也可针对一定区域范围。</w:t>
      </w:r>
    </w:p>
    <w:p>
      <w:pPr>
        <w:ind w:firstLine="560"/>
        <w:rPr>
          <w:rFonts w:ascii="宋体" w:hAnsi="宋体" w:cs="宋体"/>
          <w:color w:val="000000" w:themeColor="text1"/>
        </w:rPr>
      </w:pPr>
      <w:r>
        <w:rPr>
          <w:rFonts w:hint="eastAsia" w:ascii="宋体" w:hAnsi="宋体" w:cs="宋体"/>
          <w:color w:val="000000" w:themeColor="text1"/>
        </w:rPr>
        <w:t>安全评价按照实施阶段的不同分为三类：安全预评价、安全验收评价、安全现状评价。</w:t>
      </w:r>
    </w:p>
    <w:p>
      <w:pPr>
        <w:ind w:firstLine="562"/>
        <w:rPr>
          <w:rFonts w:ascii="宋体" w:hAnsi="宋体" w:cs="宋体"/>
          <w:b/>
          <w:bCs/>
          <w:color w:val="000000" w:themeColor="text1"/>
        </w:rPr>
      </w:pPr>
      <w:r>
        <w:rPr>
          <w:rFonts w:hint="eastAsia" w:ascii="宋体" w:hAnsi="宋体" w:cs="宋体"/>
          <w:b/>
          <w:bCs/>
          <w:color w:val="000000" w:themeColor="text1"/>
        </w:rPr>
        <w:t>（2）安全现状评价</w:t>
      </w:r>
    </w:p>
    <w:p>
      <w:pPr>
        <w:ind w:firstLine="560"/>
        <w:rPr>
          <w:rFonts w:ascii="宋体" w:hAnsi="宋体" w:cs="宋体"/>
          <w:color w:val="000000" w:themeColor="text1"/>
        </w:rPr>
      </w:pPr>
      <w:r>
        <w:rPr>
          <w:rFonts w:hint="eastAsia" w:ascii="宋体" w:hAnsi="宋体" w:cs="宋体"/>
          <w:color w:val="000000" w:themeColor="text1"/>
        </w:rPr>
        <w:t>安全现状评价是针对生产经营活动中和工业园区内的事故风险、安全管理等情况，辨识和分析其存在的危险有害因素，审查确定其与安全生产法律、法规、规章、标准、规范要求的符合性，预测发生事故或造成职业危害的可能性及其严重程度，提出科学、合理、可行的安全对策措施建议，做出安全现状评价结论的活动。</w:t>
      </w:r>
    </w:p>
    <w:p>
      <w:pPr>
        <w:ind w:firstLine="562"/>
        <w:rPr>
          <w:rFonts w:ascii="宋体" w:hAnsi="宋体" w:cs="宋体"/>
          <w:b/>
          <w:bCs/>
          <w:color w:val="000000" w:themeColor="text1"/>
        </w:rPr>
      </w:pPr>
      <w:r>
        <w:rPr>
          <w:rFonts w:hint="eastAsia" w:ascii="宋体" w:hAnsi="宋体" w:cs="宋体"/>
          <w:b/>
          <w:bCs/>
          <w:color w:val="000000" w:themeColor="text1"/>
        </w:rPr>
        <w:t>（3）化学品</w:t>
      </w:r>
    </w:p>
    <w:p>
      <w:pPr>
        <w:ind w:firstLine="560"/>
        <w:rPr>
          <w:rFonts w:ascii="宋体" w:hAnsi="宋体" w:cs="宋体"/>
          <w:color w:val="000000" w:themeColor="text1"/>
        </w:rPr>
      </w:pPr>
      <w:r>
        <w:rPr>
          <w:rFonts w:hint="eastAsia" w:ascii="宋体" w:hAnsi="宋体" w:cs="宋体"/>
          <w:color w:val="000000" w:themeColor="text1"/>
        </w:rPr>
        <w:t>指各种化学元素、由元素组成的化合物及其混合物，包括天然的或者人造的。</w:t>
      </w:r>
    </w:p>
    <w:p>
      <w:pPr>
        <w:ind w:firstLine="562"/>
        <w:rPr>
          <w:rFonts w:ascii="宋体" w:hAnsi="宋体" w:cs="宋体"/>
          <w:b/>
          <w:bCs/>
          <w:color w:val="000000" w:themeColor="text1"/>
        </w:rPr>
      </w:pPr>
      <w:r>
        <w:rPr>
          <w:rFonts w:hint="eastAsia" w:ascii="宋体" w:hAnsi="宋体" w:cs="宋体"/>
          <w:b/>
          <w:bCs/>
          <w:color w:val="000000" w:themeColor="text1"/>
        </w:rPr>
        <w:t>（4）危险化学品</w:t>
      </w:r>
    </w:p>
    <w:p>
      <w:pPr>
        <w:ind w:firstLine="560"/>
        <w:rPr>
          <w:rFonts w:ascii="宋体" w:hAnsi="宋体" w:cs="宋体"/>
          <w:color w:val="000000" w:themeColor="text1"/>
        </w:rPr>
      </w:pPr>
      <w:r>
        <w:rPr>
          <w:rFonts w:hint="eastAsia" w:ascii="宋体" w:hAnsi="宋体" w:cs="宋体"/>
          <w:color w:val="000000" w:themeColor="text1"/>
        </w:rPr>
        <w:t>具有毒害、腐蚀、爆炸、燃烧、助燃等性质，对人体、设施、环境具有危害的剧毒化学品和其他化学品，包括爆炸品，压缩气体和液化气体，易燃液体，易燃固体、自燃物品和遇湿易燃物品，氧化剂和有机过氧化物，有毒品，腐蚀品等。</w:t>
      </w:r>
    </w:p>
    <w:p>
      <w:pPr>
        <w:ind w:firstLine="562"/>
        <w:rPr>
          <w:rFonts w:ascii="宋体" w:hAnsi="宋体" w:cs="宋体"/>
          <w:b/>
          <w:bCs/>
          <w:color w:val="000000" w:themeColor="text1"/>
        </w:rPr>
      </w:pPr>
      <w:r>
        <w:rPr>
          <w:rFonts w:hint="eastAsia" w:ascii="宋体" w:hAnsi="宋体" w:cs="宋体"/>
          <w:b/>
          <w:bCs/>
          <w:color w:val="000000" w:themeColor="text1"/>
        </w:rPr>
        <w:t>（5）安全设施</w:t>
      </w:r>
    </w:p>
    <w:p>
      <w:pPr>
        <w:ind w:firstLine="560"/>
        <w:rPr>
          <w:rFonts w:ascii="宋体" w:hAnsi="宋体" w:cs="宋体"/>
          <w:color w:val="000000" w:themeColor="text1"/>
        </w:rPr>
      </w:pPr>
      <w:r>
        <w:rPr>
          <w:rFonts w:hint="eastAsia" w:ascii="宋体" w:hAnsi="宋体" w:cs="宋体"/>
          <w:color w:val="000000" w:themeColor="text1"/>
        </w:rPr>
        <w:t>指企业（单位）在生产经营活动中将危险因素、有害因素控制在安全范围内以及预防、减少、消除危害所配备的装置（设备）和采取的措施。</w:t>
      </w:r>
    </w:p>
    <w:p>
      <w:pPr>
        <w:ind w:firstLine="562"/>
        <w:rPr>
          <w:rFonts w:ascii="宋体" w:hAnsi="宋体" w:cs="宋体"/>
          <w:b/>
          <w:bCs/>
          <w:color w:val="000000" w:themeColor="text1"/>
        </w:rPr>
      </w:pPr>
      <w:r>
        <w:rPr>
          <w:rFonts w:hint="eastAsia" w:ascii="宋体" w:hAnsi="宋体" w:cs="宋体"/>
          <w:b/>
          <w:bCs/>
          <w:color w:val="000000" w:themeColor="text1"/>
        </w:rPr>
        <w:t>（6）危化品作业场所</w:t>
      </w:r>
    </w:p>
    <w:p>
      <w:pPr>
        <w:ind w:firstLine="560"/>
        <w:rPr>
          <w:rFonts w:ascii="宋体" w:hAnsi="宋体" w:cs="宋体"/>
          <w:color w:val="000000" w:themeColor="text1"/>
        </w:rPr>
      </w:pPr>
      <w:r>
        <w:rPr>
          <w:rFonts w:hint="eastAsia" w:ascii="宋体" w:hAnsi="宋体" w:cs="宋体"/>
          <w:color w:val="000000" w:themeColor="text1"/>
        </w:rPr>
        <w:t>指可能使从业人员接触危险化学品的任何作业活动场所，包括从事危险化学品的生产、操作、处置、储存、搬运、运输、废弃危险化学品的处置或者处理等场所。</w:t>
      </w:r>
    </w:p>
    <w:p>
      <w:pPr>
        <w:ind w:firstLine="562"/>
        <w:rPr>
          <w:rFonts w:ascii="宋体" w:hAnsi="宋体" w:cs="宋体"/>
          <w:b/>
          <w:bCs/>
          <w:color w:val="000000" w:themeColor="text1"/>
        </w:rPr>
      </w:pPr>
      <w:r>
        <w:rPr>
          <w:rFonts w:hint="eastAsia" w:ascii="宋体" w:hAnsi="宋体" w:cs="宋体"/>
          <w:b/>
          <w:bCs/>
          <w:color w:val="000000" w:themeColor="text1"/>
        </w:rPr>
        <w:t>（7）危险因素</w:t>
      </w:r>
    </w:p>
    <w:p>
      <w:pPr>
        <w:ind w:firstLine="560"/>
        <w:rPr>
          <w:rFonts w:ascii="宋体" w:hAnsi="宋体" w:cs="宋体"/>
          <w:color w:val="000000" w:themeColor="text1"/>
        </w:rPr>
      </w:pPr>
      <w:r>
        <w:rPr>
          <w:rFonts w:hint="eastAsia" w:ascii="宋体" w:hAnsi="宋体" w:cs="宋体"/>
          <w:color w:val="000000" w:themeColor="text1"/>
        </w:rPr>
        <w:t>对人造成伤亡或者对物造成突发性损坏的因素。</w:t>
      </w:r>
    </w:p>
    <w:p>
      <w:pPr>
        <w:ind w:firstLine="562"/>
        <w:rPr>
          <w:rFonts w:ascii="宋体" w:hAnsi="宋体" w:cs="宋体"/>
          <w:b/>
          <w:bCs/>
          <w:color w:val="000000" w:themeColor="text1"/>
        </w:rPr>
      </w:pPr>
      <w:r>
        <w:rPr>
          <w:rFonts w:hint="eastAsia" w:ascii="宋体" w:hAnsi="宋体" w:cs="宋体"/>
          <w:b/>
          <w:bCs/>
          <w:color w:val="000000" w:themeColor="text1"/>
        </w:rPr>
        <w:t>（8）有害因素</w:t>
      </w:r>
    </w:p>
    <w:p>
      <w:pPr>
        <w:ind w:firstLine="560"/>
        <w:rPr>
          <w:rFonts w:ascii="宋体" w:hAnsi="宋体" w:cs="宋体"/>
          <w:color w:val="000000" w:themeColor="text1"/>
        </w:rPr>
      </w:pPr>
      <w:r>
        <w:rPr>
          <w:rFonts w:hint="eastAsia" w:ascii="宋体" w:hAnsi="宋体" w:cs="宋体"/>
          <w:color w:val="000000" w:themeColor="text1"/>
        </w:rPr>
        <w:t>影响人的身体健康，导致疾病或者对物造成慢性损坏的因素。。</w:t>
      </w:r>
    </w:p>
    <w:p>
      <w:pPr>
        <w:ind w:firstLine="562"/>
        <w:rPr>
          <w:rFonts w:ascii="宋体" w:hAnsi="宋体" w:cs="宋体"/>
          <w:b/>
          <w:bCs/>
          <w:color w:val="000000" w:themeColor="text1"/>
        </w:rPr>
      </w:pPr>
      <w:r>
        <w:rPr>
          <w:rFonts w:hint="eastAsia" w:ascii="宋体" w:hAnsi="宋体" w:cs="宋体"/>
          <w:b/>
          <w:bCs/>
          <w:color w:val="000000" w:themeColor="text1"/>
        </w:rPr>
        <w:t>（9）危险程度</w:t>
      </w:r>
    </w:p>
    <w:p>
      <w:pPr>
        <w:ind w:firstLine="560"/>
        <w:rPr>
          <w:rFonts w:ascii="宋体" w:hAnsi="宋体" w:cs="宋体"/>
          <w:color w:val="000000" w:themeColor="text1"/>
        </w:rPr>
      </w:pPr>
      <w:r>
        <w:rPr>
          <w:rFonts w:hint="eastAsia" w:ascii="宋体" w:hAnsi="宋体" w:cs="宋体"/>
          <w:color w:val="000000" w:themeColor="text1"/>
        </w:rPr>
        <w:t>对人造成伤亡和对物造成突发性损坏的尺度。</w:t>
      </w:r>
    </w:p>
    <w:p>
      <w:pPr>
        <w:ind w:firstLine="562"/>
        <w:rPr>
          <w:rFonts w:ascii="宋体" w:hAnsi="宋体" w:cs="宋体"/>
          <w:b/>
          <w:bCs/>
          <w:color w:val="000000" w:themeColor="text1"/>
        </w:rPr>
      </w:pPr>
      <w:r>
        <w:rPr>
          <w:rFonts w:hint="eastAsia" w:ascii="宋体" w:hAnsi="宋体" w:cs="宋体"/>
          <w:b/>
          <w:bCs/>
          <w:color w:val="000000" w:themeColor="text1"/>
        </w:rPr>
        <w:t>（10）有害程度</w:t>
      </w:r>
    </w:p>
    <w:p>
      <w:pPr>
        <w:ind w:firstLine="560"/>
        <w:rPr>
          <w:rFonts w:ascii="宋体" w:hAnsi="宋体" w:cs="宋体"/>
          <w:color w:val="000000" w:themeColor="text1"/>
        </w:rPr>
      </w:pPr>
      <w:r>
        <w:rPr>
          <w:rFonts w:hint="eastAsia" w:ascii="宋体" w:hAnsi="宋体" w:cs="宋体"/>
          <w:color w:val="000000" w:themeColor="text1"/>
        </w:rPr>
        <w:t>影响人的身体健康，导致中毒、疾病或者对物造成慢性损坏的尺度。</w:t>
      </w:r>
    </w:p>
    <w:p>
      <w:pPr>
        <w:ind w:firstLine="562"/>
        <w:rPr>
          <w:rFonts w:ascii="宋体" w:hAnsi="宋体" w:cs="宋体"/>
          <w:b/>
          <w:bCs/>
          <w:color w:val="000000" w:themeColor="text1"/>
        </w:rPr>
      </w:pPr>
      <w:r>
        <w:rPr>
          <w:rFonts w:hint="eastAsia" w:ascii="宋体" w:hAnsi="宋体" w:cs="宋体"/>
          <w:b/>
          <w:bCs/>
          <w:color w:val="000000" w:themeColor="text1"/>
        </w:rPr>
        <w:t>（11）CAS号</w:t>
      </w:r>
    </w:p>
    <w:p>
      <w:pPr>
        <w:wordWrap w:val="0"/>
        <w:ind w:firstLine="560"/>
        <w:rPr>
          <w:rFonts w:ascii="宋体" w:hAnsi="宋体" w:cs="宋体"/>
          <w:color w:val="000000" w:themeColor="text1"/>
        </w:rPr>
      </w:pPr>
      <w:r>
        <w:rPr>
          <w:rFonts w:hint="eastAsia" w:ascii="宋体" w:hAnsi="宋体" w:cs="宋体"/>
          <w:color w:val="000000" w:themeColor="text1"/>
        </w:rPr>
        <w:t>CAS号是美国化学文摘社登记号。CAS是美国化学文摘社（ChemicalAbstractService）的英文缩写。记号由三部分数字组成，各部分之间用短线联结。该号是用来判定检索有多个名称的化学物质信息的重要工具。</w:t>
      </w:r>
    </w:p>
    <w:p>
      <w:pPr>
        <w:ind w:firstLine="562"/>
        <w:rPr>
          <w:rFonts w:ascii="宋体" w:hAnsi="宋体" w:cs="宋体"/>
          <w:b/>
          <w:bCs/>
          <w:color w:val="000000" w:themeColor="text1"/>
        </w:rPr>
      </w:pPr>
      <w:r>
        <w:rPr>
          <w:rFonts w:hint="eastAsia" w:ascii="宋体" w:hAnsi="宋体" w:cs="宋体"/>
          <w:b/>
          <w:bCs/>
          <w:color w:val="000000" w:themeColor="text1"/>
        </w:rPr>
        <w:t>（12）UN编号</w:t>
      </w:r>
    </w:p>
    <w:p>
      <w:pPr>
        <w:ind w:firstLine="560"/>
        <w:rPr>
          <w:rFonts w:ascii="宋体" w:hAnsi="宋体" w:cs="宋体"/>
          <w:color w:val="000000" w:themeColor="text1"/>
        </w:rPr>
      </w:pPr>
      <w:r>
        <w:rPr>
          <w:rFonts w:hint="eastAsia" w:ascii="宋体" w:hAnsi="宋体" w:cs="宋体"/>
          <w:color w:val="000000" w:themeColor="text1"/>
        </w:rPr>
        <w:t>UN编号是联合国危险货物运输专家委员会对危险物质制定的编号。该编号登录在联合国《关于危险货物运输的建议书》（RecommendationsontheTransportofDangerousGoods）中。UN是联合国（UnitedNations）的英文缩写。</w:t>
      </w:r>
    </w:p>
    <w:p>
      <w:pPr>
        <w:ind w:firstLine="562"/>
        <w:rPr>
          <w:rFonts w:ascii="宋体" w:hAnsi="宋体" w:cs="宋体"/>
          <w:b/>
          <w:bCs/>
          <w:color w:val="000000" w:themeColor="text1"/>
        </w:rPr>
      </w:pPr>
      <w:r>
        <w:rPr>
          <w:rFonts w:hint="eastAsia" w:ascii="宋体" w:hAnsi="宋体" w:cs="宋体"/>
          <w:b/>
          <w:bCs/>
          <w:color w:val="000000" w:themeColor="text1"/>
        </w:rPr>
        <w:t>（13）IMDG规则页码</w:t>
      </w:r>
    </w:p>
    <w:p>
      <w:pPr>
        <w:ind w:firstLine="560"/>
        <w:rPr>
          <w:rFonts w:ascii="宋体" w:hAnsi="宋体" w:cs="宋体"/>
          <w:color w:val="000000" w:themeColor="text1"/>
        </w:rPr>
      </w:pPr>
      <w:r>
        <w:rPr>
          <w:rFonts w:hint="eastAsia" w:ascii="宋体" w:hAnsi="宋体" w:cs="宋体"/>
          <w:color w:val="000000" w:themeColor="text1"/>
        </w:rPr>
        <w:t>MDG是InternationalMaritimeDangerousGoods的缩写。IMDG规则页码是国际海事组织编制的《国际海上危险物品运输规则》的危险货物信息页码。</w:t>
      </w:r>
    </w:p>
    <w:p>
      <w:pPr>
        <w:ind w:firstLine="562"/>
        <w:rPr>
          <w:rFonts w:ascii="宋体" w:hAnsi="宋体" w:cs="宋体"/>
          <w:b/>
          <w:bCs/>
          <w:color w:val="000000" w:themeColor="text1"/>
        </w:rPr>
      </w:pPr>
      <w:r>
        <w:rPr>
          <w:rFonts w:hint="eastAsia" w:ascii="宋体" w:hAnsi="宋体" w:cs="宋体"/>
          <w:b/>
          <w:bCs/>
          <w:color w:val="000000" w:themeColor="text1"/>
        </w:rPr>
        <w:t>（14）危险货物编号</w:t>
      </w:r>
    </w:p>
    <w:p>
      <w:pPr>
        <w:ind w:firstLine="560"/>
        <w:rPr>
          <w:rFonts w:ascii="宋体" w:hAnsi="宋体" w:cs="宋体"/>
          <w:color w:val="000000" w:themeColor="text1"/>
        </w:rPr>
      </w:pPr>
      <w:r>
        <w:rPr>
          <w:rFonts w:hint="eastAsia" w:ascii="宋体" w:hAnsi="宋体" w:cs="宋体"/>
          <w:color w:val="000000" w:themeColor="text1"/>
        </w:rPr>
        <w:t>由五位阿拉伯数字组成，是根据国标GB12268-2012制订的危险货物编号（简称危规号）。第一位数表示该危险货物按此国标分类（共九类）所属类别；第二位数表示按此国际分项项别；第3～5位三位数表示该危险货物品名的顺序号。按此国标，将危险货物共分为九类23项。</w:t>
      </w:r>
    </w:p>
    <w:p>
      <w:pPr>
        <w:ind w:firstLine="562"/>
        <w:rPr>
          <w:rFonts w:ascii="宋体" w:hAnsi="宋体" w:cs="宋体"/>
          <w:b/>
          <w:bCs/>
          <w:color w:val="000000" w:themeColor="text1"/>
        </w:rPr>
      </w:pPr>
      <w:r>
        <w:rPr>
          <w:rFonts w:hint="eastAsia" w:ascii="宋体" w:hAnsi="宋体" w:cs="宋体"/>
          <w:b/>
          <w:bCs/>
          <w:color w:val="000000" w:themeColor="text1"/>
        </w:rPr>
        <w:t>（15）危险化学品重大危险源</w:t>
      </w:r>
    </w:p>
    <w:p>
      <w:pPr>
        <w:ind w:firstLine="560"/>
        <w:rPr>
          <w:rFonts w:ascii="宋体" w:hAnsi="宋体" w:cs="宋体"/>
          <w:color w:val="000000" w:themeColor="text1"/>
        </w:rPr>
      </w:pPr>
      <w:r>
        <w:rPr>
          <w:rFonts w:hint="eastAsia" w:ascii="宋体" w:hAnsi="宋体" w:cs="宋体"/>
          <w:color w:val="000000" w:themeColor="text1"/>
        </w:rPr>
        <w:t>长期或临时地生产、储存、使用和经营危险化学品，且危险化学品的数量等于或超过临界量的单元。</w:t>
      </w:r>
    </w:p>
    <w:p>
      <w:pPr>
        <w:topLinePunct/>
        <w:ind w:firstLine="562"/>
        <w:rPr>
          <w:rFonts w:ascii="宋体" w:hAnsi="宋体" w:cs="宋体"/>
          <w:b/>
          <w:color w:val="000000" w:themeColor="text1"/>
        </w:rPr>
      </w:pPr>
      <w:r>
        <w:rPr>
          <w:rFonts w:hint="eastAsia" w:ascii="宋体" w:hAnsi="宋体" w:cs="宋体"/>
          <w:b/>
          <w:bCs/>
          <w:color w:val="000000" w:themeColor="text1"/>
        </w:rPr>
        <w:t>（16）</w:t>
      </w:r>
      <w:r>
        <w:rPr>
          <w:rFonts w:hint="eastAsia" w:ascii="宋体" w:hAnsi="宋体" w:cs="宋体"/>
          <w:b/>
          <w:color w:val="000000" w:themeColor="text1"/>
        </w:rPr>
        <w:t>评价单元</w:t>
      </w:r>
    </w:p>
    <w:p>
      <w:pPr>
        <w:topLinePunct/>
        <w:ind w:firstLine="560"/>
        <w:rPr>
          <w:rFonts w:ascii="宋体" w:hAnsi="宋体" w:cs="宋体"/>
          <w:color w:val="000000" w:themeColor="text1"/>
        </w:rPr>
      </w:pPr>
      <w:r>
        <w:rPr>
          <w:rFonts w:hint="eastAsia" w:ascii="宋体" w:hAnsi="宋体" w:cs="宋体"/>
          <w:color w:val="000000" w:themeColor="text1"/>
        </w:rPr>
        <w:t>根据被评价单位的实际情况和安全评价的需要而将被评价对象划分为一些相对独立部分进行安全评价，其中每个相对独立部分称为评价单元。</w:t>
      </w:r>
    </w:p>
    <w:p>
      <w:pPr>
        <w:topLinePunct/>
        <w:ind w:firstLine="562"/>
        <w:rPr>
          <w:rFonts w:ascii="宋体" w:hAnsi="宋体" w:cs="宋体"/>
          <w:b/>
          <w:color w:val="000000" w:themeColor="text1"/>
        </w:rPr>
      </w:pPr>
      <w:r>
        <w:rPr>
          <w:rFonts w:hint="eastAsia" w:ascii="宋体" w:hAnsi="宋体" w:cs="宋体"/>
          <w:b/>
          <w:bCs/>
          <w:color w:val="000000" w:themeColor="text1"/>
        </w:rPr>
        <w:t>（17）</w:t>
      </w:r>
      <w:r>
        <w:rPr>
          <w:rFonts w:hint="eastAsia" w:ascii="宋体" w:hAnsi="宋体" w:cs="宋体"/>
          <w:b/>
          <w:color w:val="000000" w:themeColor="text1"/>
        </w:rPr>
        <w:t>危害辨识</w:t>
      </w:r>
    </w:p>
    <w:p>
      <w:pPr>
        <w:topLinePunct/>
        <w:ind w:firstLine="560"/>
        <w:rPr>
          <w:rFonts w:ascii="宋体" w:hAnsi="宋体" w:cs="宋体"/>
          <w:color w:val="000000" w:themeColor="text1"/>
        </w:rPr>
      </w:pPr>
      <w:r>
        <w:rPr>
          <w:rFonts w:hint="eastAsia" w:ascii="宋体" w:hAnsi="宋体" w:cs="宋体"/>
          <w:color w:val="000000" w:themeColor="text1"/>
        </w:rPr>
        <w:t>危害辨识是通过系统的分析和科学的检测等手段，在系统开始运作前找出存在其中的危险点，以便能采取针对性的措施控制危险发生。</w:t>
      </w:r>
    </w:p>
    <w:p>
      <w:pPr>
        <w:pStyle w:val="2"/>
        <w:rPr>
          <w:rFonts w:ascii="楷体" w:hAnsi="楷体" w:eastAsia="楷体" w:cs="楷体"/>
          <w:b/>
          <w:bCs w:val="0"/>
          <w:color w:val="000000" w:themeColor="text1"/>
        </w:rPr>
      </w:pPr>
      <w:bookmarkStart w:id="53" w:name="_Toc24385"/>
      <w:bookmarkStart w:id="54" w:name="_Toc839"/>
      <w:bookmarkStart w:id="55" w:name="_Toc27453"/>
      <w:bookmarkStart w:id="56" w:name="_Toc3445"/>
      <w:bookmarkStart w:id="57" w:name="_Toc7502"/>
      <w:bookmarkStart w:id="58" w:name="_Toc8946"/>
      <w:bookmarkStart w:id="59" w:name="_Toc20999"/>
      <w:bookmarkStart w:id="60" w:name="_Toc2186"/>
      <w:bookmarkStart w:id="61" w:name="_Toc12813"/>
      <w:bookmarkStart w:id="62" w:name="_Toc32762"/>
      <w:bookmarkStart w:id="63" w:name="_Toc26875"/>
      <w:bookmarkStart w:id="64" w:name="_Toc20609"/>
      <w:bookmarkStart w:id="65" w:name="_Toc24265"/>
      <w:bookmarkStart w:id="66" w:name="_Toc9017"/>
      <w:bookmarkStart w:id="67" w:name="_Toc1587"/>
      <w:bookmarkStart w:id="68" w:name="_Toc15644"/>
      <w:bookmarkStart w:id="69" w:name="_Toc4462"/>
      <w:bookmarkStart w:id="70" w:name="_Toc25198"/>
      <w:bookmarkStart w:id="71" w:name="_Toc21130"/>
      <w:bookmarkStart w:id="72" w:name="_Toc8402"/>
      <w:bookmarkStart w:id="73" w:name="_Toc12642"/>
      <w:bookmarkStart w:id="74" w:name="_Toc216"/>
      <w:bookmarkStart w:id="75" w:name="_Toc17334"/>
      <w:bookmarkStart w:id="76" w:name="_Toc18821"/>
      <w:bookmarkStart w:id="77" w:name="_Toc1255"/>
      <w:bookmarkStart w:id="78" w:name="_Toc29566"/>
      <w:bookmarkStart w:id="79" w:name="_Toc26090"/>
      <w:bookmarkStart w:id="80" w:name="_Toc27249"/>
      <w:bookmarkStart w:id="81" w:name="_Toc20154"/>
      <w:bookmarkStart w:id="82" w:name="_Toc4996"/>
      <w:bookmarkStart w:id="83" w:name="_Toc21508"/>
      <w:bookmarkStart w:id="84" w:name="_Toc17080"/>
      <w:bookmarkStart w:id="85" w:name="_Toc5870"/>
      <w:bookmarkStart w:id="86" w:name="_Toc21487"/>
      <w:bookmarkStart w:id="87" w:name="_Toc19188"/>
      <w:r>
        <w:rPr>
          <w:rFonts w:hint="eastAsia" w:ascii="楷体" w:hAnsi="楷体" w:eastAsia="楷体" w:cs="楷体"/>
          <w:b/>
          <w:bCs w:val="0"/>
          <w:color w:val="000000" w:themeColor="text1"/>
        </w:rPr>
        <w:t>1  编制说明</w:t>
      </w:r>
      <w:bookmarkEnd w:id="48"/>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p>
    <w:p>
      <w:pPr>
        <w:pStyle w:val="16"/>
        <w:ind w:firstLine="640"/>
        <w:rPr>
          <w:sz w:val="32"/>
          <w:szCs w:val="32"/>
        </w:rPr>
      </w:pPr>
      <w:bookmarkStart w:id="88" w:name="_Toc2083"/>
      <w:bookmarkStart w:id="89" w:name="_Toc4067"/>
      <w:bookmarkStart w:id="90" w:name="_Toc16072"/>
      <w:bookmarkStart w:id="91" w:name="_Toc28611"/>
      <w:bookmarkStart w:id="92" w:name="_Toc3869"/>
      <w:bookmarkStart w:id="93" w:name="_Toc4191"/>
      <w:bookmarkStart w:id="94" w:name="_Toc25146"/>
      <w:bookmarkStart w:id="95" w:name="_Toc15958"/>
      <w:bookmarkStart w:id="96" w:name="_Toc20873"/>
      <w:bookmarkStart w:id="97" w:name="_Toc8044"/>
      <w:bookmarkStart w:id="98" w:name="_Toc62740922"/>
      <w:bookmarkStart w:id="99" w:name="_Toc128056367"/>
    </w:p>
    <w:p>
      <w:pPr>
        <w:pStyle w:val="3"/>
        <w:keepNext w:val="0"/>
        <w:keepLines w:val="0"/>
        <w:ind w:firstLine="562"/>
        <w:rPr>
          <w:rFonts w:ascii="黑体" w:hAnsi="黑体" w:eastAsia="黑体" w:cs="黑体"/>
          <w:color w:val="000000" w:themeColor="text1"/>
        </w:rPr>
      </w:pPr>
      <w:bookmarkStart w:id="100" w:name="_Toc29118"/>
      <w:bookmarkStart w:id="101" w:name="_Toc30787"/>
      <w:bookmarkStart w:id="102" w:name="_Toc9746"/>
      <w:bookmarkStart w:id="103" w:name="_Toc22738"/>
      <w:bookmarkStart w:id="104" w:name="_Toc25829"/>
      <w:bookmarkStart w:id="105" w:name="_Toc4906"/>
      <w:bookmarkStart w:id="106" w:name="_Toc22183"/>
      <w:bookmarkStart w:id="107" w:name="_Toc19716"/>
      <w:bookmarkStart w:id="108" w:name="_Toc15607"/>
      <w:bookmarkStart w:id="109" w:name="_Toc18553"/>
      <w:bookmarkStart w:id="110" w:name="_Toc7610"/>
      <w:bookmarkStart w:id="111" w:name="_Toc26787"/>
      <w:bookmarkStart w:id="112" w:name="_Toc3355"/>
      <w:bookmarkStart w:id="113" w:name="_Toc28612"/>
      <w:bookmarkStart w:id="114" w:name="_Toc23420"/>
      <w:bookmarkStart w:id="115" w:name="_Toc32122"/>
      <w:bookmarkStart w:id="116" w:name="_Toc23538"/>
      <w:bookmarkStart w:id="117" w:name="_Toc16346"/>
      <w:bookmarkStart w:id="118" w:name="_Toc18698"/>
      <w:bookmarkStart w:id="119" w:name="_Toc2797"/>
      <w:bookmarkStart w:id="120" w:name="_Toc28865"/>
      <w:bookmarkStart w:id="121" w:name="_Toc9509"/>
      <w:bookmarkStart w:id="122" w:name="_Toc31544"/>
      <w:bookmarkStart w:id="123" w:name="_Toc19472"/>
      <w:bookmarkStart w:id="124" w:name="_Toc1231"/>
      <w:r>
        <w:rPr>
          <w:rFonts w:hint="eastAsia" w:ascii="黑体" w:hAnsi="黑体" w:eastAsia="黑体" w:cs="黑体"/>
          <w:color w:val="000000" w:themeColor="text1"/>
        </w:rPr>
        <w:t>1.1 评价目的</w:t>
      </w:r>
      <w:bookmarkEnd w:id="49"/>
      <w:bookmarkEnd w:id="50"/>
      <w:bookmarkEnd w:id="51"/>
      <w:bookmarkEnd w:id="52"/>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pPr>
        <w:ind w:firstLine="560"/>
        <w:rPr>
          <w:color w:val="000000" w:themeColor="text1"/>
        </w:rPr>
      </w:pPr>
      <w:r>
        <w:rPr>
          <w:rFonts w:hint="eastAsia"/>
          <w:color w:val="000000" w:themeColor="text1"/>
        </w:rPr>
        <w:t>安全评价是以实现系统安全为目的，采用系统安全工程的原理与方法，对系统中存在的危险和有害因素进行辨识和分析，判断系统发生事故和职业病的可能性及其严重程度，从而提出合理可行的安全对策措施，指导危险源监控和事故预防，达到最低事故率、最少损失和最优的安全投资效益的目的。</w:t>
      </w:r>
    </w:p>
    <w:p>
      <w:pPr>
        <w:ind w:firstLine="560"/>
        <w:rPr>
          <w:color w:val="000000" w:themeColor="text1"/>
        </w:rPr>
      </w:pPr>
      <w:r>
        <w:rPr>
          <w:rFonts w:hint="eastAsia"/>
          <w:color w:val="000000" w:themeColor="text1"/>
        </w:rPr>
        <w:t>评价的目的是：</w:t>
      </w:r>
    </w:p>
    <w:p>
      <w:pPr>
        <w:ind w:firstLine="560"/>
        <w:rPr>
          <w:color w:val="000000" w:themeColor="text1"/>
        </w:rPr>
      </w:pPr>
      <w:r>
        <w:rPr>
          <w:rFonts w:hint="eastAsia"/>
          <w:color w:val="000000" w:themeColor="text1"/>
        </w:rPr>
        <w:t>（1）为贯彻“安全第一，预防为主，综合治理”的方针，保障企业生产顺利进行，杜绝事故的发生，进行本次安全评价。</w:t>
      </w:r>
    </w:p>
    <w:p>
      <w:pPr>
        <w:ind w:firstLine="560"/>
        <w:rPr>
          <w:color w:val="000000" w:themeColor="text1"/>
        </w:rPr>
      </w:pPr>
      <w:r>
        <w:rPr>
          <w:rFonts w:hint="eastAsia"/>
          <w:color w:val="000000" w:themeColor="text1"/>
        </w:rPr>
        <w:t>（2）通过查找、分析和预测企业生产过程存在的危险和有害因素及危险、危害程度，提出合理可行的安全对策措施，指导危险源监控和事故预防。</w:t>
      </w:r>
    </w:p>
    <w:p>
      <w:pPr>
        <w:ind w:firstLine="560"/>
        <w:rPr>
          <w:color w:val="000000" w:themeColor="text1"/>
        </w:rPr>
      </w:pPr>
      <w:r>
        <w:rPr>
          <w:rFonts w:hint="eastAsia"/>
          <w:color w:val="000000" w:themeColor="text1"/>
        </w:rPr>
        <w:t>（3）对企业生产用设备、设施、仓储、管理机构和管理制度等进行安全评价，为企业持续改进、提高服务质量、确保生产安全提供依据。</w:t>
      </w:r>
    </w:p>
    <w:p>
      <w:pPr>
        <w:ind w:firstLine="560"/>
        <w:rPr>
          <w:color w:val="000000" w:themeColor="text1"/>
        </w:rPr>
      </w:pPr>
      <w:r>
        <w:rPr>
          <w:rFonts w:hint="eastAsia"/>
          <w:color w:val="000000" w:themeColor="text1"/>
        </w:rPr>
        <w:t>（4）为企业整改、生产运行、日常管理提供依据，为各级应急管理部门实行安全监察提供依据。</w:t>
      </w:r>
    </w:p>
    <w:p>
      <w:pPr>
        <w:ind w:firstLine="560"/>
        <w:rPr>
          <w:color w:val="000000" w:themeColor="text1"/>
        </w:rPr>
      </w:pPr>
      <w:r>
        <w:rPr>
          <w:rFonts w:hint="eastAsia"/>
          <w:color w:val="000000" w:themeColor="text1"/>
        </w:rPr>
        <w:t>（5）通过安全评价，促进生产单位的安全管理，发现和整改事故隐患，提高企业生产的本质安全度。</w:t>
      </w:r>
    </w:p>
    <w:p>
      <w:pPr>
        <w:ind w:firstLine="560"/>
        <w:rPr>
          <w:color w:val="000000" w:themeColor="text1"/>
        </w:rPr>
      </w:pPr>
      <w:r>
        <w:rPr>
          <w:rFonts w:hint="eastAsia"/>
          <w:color w:val="000000" w:themeColor="text1"/>
        </w:rPr>
        <w:t>（6）本报告可作为漾濞县跃进化工有限责任公司进行安全管理的依据，也可作为漾濞县跃进化工有限责任公司换取危险化学品安全生产许可证的申报材料。</w:t>
      </w:r>
    </w:p>
    <w:p>
      <w:pPr>
        <w:pStyle w:val="3"/>
        <w:keepNext w:val="0"/>
        <w:keepLines w:val="0"/>
        <w:ind w:firstLine="562"/>
        <w:rPr>
          <w:rFonts w:ascii="黑体" w:hAnsi="黑体" w:eastAsia="黑体" w:cs="黑体"/>
          <w:color w:val="000000" w:themeColor="text1"/>
        </w:rPr>
      </w:pPr>
      <w:bookmarkStart w:id="125" w:name="_Toc14317"/>
      <w:bookmarkStart w:id="126" w:name="_Toc24656"/>
      <w:bookmarkStart w:id="127" w:name="_Toc12442"/>
      <w:bookmarkStart w:id="128" w:name="_Toc19985"/>
      <w:bookmarkStart w:id="129" w:name="_Toc27746"/>
      <w:bookmarkStart w:id="130" w:name="_Toc6006"/>
      <w:bookmarkStart w:id="131" w:name="_Toc31824"/>
      <w:bookmarkStart w:id="132" w:name="_Toc9614"/>
      <w:bookmarkStart w:id="133" w:name="_Toc18969"/>
      <w:bookmarkStart w:id="134" w:name="_Toc18454"/>
      <w:bookmarkStart w:id="135" w:name="_Toc15720"/>
      <w:bookmarkStart w:id="136" w:name="_Toc9556"/>
      <w:bookmarkStart w:id="137" w:name="_Toc22546"/>
      <w:bookmarkStart w:id="138" w:name="_Toc9673"/>
      <w:bookmarkStart w:id="139" w:name="_Toc4923"/>
      <w:bookmarkStart w:id="140" w:name="_Toc31804"/>
      <w:bookmarkStart w:id="141" w:name="_Toc29957"/>
      <w:bookmarkStart w:id="142" w:name="_Toc3800"/>
      <w:bookmarkStart w:id="143" w:name="_Toc6821"/>
      <w:bookmarkStart w:id="144" w:name="_Toc16339"/>
      <w:bookmarkStart w:id="145" w:name="_Toc13484"/>
      <w:bookmarkStart w:id="146" w:name="_Toc14957"/>
      <w:bookmarkStart w:id="147" w:name="_Toc31382"/>
      <w:bookmarkStart w:id="148" w:name="_Toc21089"/>
      <w:bookmarkStart w:id="149" w:name="_Toc23543"/>
      <w:bookmarkStart w:id="150" w:name="_Toc26976"/>
      <w:bookmarkStart w:id="151" w:name="_Toc23557"/>
      <w:bookmarkStart w:id="152" w:name="_Toc31945"/>
      <w:bookmarkStart w:id="153" w:name="_Toc2750"/>
      <w:bookmarkStart w:id="154" w:name="_Toc9552"/>
      <w:bookmarkStart w:id="155" w:name="_Toc32261"/>
      <w:bookmarkStart w:id="156" w:name="_Toc11455"/>
      <w:r>
        <w:rPr>
          <w:rFonts w:hint="eastAsia" w:ascii="黑体" w:hAnsi="黑体" w:eastAsia="黑体" w:cs="黑体"/>
          <w:color w:val="000000" w:themeColor="text1"/>
        </w:rPr>
        <w:t>1.2 评价依据</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ind w:firstLine="560"/>
      </w:pPr>
      <w:r>
        <w:rPr>
          <w:rFonts w:hint="eastAsia"/>
        </w:rPr>
        <w:t>安全现状评价依据详见本报告F5“评价依据”。</w:t>
      </w:r>
    </w:p>
    <w:p>
      <w:pPr>
        <w:pStyle w:val="3"/>
        <w:keepNext w:val="0"/>
        <w:keepLines w:val="0"/>
        <w:ind w:firstLine="562"/>
        <w:rPr>
          <w:rFonts w:ascii="黑体" w:hAnsi="黑体" w:eastAsia="黑体" w:cs="黑体"/>
          <w:color w:val="000000" w:themeColor="text1"/>
        </w:rPr>
      </w:pPr>
      <w:bookmarkStart w:id="157" w:name="_Toc32058"/>
      <w:bookmarkStart w:id="158" w:name="_Toc2142"/>
      <w:bookmarkStart w:id="159" w:name="_Toc24480_WPSOffice_Level2"/>
      <w:bookmarkStart w:id="160" w:name="_Toc11967"/>
      <w:bookmarkStart w:id="161" w:name="_Toc31853"/>
      <w:bookmarkStart w:id="162" w:name="_Toc128056369"/>
      <w:bookmarkStart w:id="163" w:name="_Toc2844"/>
      <w:bookmarkStart w:id="164" w:name="_Toc1235"/>
      <w:bookmarkStart w:id="165" w:name="_Toc21459"/>
      <w:bookmarkStart w:id="166" w:name="_Toc24507"/>
      <w:bookmarkStart w:id="167" w:name="_Toc30588"/>
      <w:bookmarkStart w:id="168" w:name="_Toc15182"/>
      <w:bookmarkStart w:id="169" w:name="_Toc30818"/>
      <w:bookmarkStart w:id="170" w:name="_Toc5894"/>
      <w:bookmarkStart w:id="171" w:name="_Toc317766307"/>
      <w:bookmarkStart w:id="172" w:name="_Toc25175"/>
      <w:bookmarkStart w:id="173" w:name="_Toc27753"/>
      <w:bookmarkStart w:id="174" w:name="_Toc13493"/>
      <w:bookmarkStart w:id="175" w:name="_Toc23798"/>
      <w:bookmarkStart w:id="176" w:name="_Toc22951"/>
      <w:bookmarkStart w:id="177" w:name="_Toc22526"/>
      <w:bookmarkStart w:id="178" w:name="_Toc20778"/>
      <w:bookmarkStart w:id="179" w:name="_Toc24172"/>
      <w:bookmarkStart w:id="180" w:name="_Toc18051"/>
      <w:bookmarkStart w:id="181" w:name="_Toc16616"/>
      <w:bookmarkStart w:id="182" w:name="_Toc9987"/>
      <w:bookmarkStart w:id="183" w:name="_Toc22078_WPSOffice_Level2"/>
      <w:bookmarkStart w:id="184" w:name="_Toc3776"/>
      <w:bookmarkStart w:id="185" w:name="_Toc5928"/>
      <w:bookmarkStart w:id="186" w:name="_Toc2812"/>
      <w:bookmarkStart w:id="187" w:name="_Toc24848"/>
      <w:bookmarkStart w:id="188" w:name="_Toc32074"/>
      <w:bookmarkStart w:id="189" w:name="_Toc21615"/>
      <w:bookmarkStart w:id="190" w:name="_Toc28218"/>
      <w:bookmarkStart w:id="191" w:name="_Toc4542"/>
      <w:bookmarkStart w:id="192" w:name="_Toc26998"/>
      <w:bookmarkStart w:id="193" w:name="_Toc16724"/>
      <w:bookmarkStart w:id="194" w:name="_Toc62740923"/>
      <w:bookmarkStart w:id="195" w:name="_Toc244"/>
      <w:bookmarkStart w:id="196" w:name="_Toc6912"/>
      <w:bookmarkStart w:id="197" w:name="_Toc19062"/>
      <w:r>
        <w:rPr>
          <w:rFonts w:hint="eastAsia" w:ascii="黑体" w:hAnsi="黑体" w:eastAsia="黑体" w:cs="黑体"/>
          <w:color w:val="000000" w:themeColor="text1"/>
        </w:rPr>
        <w:t>1.3 评价范围</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p>
    <w:p>
      <w:pPr>
        <w:topLinePunct/>
        <w:ind w:firstLine="560"/>
        <w:rPr>
          <w:rFonts w:ascii="宋体" w:hAnsi="宋体" w:cs="宋体"/>
          <w:color w:val="000000" w:themeColor="text1"/>
          <w:szCs w:val="28"/>
        </w:rPr>
      </w:pPr>
      <w:r>
        <w:rPr>
          <w:rFonts w:hint="eastAsia" w:ascii="宋体" w:hAnsi="宋体" w:cs="宋体"/>
          <w:color w:val="000000" w:themeColor="text1"/>
          <w:szCs w:val="28"/>
        </w:rPr>
        <w:t>本次安全评价范围：漾濞县跃进化工有限责任公司12万t/a硫酸生产装置</w:t>
      </w:r>
      <w:r>
        <w:rPr>
          <w:rFonts w:hint="eastAsia"/>
          <w:color w:val="000000" w:themeColor="text1"/>
        </w:rPr>
        <w:t>涉及到的厂址、总图布置、周边环境、生产工艺装置、公用工程、安全设施及安全管理</w:t>
      </w:r>
      <w:r>
        <w:rPr>
          <w:rFonts w:hint="eastAsia" w:ascii="宋体" w:hAnsi="宋体" w:cs="宋体"/>
          <w:color w:val="000000" w:themeColor="text1"/>
          <w:szCs w:val="28"/>
        </w:rPr>
        <w:t>。</w:t>
      </w:r>
    </w:p>
    <w:p>
      <w:pPr>
        <w:topLinePunct/>
        <w:ind w:firstLine="560"/>
        <w:rPr>
          <w:rFonts w:ascii="宋体" w:hAnsi="宋体" w:cs="宋体"/>
          <w:color w:val="000000" w:themeColor="text1"/>
          <w:szCs w:val="28"/>
        </w:rPr>
      </w:pPr>
      <w:r>
        <w:rPr>
          <w:rFonts w:hint="eastAsia" w:ascii="宋体" w:hAnsi="宋体" w:cs="宋体"/>
          <w:color w:val="000000" w:themeColor="text1"/>
          <w:szCs w:val="28"/>
        </w:rPr>
        <w:t>凡涉及职业卫生、环境保护和外部运输等方面的问题不在本次安全评价范围内，但在评价过程中会有所提及。</w:t>
      </w:r>
    </w:p>
    <w:p>
      <w:pPr>
        <w:pStyle w:val="3"/>
        <w:keepNext w:val="0"/>
        <w:keepLines w:val="0"/>
        <w:ind w:firstLine="562"/>
        <w:rPr>
          <w:rFonts w:ascii="黑体" w:hAnsi="黑体" w:eastAsia="黑体" w:cs="黑体"/>
          <w:color w:val="000000" w:themeColor="text1"/>
        </w:rPr>
      </w:pPr>
      <w:bookmarkStart w:id="198" w:name="_Toc744"/>
      <w:bookmarkStart w:id="199" w:name="_Toc11777"/>
      <w:bookmarkStart w:id="200" w:name="_Toc10021"/>
      <w:bookmarkStart w:id="201" w:name="_Toc29248"/>
      <w:bookmarkStart w:id="202" w:name="_Toc3515"/>
      <w:bookmarkStart w:id="203" w:name="_Toc9226"/>
      <w:bookmarkStart w:id="204" w:name="_Toc24081"/>
      <w:bookmarkStart w:id="205" w:name="_Toc317766308"/>
      <w:bookmarkStart w:id="206" w:name="_Toc21477"/>
      <w:bookmarkStart w:id="207" w:name="_Toc31033"/>
      <w:bookmarkStart w:id="208" w:name="_Toc20202"/>
      <w:bookmarkStart w:id="209" w:name="_Toc13897"/>
      <w:bookmarkStart w:id="210" w:name="_Toc23128"/>
      <w:bookmarkStart w:id="211" w:name="_Toc27454"/>
      <w:bookmarkStart w:id="212" w:name="_Toc21885"/>
      <w:bookmarkStart w:id="213" w:name="_Toc14866"/>
      <w:bookmarkStart w:id="214" w:name="_Toc3532"/>
      <w:bookmarkStart w:id="215" w:name="_Toc31520"/>
      <w:bookmarkStart w:id="216" w:name="_Toc24576"/>
      <w:bookmarkStart w:id="217" w:name="_Toc20693_WPSOffice_Level2"/>
      <w:bookmarkStart w:id="218" w:name="_Toc19484"/>
      <w:bookmarkStart w:id="219" w:name="_Toc30958"/>
      <w:bookmarkStart w:id="220" w:name="_Toc22727"/>
      <w:bookmarkStart w:id="221" w:name="_Toc20688"/>
      <w:bookmarkStart w:id="222" w:name="_Toc14689"/>
      <w:bookmarkStart w:id="223" w:name="_Toc31704"/>
      <w:bookmarkStart w:id="224" w:name="_Toc1271"/>
      <w:bookmarkStart w:id="225" w:name="_Toc21827"/>
      <w:bookmarkStart w:id="226" w:name="_Toc16688"/>
      <w:bookmarkStart w:id="227" w:name="_Toc6789_WPSOffice_Level2"/>
      <w:bookmarkStart w:id="228" w:name="_Toc4746"/>
      <w:bookmarkStart w:id="229" w:name="_Toc29848"/>
      <w:bookmarkStart w:id="230" w:name="_Toc62740924"/>
      <w:bookmarkStart w:id="231" w:name="_Toc23529"/>
      <w:bookmarkStart w:id="232" w:name="_Toc238"/>
      <w:bookmarkStart w:id="233" w:name="_Toc12257"/>
      <w:bookmarkStart w:id="234" w:name="_Toc18044"/>
      <w:bookmarkStart w:id="235" w:name="_Toc29059"/>
      <w:bookmarkStart w:id="236" w:name="_Toc128056370"/>
      <w:bookmarkStart w:id="237" w:name="_Toc12700"/>
      <w:bookmarkStart w:id="238" w:name="_Toc8811"/>
      <w:r>
        <w:rPr>
          <w:rFonts w:hint="eastAsia" w:ascii="黑体" w:hAnsi="黑体" w:eastAsia="黑体" w:cs="黑体"/>
          <w:color w:val="000000" w:themeColor="text1"/>
        </w:rPr>
        <w:t>1.4 评价程序</w:t>
      </w:r>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p>
    <w:p>
      <w:pPr>
        <w:topLinePunct/>
        <w:ind w:firstLine="560"/>
        <w:rPr>
          <w:rFonts w:ascii="宋体" w:hAnsi="宋体" w:cs="宋体"/>
          <w:color w:val="000000" w:themeColor="text1"/>
          <w:szCs w:val="28"/>
        </w:rPr>
      </w:pPr>
      <w:r>
        <w:rPr>
          <w:rFonts w:hint="eastAsia" w:ascii="宋体" w:hAnsi="宋体" w:cs="宋体"/>
          <w:color w:val="000000" w:themeColor="text1"/>
          <w:szCs w:val="28"/>
        </w:rPr>
        <w:t>本次安全现状评价程序为：前期准备；辨识与分析危险和有害因素；划分评价单元；选择评价方法；定性、定量评价；提出安全对策措施建议；做出评价结论；编制安全现状评价报告等；安全现状评价流程见图1.4-1：</w:t>
      </w:r>
    </w:p>
    <w:p>
      <w:pPr>
        <w:ind w:firstLine="198" w:firstLineChars="71"/>
        <w:jc w:val="center"/>
        <w:rPr>
          <w:rFonts w:ascii="宋体" w:hAnsi="宋体"/>
          <w:color w:val="000000" w:themeColor="text1"/>
        </w:rPr>
      </w:pPr>
      <w:r>
        <w:rPr>
          <w:color w:val="000000" w:themeColor="text1"/>
        </w:rPr>
        <w:object>
          <v:shape id="_x0000_i1025" o:spt="75" type="#_x0000_t75" style="height:244.5pt;width:147pt;" o:ole="t" filled="f" o:preferrelative="t" stroked="f" coordsize="21600,21600">
            <v:path/>
            <v:fill on="f" focussize="0,0"/>
            <v:stroke on="f" joinstyle="miter"/>
            <v:imagedata r:id="rId28" o:title=""/>
            <o:lock v:ext="edit" aspectratio="t"/>
            <w10:wrap type="none"/>
            <w10:anchorlock/>
          </v:shape>
          <o:OLEObject Type="Embed" ProgID="AutoCAD.Drawing.16" ShapeID="_x0000_i1025" DrawAspect="Content" ObjectID="_1468075725" r:id="rId27">
            <o:LockedField>false</o:LockedField>
          </o:OLEObject>
        </w:object>
      </w:r>
    </w:p>
    <w:p>
      <w:pPr>
        <w:ind w:firstLine="0" w:firstLineChars="0"/>
        <w:jc w:val="center"/>
        <w:rPr>
          <w:rFonts w:ascii="宋体" w:hAnsi="宋体"/>
          <w:b/>
          <w:bCs/>
          <w:color w:val="000000" w:themeColor="text1"/>
          <w:sz w:val="24"/>
        </w:rPr>
      </w:pPr>
      <w:r>
        <w:rPr>
          <w:rFonts w:hint="eastAsia" w:ascii="宋体" w:hAnsi="宋体"/>
          <w:b/>
          <w:bCs/>
          <w:color w:val="000000" w:themeColor="text1"/>
          <w:sz w:val="24"/>
        </w:rPr>
        <w:t xml:space="preserve">图1.4-1 </w:t>
      </w:r>
      <w:r>
        <w:rPr>
          <w:rFonts w:ascii="宋体" w:hAnsi="宋体"/>
          <w:b/>
          <w:bCs/>
          <w:color w:val="000000" w:themeColor="text1"/>
          <w:sz w:val="24"/>
        </w:rPr>
        <w:t>安全</w:t>
      </w:r>
      <w:r>
        <w:rPr>
          <w:rFonts w:hint="eastAsia" w:ascii="宋体" w:hAnsi="宋体"/>
          <w:b/>
          <w:bCs/>
          <w:color w:val="000000" w:themeColor="text1"/>
          <w:sz w:val="24"/>
        </w:rPr>
        <w:t>现状</w:t>
      </w:r>
      <w:r>
        <w:rPr>
          <w:rFonts w:ascii="宋体" w:hAnsi="宋体"/>
          <w:b/>
          <w:bCs/>
          <w:color w:val="000000" w:themeColor="text1"/>
          <w:sz w:val="24"/>
        </w:rPr>
        <w:t>评价</w:t>
      </w:r>
      <w:r>
        <w:rPr>
          <w:rFonts w:hint="eastAsia" w:ascii="宋体" w:hAnsi="宋体"/>
          <w:b/>
          <w:bCs/>
          <w:color w:val="000000" w:themeColor="text1"/>
          <w:sz w:val="24"/>
        </w:rPr>
        <w:t>流程图</w:t>
      </w:r>
    </w:p>
    <w:p>
      <w:pPr>
        <w:pStyle w:val="3"/>
        <w:keepNext w:val="0"/>
        <w:keepLines w:val="0"/>
        <w:ind w:firstLine="562"/>
        <w:rPr>
          <w:rFonts w:ascii="黑体" w:hAnsi="黑体" w:eastAsia="黑体" w:cs="黑体"/>
          <w:color w:val="000000" w:themeColor="text1"/>
        </w:rPr>
      </w:pPr>
      <w:bookmarkStart w:id="239" w:name="_Toc8121"/>
      <w:bookmarkStart w:id="240" w:name="_Toc7817"/>
      <w:bookmarkStart w:id="241" w:name="_Toc16399"/>
      <w:bookmarkStart w:id="242" w:name="_Toc10471"/>
      <w:bookmarkStart w:id="243" w:name="_Toc510448383"/>
      <w:bookmarkStart w:id="244" w:name="_Toc20704"/>
      <w:bookmarkStart w:id="245" w:name="_Toc9109"/>
      <w:bookmarkStart w:id="246" w:name="_Toc4100"/>
      <w:bookmarkStart w:id="247" w:name="_Toc32192"/>
      <w:bookmarkStart w:id="248" w:name="_Toc11290"/>
      <w:bookmarkStart w:id="249" w:name="_Toc9041"/>
      <w:bookmarkStart w:id="250" w:name="_Toc30864"/>
      <w:bookmarkStart w:id="251" w:name="_Toc28990"/>
      <w:bookmarkStart w:id="252" w:name="_Toc5551"/>
      <w:bookmarkStart w:id="253" w:name="_Toc13313"/>
      <w:bookmarkStart w:id="254" w:name="_Toc19980"/>
      <w:bookmarkStart w:id="255" w:name="_Toc525367173"/>
      <w:bookmarkStart w:id="256" w:name="_Toc29000"/>
      <w:bookmarkStart w:id="257" w:name="_Toc24800"/>
      <w:bookmarkStart w:id="258" w:name="_Toc17464"/>
      <w:bookmarkStart w:id="259" w:name="_Toc1487"/>
      <w:bookmarkStart w:id="260" w:name="_Toc27354"/>
      <w:bookmarkStart w:id="261" w:name="_Toc15424"/>
      <w:bookmarkStart w:id="262" w:name="_Toc5189"/>
      <w:bookmarkStart w:id="263" w:name="_Toc22418"/>
      <w:bookmarkStart w:id="264" w:name="_Toc887"/>
      <w:bookmarkStart w:id="265" w:name="_Toc3087"/>
      <w:bookmarkStart w:id="266" w:name="_Toc8338"/>
      <w:bookmarkStart w:id="267" w:name="_Toc387008193"/>
      <w:bookmarkStart w:id="268" w:name="_Toc24523"/>
      <w:bookmarkStart w:id="269" w:name="_Toc30540"/>
      <w:bookmarkStart w:id="270" w:name="_Toc26281"/>
      <w:bookmarkStart w:id="271" w:name="_Toc7666"/>
      <w:bookmarkStart w:id="272" w:name="_Toc25384"/>
      <w:bookmarkStart w:id="273" w:name="_Toc128056368"/>
      <w:bookmarkStart w:id="274" w:name="_Toc31262"/>
      <w:bookmarkStart w:id="275" w:name="_Toc23938"/>
      <w:bookmarkStart w:id="276" w:name="_Toc13770"/>
      <w:bookmarkStart w:id="277" w:name="_Toc19287"/>
      <w:r>
        <w:rPr>
          <w:rFonts w:hint="eastAsia" w:ascii="黑体" w:hAnsi="黑体" w:eastAsia="黑体" w:cs="黑体"/>
          <w:color w:val="000000" w:themeColor="text1"/>
        </w:rPr>
        <w:t>1.5 评价原则</w:t>
      </w:r>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p>
    <w:p>
      <w:pPr>
        <w:topLinePunct/>
        <w:ind w:firstLine="560"/>
        <w:rPr>
          <w:rFonts w:ascii="宋体" w:hAnsi="宋体" w:cs="宋体"/>
          <w:color w:val="000000" w:themeColor="text1"/>
          <w:szCs w:val="28"/>
        </w:rPr>
      </w:pPr>
      <w:r>
        <w:rPr>
          <w:rFonts w:ascii="宋体" w:hAnsi="宋体" w:cs="宋体"/>
          <w:color w:val="000000" w:themeColor="text1"/>
          <w:szCs w:val="28"/>
        </w:rPr>
        <w:t>本报告将按国家现行有关法律、法规和标准要求进行评价，同时遵守下列原则：</w:t>
      </w:r>
    </w:p>
    <w:p>
      <w:pPr>
        <w:topLinePunct/>
        <w:ind w:firstLine="560"/>
        <w:rPr>
          <w:rFonts w:ascii="宋体" w:hAnsi="宋体" w:cs="宋体"/>
          <w:color w:val="000000" w:themeColor="text1"/>
          <w:szCs w:val="28"/>
        </w:rPr>
      </w:pPr>
      <w:r>
        <w:rPr>
          <w:rFonts w:hint="eastAsia" w:ascii="宋体" w:hAnsi="宋体" w:cs="宋体"/>
          <w:color w:val="000000" w:themeColor="text1"/>
          <w:szCs w:val="28"/>
        </w:rPr>
        <w:t>（1）</w:t>
      </w:r>
      <w:r>
        <w:rPr>
          <w:rFonts w:ascii="宋体" w:hAnsi="宋体" w:cs="宋体"/>
          <w:color w:val="000000" w:themeColor="text1"/>
          <w:szCs w:val="28"/>
        </w:rPr>
        <w:t>严格执行国家现行有关法律、法规、标准和规范的要求，保证对该企业应当具备的安全生产条件进行科学、客观、公正、独立的评价；</w:t>
      </w:r>
    </w:p>
    <w:p>
      <w:pPr>
        <w:topLinePunct/>
        <w:ind w:firstLine="560"/>
        <w:rPr>
          <w:rFonts w:ascii="宋体" w:hAnsi="宋体" w:cs="宋体"/>
          <w:color w:val="000000" w:themeColor="text1"/>
          <w:szCs w:val="28"/>
        </w:rPr>
      </w:pPr>
      <w:r>
        <w:rPr>
          <w:rFonts w:hint="eastAsia" w:ascii="宋体" w:hAnsi="宋体" w:cs="宋体"/>
          <w:color w:val="000000" w:themeColor="text1"/>
          <w:szCs w:val="28"/>
        </w:rPr>
        <w:t>（2）</w:t>
      </w:r>
      <w:r>
        <w:rPr>
          <w:rFonts w:ascii="宋体" w:hAnsi="宋体" w:cs="宋体"/>
          <w:color w:val="000000" w:themeColor="text1"/>
          <w:szCs w:val="28"/>
        </w:rPr>
        <w:t>执行行业现行有关法规、标准、规范和政策的要求，保证评价与经</w:t>
      </w:r>
      <w:r>
        <w:rPr>
          <w:rFonts w:hint="eastAsia" w:ascii="宋体" w:hAnsi="宋体" w:cs="宋体"/>
          <w:color w:val="000000" w:themeColor="text1"/>
          <w:szCs w:val="28"/>
        </w:rPr>
        <w:t>济发展的适应性；</w:t>
      </w:r>
    </w:p>
    <w:p>
      <w:pPr>
        <w:topLinePunct/>
        <w:ind w:firstLine="560"/>
        <w:rPr>
          <w:rFonts w:ascii="宋体" w:hAnsi="宋体" w:cs="宋体"/>
          <w:color w:val="000000" w:themeColor="text1"/>
          <w:szCs w:val="28"/>
        </w:rPr>
      </w:pPr>
      <w:r>
        <w:rPr>
          <w:rFonts w:hint="eastAsia" w:ascii="宋体" w:hAnsi="宋体" w:cs="宋体"/>
          <w:color w:val="000000" w:themeColor="text1"/>
          <w:szCs w:val="28"/>
        </w:rPr>
        <w:t>（3）采用可靠、适用的评价技术和评价方法，保证评价的针对性，确保评价质量，真实、准确地作出评价结论；</w:t>
      </w:r>
    </w:p>
    <w:p>
      <w:pPr>
        <w:topLinePunct/>
        <w:ind w:firstLine="560"/>
        <w:rPr>
          <w:color w:val="000000" w:themeColor="text1"/>
        </w:rPr>
      </w:pPr>
      <w:r>
        <w:rPr>
          <w:rFonts w:hint="eastAsia" w:ascii="宋体" w:hAnsi="宋体" w:cs="宋体"/>
          <w:color w:val="000000" w:themeColor="text1"/>
          <w:szCs w:val="28"/>
        </w:rPr>
        <w:t>（4）恪守职业道德，遵循诚实守信的原则，对被评价企业的技术资料和商业运作保密</w:t>
      </w:r>
      <w:r>
        <w:rPr>
          <w:rFonts w:hint="eastAsia" w:ascii="宋体" w:hAnsi="宋体"/>
          <w:color w:val="000000" w:themeColor="text1"/>
        </w:rPr>
        <w:t>。</w:t>
      </w:r>
    </w:p>
    <w:p>
      <w:pPr>
        <w:pStyle w:val="3"/>
        <w:keepNext w:val="0"/>
        <w:keepLines w:val="0"/>
        <w:ind w:firstLine="562"/>
        <w:rPr>
          <w:rFonts w:ascii="黑体" w:hAnsi="黑体" w:eastAsia="黑体" w:cs="黑体"/>
          <w:color w:val="000000" w:themeColor="text1"/>
        </w:rPr>
      </w:pPr>
      <w:bookmarkStart w:id="278" w:name="_Toc9730"/>
      <w:bookmarkStart w:id="279" w:name="_Toc22533"/>
      <w:bookmarkStart w:id="280" w:name="_Toc4999"/>
      <w:bookmarkStart w:id="281" w:name="_Toc20374"/>
      <w:bookmarkStart w:id="282" w:name="_Toc12455"/>
      <w:bookmarkStart w:id="283" w:name="_Toc21937"/>
      <w:bookmarkStart w:id="284" w:name="_Toc17651"/>
      <w:bookmarkStart w:id="285" w:name="_Toc28570"/>
      <w:bookmarkStart w:id="286" w:name="_Toc27649"/>
      <w:bookmarkStart w:id="287" w:name="_Toc31393"/>
      <w:bookmarkStart w:id="288" w:name="_Toc27924"/>
      <w:bookmarkStart w:id="289" w:name="_Toc19250"/>
      <w:bookmarkStart w:id="290" w:name="_Toc7648"/>
      <w:bookmarkStart w:id="291" w:name="_Toc24610"/>
      <w:bookmarkStart w:id="292" w:name="_Toc128056371"/>
      <w:bookmarkStart w:id="293" w:name="_Toc13064"/>
      <w:bookmarkStart w:id="294" w:name="_Toc24416"/>
      <w:bookmarkStart w:id="295" w:name="_Toc13718"/>
      <w:bookmarkStart w:id="296" w:name="_Toc12765"/>
      <w:bookmarkStart w:id="297" w:name="_Toc13165"/>
      <w:bookmarkStart w:id="298" w:name="_Toc62740926"/>
      <w:bookmarkStart w:id="299" w:name="_Toc14538"/>
      <w:bookmarkStart w:id="300" w:name="_Toc24293"/>
      <w:bookmarkStart w:id="301" w:name="_Toc31517"/>
      <w:bookmarkStart w:id="302" w:name="_Toc12989"/>
      <w:bookmarkStart w:id="303" w:name="_Toc22756"/>
      <w:bookmarkStart w:id="304" w:name="_Toc7255"/>
      <w:bookmarkStart w:id="305" w:name="_Toc20413"/>
      <w:bookmarkStart w:id="306" w:name="_Toc25550"/>
      <w:bookmarkStart w:id="307" w:name="_Toc16065"/>
      <w:bookmarkStart w:id="308" w:name="_Toc26236"/>
      <w:bookmarkStart w:id="309" w:name="_Toc6639"/>
      <w:bookmarkStart w:id="310" w:name="_Toc26081"/>
      <w:bookmarkStart w:id="311" w:name="_Toc13554"/>
      <w:bookmarkStart w:id="312" w:name="_Toc12543"/>
      <w:bookmarkStart w:id="313" w:name="_Toc2094"/>
      <w:bookmarkStart w:id="314" w:name="_Toc29328"/>
      <w:r>
        <w:rPr>
          <w:rFonts w:hint="eastAsia" w:ascii="黑体" w:hAnsi="黑体" w:eastAsia="黑体" w:cs="黑体"/>
          <w:color w:val="000000" w:themeColor="text1"/>
        </w:rPr>
        <w:t>1.6 评价基准日</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p>
    <w:p>
      <w:pPr>
        <w:topLinePunct/>
        <w:ind w:firstLine="560"/>
        <w:rPr>
          <w:rFonts w:ascii="宋体" w:hAnsi="宋体" w:cs="宋体"/>
          <w:color w:val="000000" w:themeColor="text1"/>
          <w:szCs w:val="28"/>
        </w:rPr>
      </w:pPr>
      <w:r>
        <w:rPr>
          <w:rFonts w:hint="eastAsia" w:ascii="宋体" w:hAnsi="宋体" w:cs="宋体"/>
          <w:color w:val="000000" w:themeColor="text1"/>
          <w:szCs w:val="28"/>
        </w:rPr>
        <w:t>评价组于2024年3月12日到现场进行检查踏勘，本报告以当日检查的情况为准编制本报告，评价基准日：2024年3月12日。</w:t>
      </w:r>
    </w:p>
    <w:p>
      <w:pPr>
        <w:pStyle w:val="2"/>
        <w:rPr>
          <w:rFonts w:ascii="楷体" w:hAnsi="楷体" w:eastAsia="楷体" w:cs="楷体"/>
          <w:b/>
          <w:bCs w:val="0"/>
          <w:color w:val="000000" w:themeColor="text1"/>
        </w:rPr>
      </w:pPr>
      <w:bookmarkStart w:id="315" w:name="_Toc17848"/>
      <w:bookmarkStart w:id="316" w:name="_Toc14596"/>
      <w:bookmarkStart w:id="317" w:name="_Toc12328_WPSOffice_Level1"/>
      <w:bookmarkStart w:id="318" w:name="_Toc13824"/>
      <w:bookmarkStart w:id="319" w:name="_Toc10679"/>
      <w:bookmarkStart w:id="320" w:name="_Toc32266"/>
      <w:bookmarkStart w:id="321" w:name="_Toc8191"/>
      <w:bookmarkStart w:id="322" w:name="_Toc26346"/>
      <w:bookmarkStart w:id="323" w:name="_Toc28074"/>
      <w:bookmarkStart w:id="324" w:name="_Toc10137"/>
      <w:bookmarkStart w:id="325" w:name="_Toc8179"/>
      <w:bookmarkStart w:id="326" w:name="_Toc17764"/>
      <w:bookmarkStart w:id="327" w:name="_Toc3942_WPSOffice_Level1"/>
      <w:bookmarkStart w:id="328" w:name="_Toc13467"/>
      <w:bookmarkStart w:id="329" w:name="_Toc11539"/>
      <w:bookmarkStart w:id="330" w:name="_Toc28650"/>
      <w:bookmarkStart w:id="331" w:name="_Toc28964"/>
      <w:bookmarkStart w:id="332" w:name="_Toc14199"/>
      <w:bookmarkStart w:id="333" w:name="_Toc7494"/>
      <w:bookmarkStart w:id="334" w:name="_Toc24242"/>
      <w:bookmarkStart w:id="335" w:name="_Toc23911"/>
      <w:bookmarkStart w:id="336" w:name="_Toc30499"/>
      <w:bookmarkStart w:id="337" w:name="_Toc12347"/>
      <w:bookmarkStart w:id="338" w:name="_Toc20250"/>
      <w:bookmarkStart w:id="339" w:name="_Toc23560"/>
      <w:bookmarkStart w:id="340" w:name="_Toc25069"/>
      <w:bookmarkStart w:id="341" w:name="_Toc31172"/>
      <w:bookmarkStart w:id="342" w:name="_Toc22192"/>
      <w:bookmarkStart w:id="343" w:name="_Toc24980"/>
      <w:bookmarkStart w:id="344" w:name="_Toc4242"/>
      <w:bookmarkStart w:id="345" w:name="_Toc10506"/>
      <w:bookmarkStart w:id="346" w:name="_Toc62740927"/>
      <w:bookmarkStart w:id="347" w:name="_Toc4443"/>
      <w:bookmarkStart w:id="348" w:name="_Toc15889"/>
      <w:bookmarkStart w:id="349" w:name="_Toc5253"/>
      <w:bookmarkStart w:id="350" w:name="_Toc27233"/>
      <w:bookmarkStart w:id="351" w:name="_Toc317766309"/>
      <w:bookmarkStart w:id="352" w:name="_Toc10869"/>
      <w:bookmarkStart w:id="353" w:name="_Toc24826"/>
      <w:bookmarkStart w:id="354" w:name="_Toc4398"/>
      <w:bookmarkStart w:id="355" w:name="_Toc128056372"/>
      <w:r>
        <w:rPr>
          <w:rFonts w:hint="eastAsia" w:ascii="楷体" w:hAnsi="楷体" w:eastAsia="楷体" w:cs="楷体"/>
          <w:b/>
          <w:bCs w:val="0"/>
          <w:color w:val="000000" w:themeColor="text1"/>
        </w:rPr>
        <w:t>2  评价项目基本概况</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Start w:id="356" w:name="_Toc305917930"/>
      <w:bookmarkStart w:id="357" w:name="_Toc13825"/>
      <w:bookmarkStart w:id="358" w:name="_Toc217986231"/>
      <w:bookmarkStart w:id="359" w:name="_Toc21082_WPSOffice_Level2"/>
      <w:bookmarkStart w:id="360" w:name="_Toc15659_WPSOffice_Level2"/>
      <w:bookmarkStart w:id="361" w:name="_Toc317766311"/>
    </w:p>
    <w:p>
      <w:pPr>
        <w:pStyle w:val="16"/>
        <w:ind w:firstLine="640"/>
        <w:rPr>
          <w:sz w:val="32"/>
          <w:szCs w:val="32"/>
        </w:rPr>
      </w:pPr>
      <w:bookmarkStart w:id="362" w:name="_Toc22149"/>
      <w:bookmarkStart w:id="363" w:name="_Toc25904"/>
      <w:bookmarkStart w:id="364" w:name="_Toc18441"/>
      <w:bookmarkStart w:id="365" w:name="_Toc11684"/>
      <w:bookmarkStart w:id="366" w:name="_Toc31991"/>
      <w:bookmarkStart w:id="367" w:name="_Toc31610"/>
      <w:bookmarkStart w:id="368" w:name="_Toc62740928"/>
      <w:bookmarkStart w:id="369" w:name="_Toc13613"/>
      <w:bookmarkStart w:id="370" w:name="_Toc27287"/>
      <w:bookmarkStart w:id="371" w:name="_Toc128056373"/>
      <w:bookmarkStart w:id="372" w:name="_Toc20344"/>
      <w:bookmarkStart w:id="373" w:name="_Toc27870"/>
    </w:p>
    <w:p>
      <w:pPr>
        <w:pStyle w:val="3"/>
        <w:keepNext w:val="0"/>
        <w:keepLines w:val="0"/>
        <w:ind w:firstLine="562"/>
        <w:rPr>
          <w:color w:val="000000" w:themeColor="text1"/>
        </w:rPr>
      </w:pPr>
      <w:bookmarkStart w:id="374" w:name="_Toc13384"/>
      <w:bookmarkStart w:id="375" w:name="_Toc32553"/>
      <w:bookmarkStart w:id="376" w:name="_Toc21925"/>
      <w:bookmarkStart w:id="377" w:name="_Toc22796"/>
      <w:bookmarkStart w:id="378" w:name="_Toc10879"/>
      <w:bookmarkStart w:id="379" w:name="_Toc23172"/>
      <w:bookmarkStart w:id="380" w:name="_Toc13151"/>
      <w:bookmarkStart w:id="381" w:name="_Toc4625"/>
      <w:bookmarkStart w:id="382" w:name="_Toc2730"/>
      <w:bookmarkStart w:id="383" w:name="_Toc27368"/>
      <w:bookmarkStart w:id="384" w:name="_Toc32033"/>
      <w:bookmarkStart w:id="385" w:name="_Toc11752"/>
      <w:bookmarkStart w:id="386" w:name="_Toc11808"/>
      <w:bookmarkStart w:id="387" w:name="_Toc13230"/>
      <w:bookmarkStart w:id="388" w:name="_Toc31280"/>
      <w:bookmarkStart w:id="389" w:name="_Toc18854"/>
      <w:bookmarkStart w:id="390" w:name="_Toc28186"/>
      <w:bookmarkStart w:id="391" w:name="_Toc155"/>
      <w:bookmarkStart w:id="392" w:name="_Toc630"/>
      <w:bookmarkStart w:id="393" w:name="_Toc7301"/>
      <w:bookmarkStart w:id="394" w:name="_Toc7203"/>
      <w:bookmarkStart w:id="395" w:name="_Toc24814"/>
      <w:bookmarkStart w:id="396" w:name="_Toc7453"/>
      <w:bookmarkStart w:id="397" w:name="_Toc5171"/>
      <w:bookmarkStart w:id="398" w:name="_Toc6675"/>
      <w:r>
        <w:rPr>
          <w:rFonts w:hint="eastAsia" w:ascii="黑体" w:hAnsi="黑体" w:eastAsia="黑体" w:cs="黑体"/>
          <w:color w:val="000000" w:themeColor="text1"/>
        </w:rPr>
        <w:t>2.1</w:t>
      </w:r>
      <w:bookmarkEnd w:id="356"/>
      <w:bookmarkEnd w:id="357"/>
      <w:bookmarkEnd w:id="358"/>
      <w:bookmarkEnd w:id="359"/>
      <w:bookmarkEnd w:id="360"/>
      <w:r>
        <w:rPr>
          <w:rFonts w:hint="eastAsia" w:ascii="黑体" w:hAnsi="黑体" w:eastAsia="黑体" w:cs="黑体"/>
          <w:color w:val="000000" w:themeColor="text1"/>
        </w:rPr>
        <w:t xml:space="preserve"> 被评价单位简介</w:t>
      </w:r>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p>
      <w:pPr>
        <w:widowControl/>
        <w:ind w:firstLine="560"/>
        <w:jc w:val="left"/>
        <w:rPr>
          <w:szCs w:val="28"/>
        </w:rPr>
      </w:pPr>
      <w:r>
        <w:rPr>
          <w:rFonts w:hint="eastAsia" w:ascii="宋体" w:hAnsi="宋体" w:cs="宋体"/>
          <w:kern w:val="0"/>
          <w:szCs w:val="28"/>
        </w:rPr>
        <w:t xml:space="preserve">企业名称：漾濞县跃进化工有限责任公司（以下简称：跃进化工） </w:t>
      </w:r>
    </w:p>
    <w:p>
      <w:pPr>
        <w:widowControl/>
        <w:ind w:firstLine="560"/>
        <w:jc w:val="left"/>
        <w:rPr>
          <w:szCs w:val="28"/>
        </w:rPr>
      </w:pPr>
      <w:r>
        <w:rPr>
          <w:rFonts w:hint="eastAsia" w:ascii="宋体" w:hAnsi="宋体" w:cs="宋体"/>
          <w:kern w:val="0"/>
          <w:szCs w:val="28"/>
        </w:rPr>
        <w:t>负责人：杨春分</w:t>
      </w:r>
    </w:p>
    <w:p>
      <w:pPr>
        <w:widowControl/>
        <w:ind w:firstLine="560"/>
        <w:jc w:val="left"/>
        <w:rPr>
          <w:szCs w:val="28"/>
        </w:rPr>
      </w:pPr>
      <w:r>
        <w:rPr>
          <w:rFonts w:hint="eastAsia" w:ascii="宋体" w:hAnsi="宋体" w:cs="宋体"/>
          <w:kern w:val="0"/>
          <w:szCs w:val="28"/>
        </w:rPr>
        <w:t xml:space="preserve">营业场所：云南省大理白族自治州漾濞彝族自治县顺濞镇顺濞村 </w:t>
      </w:r>
    </w:p>
    <w:p>
      <w:pPr>
        <w:widowControl/>
        <w:ind w:firstLine="560"/>
        <w:jc w:val="left"/>
        <w:rPr>
          <w:szCs w:val="28"/>
        </w:rPr>
      </w:pPr>
      <w:r>
        <w:rPr>
          <w:rFonts w:hint="eastAsia" w:ascii="宋体" w:hAnsi="宋体" w:cs="宋体"/>
          <w:kern w:val="0"/>
          <w:szCs w:val="28"/>
        </w:rPr>
        <w:t xml:space="preserve">企业类型：有限责任公司（自然人投资或控股） </w:t>
      </w:r>
    </w:p>
    <w:p>
      <w:pPr>
        <w:widowControl/>
        <w:ind w:firstLine="560"/>
        <w:jc w:val="left"/>
        <w:rPr>
          <w:szCs w:val="28"/>
        </w:rPr>
      </w:pPr>
      <w:r>
        <w:rPr>
          <w:rFonts w:hint="eastAsia" w:ascii="宋体" w:hAnsi="宋体" w:cs="宋体"/>
          <w:kern w:val="0"/>
          <w:szCs w:val="28"/>
        </w:rPr>
        <w:t xml:space="preserve">统一社会信用代码：91532922767056843Q </w:t>
      </w:r>
    </w:p>
    <w:p>
      <w:pPr>
        <w:widowControl/>
        <w:ind w:firstLine="560"/>
        <w:jc w:val="left"/>
        <w:rPr>
          <w:szCs w:val="28"/>
        </w:rPr>
      </w:pPr>
      <w:r>
        <w:rPr>
          <w:rFonts w:hint="eastAsia" w:ascii="宋体" w:hAnsi="宋体" w:cs="宋体"/>
          <w:kern w:val="0"/>
          <w:szCs w:val="28"/>
        </w:rPr>
        <w:t xml:space="preserve">发证机关：漾濞彝族自治县市场监督管理局 </w:t>
      </w:r>
    </w:p>
    <w:p>
      <w:pPr>
        <w:widowControl/>
        <w:ind w:firstLine="560"/>
        <w:jc w:val="left"/>
        <w:rPr>
          <w:szCs w:val="28"/>
        </w:rPr>
      </w:pPr>
      <w:r>
        <w:rPr>
          <w:rFonts w:hint="eastAsia" w:ascii="宋体" w:hAnsi="宋体" w:cs="宋体"/>
          <w:kern w:val="0"/>
          <w:szCs w:val="28"/>
        </w:rPr>
        <w:t xml:space="preserve">成立日期：2004年06月28日 </w:t>
      </w:r>
    </w:p>
    <w:p>
      <w:pPr>
        <w:widowControl/>
        <w:ind w:firstLine="560"/>
        <w:jc w:val="left"/>
        <w:rPr>
          <w:szCs w:val="28"/>
        </w:rPr>
      </w:pPr>
      <w:r>
        <w:rPr>
          <w:rFonts w:hint="eastAsia" w:ascii="宋体" w:hAnsi="宋体" w:cs="宋体"/>
          <w:kern w:val="0"/>
          <w:szCs w:val="28"/>
        </w:rPr>
        <w:t xml:space="preserve">经营范围：硫酸、铁渣生产销售；一水硫酸镁（饲料级、工业级、农业级）、七水硫酸镁（饲料级、工业级、农业级）、硫镁肥生产销售。（经营项目中涉及专项审批的按许可证审批）；进出口贸易。 </w:t>
      </w:r>
    </w:p>
    <w:p>
      <w:pPr>
        <w:widowControl/>
        <w:ind w:firstLine="560"/>
        <w:jc w:val="left"/>
        <w:rPr>
          <w:rFonts w:ascii="宋体" w:hAnsi="宋体" w:cs="宋体"/>
        </w:rPr>
      </w:pPr>
      <w:r>
        <w:rPr>
          <w:rFonts w:hint="eastAsia" w:ascii="宋体" w:hAnsi="宋体" w:cs="宋体"/>
          <w:kern w:val="0"/>
          <w:szCs w:val="28"/>
        </w:rPr>
        <w:t>漾濞县跃进化工有限责任公司，始建于2004年6月。公司现有员工95人。公司位于云南省大理白族自治州漾濞彝族自治县顺濞镇顺濞村，工业场地是由顺濞村第五小组出让的37788m</w:t>
      </w:r>
      <w:r>
        <w:rPr>
          <w:rFonts w:hint="eastAsia" w:ascii="宋体" w:hAnsi="宋体" w:cs="宋体"/>
          <w:kern w:val="0"/>
          <w:szCs w:val="28"/>
          <w:vertAlign w:val="superscript"/>
        </w:rPr>
        <w:t>2</w:t>
      </w:r>
      <w:r>
        <w:rPr>
          <w:rFonts w:hint="eastAsia" w:ascii="宋体" w:hAnsi="宋体" w:cs="宋体"/>
          <w:kern w:val="0"/>
          <w:szCs w:val="28"/>
        </w:rPr>
        <w:t>工业用地。企业以生产硫酸为主，有两套硫铁矿制备硫酸的生产装置，第一套4万t/a硫酸生产装置于2004年底竣工投产，第二套8万t/a硫酸生产装置于2007年底竣工生产，其硫酸生产能力为12万t/a。一套10万t/a硫酸镁生产装置于2012年底竣工投产（不在本次评价范围内）。</w:t>
      </w:r>
      <w:r>
        <w:rPr>
          <w:rFonts w:hint="eastAsia" w:ascii="宋体" w:hAnsi="宋体" w:cs="宋体"/>
        </w:rPr>
        <w:t>相关资质证照如表2.1-1：</w:t>
      </w:r>
    </w:p>
    <w:p>
      <w:pPr>
        <w:ind w:firstLine="0" w:firstLineChars="0"/>
        <w:jc w:val="center"/>
        <w:rPr>
          <w:b/>
          <w:bCs/>
          <w:sz w:val="24"/>
        </w:rPr>
      </w:pPr>
      <w:r>
        <w:rPr>
          <w:rFonts w:hint="eastAsia"/>
          <w:b/>
          <w:bCs/>
          <w:sz w:val="24"/>
        </w:rPr>
        <w:t>表2.1-1</w:t>
      </w:r>
      <w:r>
        <w:rPr>
          <w:rFonts w:hint="eastAsia" w:ascii="宋体" w:hAnsi="宋体" w:cs="宋体"/>
          <w:b/>
          <w:kern w:val="0"/>
          <w:sz w:val="24"/>
        </w:rPr>
        <w:t>跃进化工</w:t>
      </w:r>
      <w:r>
        <w:rPr>
          <w:rFonts w:hint="eastAsia"/>
          <w:b/>
          <w:bCs/>
          <w:sz w:val="24"/>
        </w:rPr>
        <w:t>相关证照</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099"/>
        <w:gridCol w:w="2555"/>
        <w:gridCol w:w="1303"/>
        <w:gridCol w:w="1454"/>
        <w:gridCol w:w="1116"/>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tcPr>
          <w:p>
            <w:pPr>
              <w:tabs>
                <w:tab w:val="left" w:pos="2235"/>
              </w:tabs>
              <w:autoSpaceDE w:val="0"/>
              <w:autoSpaceDN w:val="0"/>
              <w:spacing w:line="200" w:lineRule="atLeast"/>
              <w:ind w:firstLine="0" w:firstLineChars="0"/>
              <w:jc w:val="center"/>
              <w:rPr>
                <w:rFonts w:ascii="宋体" w:hAnsi="宋体" w:cs="宋体"/>
                <w:b/>
                <w:sz w:val="21"/>
                <w:szCs w:val="21"/>
              </w:rPr>
            </w:pPr>
            <w:r>
              <w:rPr>
                <w:rFonts w:hint="eastAsia" w:ascii="宋体" w:hAnsi="宋体" w:cs="宋体"/>
                <w:b/>
                <w:sz w:val="21"/>
                <w:szCs w:val="21"/>
              </w:rPr>
              <w:t>序号</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b/>
                <w:sz w:val="21"/>
                <w:szCs w:val="21"/>
              </w:rPr>
            </w:pPr>
            <w:r>
              <w:rPr>
                <w:rFonts w:hint="eastAsia" w:ascii="宋体" w:hAnsi="宋体" w:cs="宋体"/>
                <w:b/>
                <w:sz w:val="21"/>
                <w:szCs w:val="21"/>
              </w:rPr>
              <w:t>证照</w:t>
            </w:r>
          </w:p>
          <w:p>
            <w:pPr>
              <w:tabs>
                <w:tab w:val="left" w:pos="2235"/>
              </w:tabs>
              <w:autoSpaceDE w:val="0"/>
              <w:autoSpaceDN w:val="0"/>
              <w:spacing w:line="200" w:lineRule="atLeast"/>
              <w:ind w:firstLine="0" w:firstLineChars="0"/>
              <w:jc w:val="center"/>
              <w:rPr>
                <w:rFonts w:ascii="宋体" w:hAnsi="宋体" w:cs="宋体"/>
                <w:b/>
                <w:sz w:val="21"/>
                <w:szCs w:val="21"/>
              </w:rPr>
            </w:pPr>
            <w:r>
              <w:rPr>
                <w:rFonts w:hint="eastAsia" w:ascii="宋体" w:hAnsi="宋体" w:cs="宋体"/>
                <w:b/>
                <w:sz w:val="21"/>
                <w:szCs w:val="21"/>
              </w:rPr>
              <w:t>名称</w:t>
            </w:r>
          </w:p>
        </w:tc>
        <w:tc>
          <w:tcPr>
            <w:tcW w:w="1374"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b/>
                <w:sz w:val="21"/>
                <w:szCs w:val="21"/>
              </w:rPr>
            </w:pPr>
            <w:r>
              <w:rPr>
                <w:rFonts w:hint="eastAsia" w:ascii="宋体" w:hAnsi="宋体" w:cs="宋体"/>
                <w:b/>
                <w:sz w:val="21"/>
                <w:szCs w:val="21"/>
              </w:rPr>
              <w:t>证  书  内  容</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b/>
                <w:sz w:val="21"/>
                <w:szCs w:val="21"/>
              </w:rPr>
            </w:pPr>
            <w:r>
              <w:rPr>
                <w:rFonts w:hint="eastAsia" w:ascii="宋体" w:hAnsi="宋体" w:cs="宋体"/>
                <w:b/>
                <w:sz w:val="21"/>
                <w:szCs w:val="21"/>
              </w:rPr>
              <w:t>证书号码</w:t>
            </w:r>
          </w:p>
        </w:tc>
        <w:tc>
          <w:tcPr>
            <w:tcW w:w="783"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b/>
                <w:sz w:val="21"/>
                <w:szCs w:val="21"/>
              </w:rPr>
            </w:pPr>
            <w:r>
              <w:rPr>
                <w:rFonts w:hint="eastAsia" w:ascii="宋体" w:hAnsi="宋体" w:cs="宋体"/>
                <w:b/>
                <w:sz w:val="21"/>
                <w:szCs w:val="21"/>
              </w:rPr>
              <w:t>有  效  期</w:t>
            </w:r>
          </w:p>
        </w:tc>
        <w:tc>
          <w:tcPr>
            <w:tcW w:w="6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b/>
                <w:sz w:val="21"/>
                <w:szCs w:val="21"/>
              </w:rPr>
            </w:pPr>
            <w:r>
              <w:rPr>
                <w:rFonts w:hint="eastAsia" w:ascii="宋体" w:hAnsi="宋体" w:cs="宋体"/>
                <w:b/>
                <w:sz w:val="21"/>
                <w:szCs w:val="21"/>
              </w:rPr>
              <w:t>发证</w:t>
            </w:r>
          </w:p>
          <w:p>
            <w:pPr>
              <w:tabs>
                <w:tab w:val="left" w:pos="2235"/>
              </w:tabs>
              <w:autoSpaceDE w:val="0"/>
              <w:autoSpaceDN w:val="0"/>
              <w:spacing w:line="200" w:lineRule="atLeast"/>
              <w:ind w:firstLine="0" w:firstLineChars="0"/>
              <w:jc w:val="center"/>
              <w:rPr>
                <w:rFonts w:ascii="宋体" w:hAnsi="宋体" w:cs="宋体"/>
                <w:b/>
                <w:sz w:val="21"/>
                <w:szCs w:val="21"/>
              </w:rPr>
            </w:pPr>
            <w:r>
              <w:rPr>
                <w:rFonts w:hint="eastAsia" w:ascii="宋体" w:hAnsi="宋体" w:cs="宋体"/>
                <w:b/>
                <w:sz w:val="21"/>
                <w:szCs w:val="21"/>
              </w:rPr>
              <w:t>单位</w:t>
            </w:r>
          </w:p>
        </w:tc>
        <w:tc>
          <w:tcPr>
            <w:tcW w:w="718"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b/>
                <w:sz w:val="21"/>
                <w:szCs w:val="21"/>
              </w:rPr>
            </w:pPr>
            <w:r>
              <w:rPr>
                <w:rFonts w:hint="eastAsia" w:ascii="宋体" w:hAnsi="宋体" w:cs="宋体"/>
                <w:b/>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sz w:val="21"/>
                <w:szCs w:val="21"/>
              </w:rPr>
            </w:pPr>
            <w:r>
              <w:rPr>
                <w:rFonts w:hint="eastAsia" w:ascii="宋体" w:hAnsi="宋体" w:cs="宋体"/>
                <w:sz w:val="21"/>
                <w:szCs w:val="21"/>
              </w:rPr>
              <w:t>1</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工商营业执照</w:t>
            </w:r>
          </w:p>
        </w:tc>
        <w:tc>
          <w:tcPr>
            <w:tcW w:w="1374"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atLeast"/>
              <w:ind w:firstLine="0" w:firstLineChars="0"/>
              <w:rPr>
                <w:rFonts w:ascii="宋体" w:hAnsi="宋体" w:cs="宋体"/>
                <w:sz w:val="21"/>
                <w:szCs w:val="21"/>
              </w:rPr>
            </w:pPr>
            <w:r>
              <w:rPr>
                <w:rFonts w:hint="eastAsia" w:ascii="宋体" w:hAnsi="宋体" w:cs="宋体"/>
                <w:kern w:val="0"/>
                <w:sz w:val="21"/>
                <w:szCs w:val="21"/>
              </w:rPr>
              <w:t>硫酸、铁渣生产销售；一水硫酸镁（饲料级、工业级、农业级）、七水硫酸镁（饲料级、工业级、农业级）、硫镁肥生产销售。（经营项目中涉及专项审批的按许可证审批）；进出口贸易。</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统一社会信用代码</w:t>
            </w:r>
          </w:p>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kern w:val="0"/>
                <w:sz w:val="21"/>
                <w:szCs w:val="21"/>
              </w:rPr>
              <w:t>91532922767056843Q</w:t>
            </w:r>
          </w:p>
        </w:tc>
        <w:tc>
          <w:tcPr>
            <w:tcW w:w="783"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p>
        </w:tc>
        <w:tc>
          <w:tcPr>
            <w:tcW w:w="6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kern w:val="0"/>
                <w:sz w:val="21"/>
                <w:szCs w:val="21"/>
              </w:rPr>
              <w:t>漾濞彝族自治县</w:t>
            </w:r>
            <w:r>
              <w:rPr>
                <w:rFonts w:hint="eastAsia" w:ascii="宋体" w:hAnsi="宋体" w:cs="宋体"/>
                <w:sz w:val="21"/>
                <w:szCs w:val="21"/>
              </w:rPr>
              <w:t>市场监督管理局</w:t>
            </w:r>
          </w:p>
        </w:tc>
        <w:tc>
          <w:tcPr>
            <w:tcW w:w="718"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详见</w:t>
            </w:r>
            <w:r>
              <w:rPr>
                <w:rFonts w:hint="eastAsia"/>
                <w:sz w:val="21"/>
                <w:szCs w:val="21"/>
              </w:rPr>
              <w:t>企业原始资料F</w:t>
            </w:r>
            <w:r>
              <w:rPr>
                <w:rFonts w:hint="eastAsia" w:ascii="宋体" w:hAnsi="宋体" w:cs="宋体"/>
                <w:sz w:val="21"/>
                <w:szCs w:val="21"/>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sz w:val="21"/>
                <w:szCs w:val="21"/>
              </w:rPr>
            </w:pPr>
            <w:r>
              <w:rPr>
                <w:rFonts w:hint="eastAsia" w:ascii="宋体" w:hAnsi="宋体" w:cs="宋体"/>
                <w:sz w:val="21"/>
                <w:szCs w:val="21"/>
              </w:rPr>
              <w:t>2</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安全生产许可证</w:t>
            </w:r>
          </w:p>
        </w:tc>
        <w:tc>
          <w:tcPr>
            <w:tcW w:w="1374"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olor w:val="auto"/>
                <w:sz w:val="21"/>
                <w:szCs w:val="21"/>
              </w:rPr>
              <w:t>硫酸12万吨/年</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olor w:val="auto"/>
                <w:sz w:val="21"/>
                <w:szCs w:val="21"/>
              </w:rPr>
              <w:t>（云）WH安许证字[2005]0059</w:t>
            </w:r>
          </w:p>
        </w:tc>
        <w:tc>
          <w:tcPr>
            <w:tcW w:w="783"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2021年7月20日至2024年7月19日</w:t>
            </w:r>
          </w:p>
        </w:tc>
        <w:tc>
          <w:tcPr>
            <w:tcW w:w="6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云南省应急管理厅</w:t>
            </w:r>
          </w:p>
        </w:tc>
        <w:tc>
          <w:tcPr>
            <w:tcW w:w="71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atLeast"/>
              <w:ind w:firstLine="0" w:firstLineChars="0"/>
              <w:rPr>
                <w:rFonts w:ascii="宋体" w:hAnsi="宋体" w:cs="宋体"/>
                <w:sz w:val="21"/>
                <w:szCs w:val="21"/>
              </w:rPr>
            </w:pPr>
            <w:r>
              <w:rPr>
                <w:rFonts w:hint="eastAsia" w:ascii="宋体" w:hAnsi="宋体" w:cs="宋体"/>
                <w:sz w:val="21"/>
                <w:szCs w:val="21"/>
              </w:rPr>
              <w:t>详见</w:t>
            </w:r>
            <w:r>
              <w:rPr>
                <w:rFonts w:hint="eastAsia"/>
                <w:sz w:val="21"/>
                <w:szCs w:val="21"/>
              </w:rPr>
              <w:t>企业原始资料F</w:t>
            </w:r>
            <w:r>
              <w:rPr>
                <w:rFonts w:hint="eastAsia" w:ascii="宋体" w:hAnsi="宋体" w:cs="宋体"/>
                <w:sz w:val="21"/>
                <w:szCs w:val="21"/>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sz w:val="21"/>
                <w:szCs w:val="21"/>
              </w:rPr>
            </w:pPr>
            <w:r>
              <w:rPr>
                <w:rFonts w:hint="eastAsia" w:ascii="宋体" w:hAnsi="宋体" w:cs="宋体"/>
                <w:sz w:val="21"/>
                <w:szCs w:val="21"/>
              </w:rPr>
              <w:t>3</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危险化学品登记证</w:t>
            </w:r>
          </w:p>
        </w:tc>
        <w:tc>
          <w:tcPr>
            <w:tcW w:w="1374"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olor w:val="auto"/>
                <w:sz w:val="21"/>
                <w:szCs w:val="21"/>
              </w:rPr>
              <w:t>经营种类：硫酸、二氧化硫、三氧化硫（稳定的）</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olor w:val="auto"/>
                <w:sz w:val="21"/>
                <w:szCs w:val="21"/>
              </w:rPr>
              <w:t>532912003</w:t>
            </w:r>
          </w:p>
        </w:tc>
        <w:tc>
          <w:tcPr>
            <w:tcW w:w="783"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2021年9月1日至2024年8月31日</w:t>
            </w:r>
          </w:p>
        </w:tc>
        <w:tc>
          <w:tcPr>
            <w:tcW w:w="6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急管应理部化学品登记中心</w:t>
            </w:r>
          </w:p>
        </w:tc>
        <w:tc>
          <w:tcPr>
            <w:tcW w:w="71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atLeast"/>
              <w:ind w:firstLine="0" w:firstLineChars="0"/>
              <w:rPr>
                <w:rFonts w:ascii="宋体" w:hAnsi="宋体" w:cs="宋体"/>
                <w:sz w:val="21"/>
                <w:szCs w:val="21"/>
              </w:rPr>
            </w:pPr>
            <w:r>
              <w:rPr>
                <w:rFonts w:hint="eastAsia" w:ascii="宋体" w:hAnsi="宋体" w:cs="宋体"/>
                <w:sz w:val="21"/>
                <w:szCs w:val="21"/>
              </w:rPr>
              <w:t>详见</w:t>
            </w:r>
            <w:r>
              <w:rPr>
                <w:rFonts w:hint="eastAsia"/>
                <w:sz w:val="21"/>
                <w:szCs w:val="21"/>
              </w:rPr>
              <w:t>企业原始资料F</w:t>
            </w:r>
            <w:r>
              <w:rPr>
                <w:rFonts w:hint="eastAsia" w:ascii="宋体" w:hAnsi="宋体" w:cs="宋体"/>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sz w:val="21"/>
                <w:szCs w:val="21"/>
              </w:rPr>
            </w:pPr>
            <w:r>
              <w:rPr>
                <w:rFonts w:hint="eastAsia" w:ascii="宋体" w:hAnsi="宋体" w:cs="宋体"/>
                <w:sz w:val="21"/>
                <w:szCs w:val="21"/>
              </w:rPr>
              <w:t>4</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非药品类易制毒化学品生产备案证明</w:t>
            </w:r>
          </w:p>
        </w:tc>
        <w:tc>
          <w:tcPr>
            <w:tcW w:w="1374"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olor w:val="auto"/>
                <w:sz w:val="21"/>
                <w:szCs w:val="21"/>
              </w:rPr>
            </w:pPr>
            <w:r>
              <w:rPr>
                <w:rFonts w:hint="eastAsia" w:ascii="宋体" w:hAnsi="宋体"/>
                <w:color w:val="auto"/>
                <w:sz w:val="21"/>
                <w:szCs w:val="21"/>
              </w:rPr>
              <w:t>硫酸120000吨/年</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olor w:val="auto"/>
                <w:sz w:val="21"/>
                <w:szCs w:val="21"/>
              </w:rPr>
            </w:pPr>
            <w:r>
              <w:rPr>
                <w:rFonts w:hint="eastAsia" w:ascii="宋体" w:hAnsi="宋体"/>
                <w:color w:val="auto"/>
                <w:sz w:val="21"/>
                <w:szCs w:val="21"/>
              </w:rPr>
              <w:t>3S53292201001</w:t>
            </w:r>
          </w:p>
        </w:tc>
        <w:tc>
          <w:tcPr>
            <w:tcW w:w="783"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2021年7月26日至2024年7月25日</w:t>
            </w:r>
          </w:p>
        </w:tc>
        <w:tc>
          <w:tcPr>
            <w:tcW w:w="6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kern w:val="0"/>
                <w:sz w:val="21"/>
                <w:szCs w:val="21"/>
              </w:rPr>
              <w:t>漾濞彝族自治县应急管理局</w:t>
            </w:r>
          </w:p>
        </w:tc>
        <w:tc>
          <w:tcPr>
            <w:tcW w:w="71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atLeast"/>
              <w:ind w:firstLine="0" w:firstLineChars="0"/>
              <w:rPr>
                <w:rFonts w:ascii="宋体" w:hAnsi="宋体" w:cs="宋体"/>
                <w:sz w:val="21"/>
                <w:szCs w:val="21"/>
              </w:rPr>
            </w:pPr>
            <w:r>
              <w:rPr>
                <w:rFonts w:hint="eastAsia" w:ascii="宋体" w:hAnsi="宋体" w:cs="宋体"/>
                <w:sz w:val="21"/>
                <w:szCs w:val="21"/>
              </w:rPr>
              <w:t>详见</w:t>
            </w:r>
            <w:r>
              <w:rPr>
                <w:rFonts w:hint="eastAsia"/>
                <w:sz w:val="21"/>
                <w:szCs w:val="21"/>
              </w:rPr>
              <w:t>企业原始资料F</w:t>
            </w:r>
            <w:r>
              <w:rPr>
                <w:rFonts w:hint="eastAsia" w:ascii="宋体" w:hAnsi="宋体" w:cs="宋体"/>
                <w:sz w:val="21"/>
                <w:szCs w:val="21"/>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sz w:val="21"/>
                <w:szCs w:val="21"/>
              </w:rPr>
            </w:pPr>
            <w:r>
              <w:rPr>
                <w:rFonts w:hint="eastAsia" w:ascii="宋体" w:hAnsi="宋体" w:cs="宋体"/>
                <w:sz w:val="21"/>
                <w:szCs w:val="21"/>
              </w:rPr>
              <w:t>5</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非药品类易制毒化学品经营备案证明</w:t>
            </w:r>
          </w:p>
        </w:tc>
        <w:tc>
          <w:tcPr>
            <w:tcW w:w="1374"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olor w:val="auto"/>
                <w:sz w:val="21"/>
                <w:szCs w:val="21"/>
              </w:rPr>
            </w:pPr>
            <w:r>
              <w:rPr>
                <w:rFonts w:hint="eastAsia" w:ascii="宋体" w:hAnsi="宋体"/>
                <w:color w:val="auto"/>
                <w:sz w:val="21"/>
                <w:szCs w:val="21"/>
              </w:rPr>
              <w:t>硫酸120000吨/年</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olor w:val="auto"/>
                <w:sz w:val="21"/>
                <w:szCs w:val="21"/>
              </w:rPr>
            </w:pPr>
            <w:r>
              <w:rPr>
                <w:rFonts w:hint="eastAsia" w:ascii="宋体" w:hAnsi="宋体"/>
                <w:color w:val="auto"/>
                <w:sz w:val="21"/>
                <w:szCs w:val="21"/>
              </w:rPr>
              <w:t>3S53292201080</w:t>
            </w:r>
          </w:p>
        </w:tc>
        <w:tc>
          <w:tcPr>
            <w:tcW w:w="783"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2021年7月26日至2024年7月25日</w:t>
            </w:r>
          </w:p>
        </w:tc>
        <w:tc>
          <w:tcPr>
            <w:tcW w:w="6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kern w:val="0"/>
                <w:sz w:val="21"/>
                <w:szCs w:val="21"/>
              </w:rPr>
              <w:t>漾濞彝族自治县应急管理局</w:t>
            </w:r>
          </w:p>
        </w:tc>
        <w:tc>
          <w:tcPr>
            <w:tcW w:w="71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atLeast"/>
              <w:ind w:firstLine="0" w:firstLineChars="0"/>
              <w:rPr>
                <w:rFonts w:ascii="宋体" w:hAnsi="宋体" w:cs="宋体"/>
                <w:sz w:val="21"/>
                <w:szCs w:val="21"/>
              </w:rPr>
            </w:pPr>
            <w:r>
              <w:rPr>
                <w:rFonts w:hint="eastAsia" w:ascii="宋体" w:hAnsi="宋体" w:cs="宋体"/>
                <w:sz w:val="21"/>
                <w:szCs w:val="21"/>
              </w:rPr>
              <w:t>详见</w:t>
            </w:r>
            <w:r>
              <w:rPr>
                <w:rFonts w:hint="eastAsia"/>
                <w:sz w:val="21"/>
                <w:szCs w:val="21"/>
              </w:rPr>
              <w:t>企业原始资料F</w:t>
            </w:r>
            <w:r>
              <w:rPr>
                <w:rFonts w:hint="eastAsia" w:ascii="宋体" w:hAnsi="宋体" w:cs="宋体"/>
                <w:sz w:val="21"/>
                <w:szCs w:val="21"/>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jc w:val="center"/>
              <w:rPr>
                <w:rFonts w:ascii="宋体" w:hAnsi="宋体" w:cs="宋体"/>
                <w:sz w:val="21"/>
                <w:szCs w:val="21"/>
              </w:rPr>
            </w:pPr>
            <w:r>
              <w:rPr>
                <w:rFonts w:hint="eastAsia" w:ascii="宋体" w:hAnsi="宋体" w:cs="宋体"/>
                <w:sz w:val="21"/>
                <w:szCs w:val="21"/>
              </w:rPr>
              <w:t>6</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安全生产标准化证书</w:t>
            </w:r>
          </w:p>
        </w:tc>
        <w:tc>
          <w:tcPr>
            <w:tcW w:w="1374"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olor w:val="auto"/>
                <w:sz w:val="21"/>
                <w:szCs w:val="21"/>
              </w:rPr>
            </w:pPr>
            <w:r>
              <w:rPr>
                <w:rFonts w:hint="eastAsia" w:ascii="宋体" w:hAnsi="宋体"/>
                <w:color w:val="auto"/>
                <w:sz w:val="21"/>
                <w:szCs w:val="21"/>
              </w:rPr>
              <w:t>安全生产标准化三级企业（危险化学品）</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olor w:val="auto"/>
                <w:sz w:val="21"/>
                <w:szCs w:val="21"/>
              </w:rPr>
            </w:pPr>
            <w:r>
              <w:rPr>
                <w:rFonts w:hint="eastAsia" w:ascii="宋体" w:hAnsi="宋体"/>
                <w:color w:val="auto"/>
                <w:sz w:val="21"/>
                <w:szCs w:val="21"/>
              </w:rPr>
              <w:t>滇AQBWHⅢ202301464</w:t>
            </w:r>
          </w:p>
        </w:tc>
        <w:tc>
          <w:tcPr>
            <w:tcW w:w="783"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2026年2月13日</w:t>
            </w:r>
          </w:p>
        </w:tc>
        <w:tc>
          <w:tcPr>
            <w:tcW w:w="601" w:type="pct"/>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2235"/>
              </w:tabs>
              <w:autoSpaceDE w:val="0"/>
              <w:autoSpaceDN w:val="0"/>
              <w:spacing w:line="200" w:lineRule="atLeast"/>
              <w:ind w:firstLine="0" w:firstLineChars="0"/>
              <w:rPr>
                <w:rFonts w:ascii="宋体" w:hAnsi="宋体" w:cs="宋体"/>
                <w:sz w:val="21"/>
                <w:szCs w:val="21"/>
              </w:rPr>
            </w:pPr>
            <w:r>
              <w:rPr>
                <w:rFonts w:hint="eastAsia" w:ascii="宋体" w:hAnsi="宋体" w:cs="宋体"/>
                <w:sz w:val="21"/>
                <w:szCs w:val="21"/>
              </w:rPr>
              <w:t>大理白族自治州</w:t>
            </w:r>
            <w:r>
              <w:rPr>
                <w:rFonts w:hint="eastAsia" w:ascii="宋体" w:hAnsi="宋体" w:cs="宋体"/>
                <w:kern w:val="0"/>
                <w:sz w:val="21"/>
                <w:szCs w:val="21"/>
              </w:rPr>
              <w:t>应急管理局</w:t>
            </w:r>
          </w:p>
        </w:tc>
        <w:tc>
          <w:tcPr>
            <w:tcW w:w="71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atLeast"/>
              <w:ind w:firstLine="0" w:firstLineChars="0"/>
              <w:rPr>
                <w:rFonts w:ascii="宋体" w:hAnsi="宋体" w:cs="宋体"/>
                <w:sz w:val="21"/>
                <w:szCs w:val="21"/>
              </w:rPr>
            </w:pPr>
            <w:r>
              <w:rPr>
                <w:rFonts w:hint="eastAsia" w:ascii="宋体" w:hAnsi="宋体" w:cs="宋体"/>
                <w:sz w:val="21"/>
                <w:szCs w:val="21"/>
              </w:rPr>
              <w:t>详见</w:t>
            </w:r>
            <w:r>
              <w:rPr>
                <w:rFonts w:hint="eastAsia"/>
                <w:sz w:val="21"/>
                <w:szCs w:val="21"/>
              </w:rPr>
              <w:t>企业原始资料F</w:t>
            </w:r>
            <w:r>
              <w:rPr>
                <w:rFonts w:hint="eastAsia" w:ascii="宋体" w:hAnsi="宋体" w:cs="宋体"/>
                <w:sz w:val="21"/>
                <w:szCs w:val="21"/>
              </w:rPr>
              <w:t>6.8</w:t>
            </w:r>
          </w:p>
        </w:tc>
      </w:tr>
    </w:tbl>
    <w:p>
      <w:pPr>
        <w:pStyle w:val="16"/>
        <w:ind w:firstLine="560"/>
      </w:pPr>
      <w:bookmarkStart w:id="399" w:name="_Toc23620"/>
      <w:bookmarkStart w:id="400" w:name="_Toc20611"/>
      <w:bookmarkStart w:id="401" w:name="_Toc27708"/>
      <w:bookmarkStart w:id="402" w:name="_Toc7846"/>
      <w:bookmarkStart w:id="403" w:name="_Toc30894"/>
      <w:bookmarkStart w:id="404" w:name="_Toc128056375"/>
      <w:bookmarkStart w:id="405" w:name="_Toc15798"/>
      <w:bookmarkStart w:id="406" w:name="_Toc6336"/>
      <w:bookmarkStart w:id="407" w:name="_Toc62740929"/>
      <w:bookmarkStart w:id="408" w:name="_Toc19050"/>
      <w:bookmarkStart w:id="409" w:name="_Toc29346"/>
      <w:bookmarkStart w:id="410" w:name="_Toc25563"/>
    </w:p>
    <w:p>
      <w:pPr>
        <w:pStyle w:val="3"/>
        <w:keepNext w:val="0"/>
        <w:keepLines w:val="0"/>
        <w:ind w:firstLine="562"/>
        <w:rPr>
          <w:rFonts w:ascii="黑体" w:hAnsi="黑体" w:eastAsia="黑体" w:cs="黑体"/>
          <w:color w:val="000000" w:themeColor="text1"/>
        </w:rPr>
      </w:pPr>
      <w:bookmarkStart w:id="411" w:name="_Toc14787"/>
      <w:bookmarkStart w:id="412" w:name="_Toc7767"/>
      <w:bookmarkStart w:id="413" w:name="_Toc6926"/>
      <w:bookmarkStart w:id="414" w:name="_Toc7851"/>
      <w:bookmarkStart w:id="415" w:name="_Toc2475"/>
      <w:bookmarkStart w:id="416" w:name="_Toc11272"/>
      <w:bookmarkStart w:id="417" w:name="_Toc5385"/>
      <w:bookmarkStart w:id="418" w:name="_Toc15545"/>
      <w:bookmarkStart w:id="419" w:name="_Toc15825"/>
      <w:bookmarkStart w:id="420" w:name="_Toc2497"/>
      <w:bookmarkStart w:id="421" w:name="_Toc30954"/>
      <w:bookmarkStart w:id="422" w:name="_Toc12318"/>
      <w:bookmarkStart w:id="423" w:name="_Toc6825"/>
      <w:bookmarkStart w:id="424" w:name="_Toc12835"/>
      <w:bookmarkStart w:id="425" w:name="_Toc2354"/>
      <w:bookmarkStart w:id="426" w:name="_Toc8034"/>
      <w:bookmarkStart w:id="427" w:name="_Toc17959"/>
      <w:bookmarkStart w:id="428" w:name="_Toc32129"/>
      <w:bookmarkStart w:id="429" w:name="_Toc5580"/>
      <w:bookmarkStart w:id="430" w:name="_Toc146"/>
      <w:bookmarkStart w:id="431" w:name="_Toc12444"/>
      <w:bookmarkStart w:id="432" w:name="_Toc9771"/>
      <w:bookmarkStart w:id="433" w:name="_Toc8535"/>
      <w:bookmarkStart w:id="434" w:name="_Toc10440"/>
      <w:bookmarkStart w:id="435" w:name="_Toc4028"/>
      <w:r>
        <w:rPr>
          <w:rFonts w:hint="eastAsia" w:ascii="黑体" w:hAnsi="黑体" w:eastAsia="黑体" w:cs="黑体"/>
          <w:color w:val="000000" w:themeColor="text1"/>
        </w:rPr>
        <w:t>2.2 地理位置及自然条件</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p>
    <w:p>
      <w:pPr>
        <w:pStyle w:val="4"/>
        <w:keepNext w:val="0"/>
        <w:keepLines w:val="0"/>
        <w:ind w:firstLine="562"/>
      </w:pPr>
      <w:bookmarkStart w:id="436" w:name="_Toc22508"/>
      <w:bookmarkStart w:id="437" w:name="_Toc13409"/>
      <w:bookmarkStart w:id="438" w:name="_Toc21974"/>
      <w:bookmarkStart w:id="439" w:name="_Toc24691"/>
      <w:bookmarkStart w:id="440" w:name="_Toc10001"/>
      <w:bookmarkStart w:id="441" w:name="_Toc7652"/>
      <w:bookmarkStart w:id="442" w:name="_Toc30479"/>
      <w:bookmarkStart w:id="443" w:name="_Toc27363"/>
      <w:bookmarkStart w:id="444" w:name="_Toc30501"/>
      <w:bookmarkStart w:id="445" w:name="_Toc23657"/>
      <w:bookmarkStart w:id="446" w:name="_Toc13337"/>
      <w:bookmarkStart w:id="447" w:name="_Toc20959"/>
      <w:bookmarkStart w:id="448" w:name="_Toc10209"/>
      <w:bookmarkStart w:id="449" w:name="_Toc31340"/>
      <w:bookmarkStart w:id="450" w:name="_Toc1201"/>
      <w:bookmarkStart w:id="451" w:name="_Toc14163"/>
      <w:bookmarkStart w:id="452" w:name="_Toc128056376"/>
      <w:bookmarkStart w:id="453" w:name="_Toc8633"/>
      <w:bookmarkStart w:id="454" w:name="_Toc24570"/>
      <w:bookmarkStart w:id="455" w:name="_Toc10750"/>
      <w:bookmarkStart w:id="456" w:name="_Toc31387"/>
      <w:bookmarkStart w:id="457" w:name="_Toc24311"/>
      <w:bookmarkStart w:id="458" w:name="_Toc12832"/>
      <w:bookmarkStart w:id="459" w:name="_Toc29549"/>
      <w:bookmarkStart w:id="460" w:name="_Toc7383"/>
      <w:bookmarkStart w:id="461" w:name="_Toc16970"/>
      <w:r>
        <w:t>2.</w:t>
      </w:r>
      <w:r>
        <w:rPr>
          <w:rFonts w:hint="eastAsia"/>
        </w:rPr>
        <w:t>2</w:t>
      </w:r>
      <w:r>
        <w:t>.1</w:t>
      </w:r>
      <w:r>
        <w:rPr>
          <w:rFonts w:hint="eastAsia"/>
        </w:rPr>
        <w:t xml:space="preserve"> </w:t>
      </w:r>
      <w:r>
        <w:t>地理位置</w:t>
      </w:r>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p>
    <w:p>
      <w:pPr>
        <w:ind w:firstLine="560"/>
        <w:rPr>
          <w:color w:val="000000" w:themeColor="text1"/>
          <w:szCs w:val="28"/>
          <w:u w:color="000000"/>
        </w:rPr>
      </w:pPr>
      <w:r>
        <w:rPr>
          <w:rFonts w:hint="eastAsia" w:ascii="宋体" w:hAnsi="宋体"/>
          <w:color w:val="auto"/>
        </w:rPr>
        <w:t>跃进化工厂址所属行政区是漾濞彝族自治县顺濞镇顺濞村委会，位于顺濞村委会的大利市村东南约328m，处于顺濞河北岸，G320国道南侧，与杭瑞高速（G56）公路隔河相望。地理坐标：东经99°5410.79″~99°5425.2"，北纬25°2851.6″~25°2837.19″</w:t>
      </w:r>
      <w:r>
        <w:rPr>
          <w:rFonts w:hint="eastAsia" w:ascii="宋体" w:hAnsi="宋体"/>
          <w:color w:val="000000" w:themeColor="text1"/>
          <w:szCs w:val="28"/>
        </w:rPr>
        <w:t>。</w:t>
      </w:r>
      <w:r>
        <w:rPr>
          <w:rFonts w:hint="eastAsia"/>
          <w:color w:val="000000" w:themeColor="text1"/>
        </w:rPr>
        <w:t>所在地地理位置示意图详见图2.2-1。</w:t>
      </w:r>
    </w:p>
    <w:p>
      <w:pPr>
        <w:ind w:firstLine="0" w:firstLineChars="0"/>
        <w:jc w:val="center"/>
        <w:rPr>
          <w:color w:val="000000" w:themeColor="text1"/>
        </w:rPr>
      </w:pPr>
      <w:r>
        <w:rPr>
          <w:rFonts w:hint="eastAsia"/>
          <w:color w:val="000000" w:themeColor="text1"/>
        </w:rPr>
        <w:drawing>
          <wp:inline distT="0" distB="0" distL="114300" distR="114300">
            <wp:extent cx="4483735" cy="2701925"/>
            <wp:effectExtent l="0" t="0" r="12065" b="3175"/>
            <wp:docPr id="3" name="图片 3" descr="1709686793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9686793940"/>
                    <pic:cNvPicPr>
                      <a:picLocks noChangeAspect="1"/>
                    </pic:cNvPicPr>
                  </pic:nvPicPr>
                  <pic:blipFill>
                    <a:blip r:embed="rId29" cstate="print"/>
                    <a:stretch>
                      <a:fillRect/>
                    </a:stretch>
                  </pic:blipFill>
                  <pic:spPr>
                    <a:xfrm>
                      <a:off x="0" y="0"/>
                      <a:ext cx="4483735" cy="2701925"/>
                    </a:xfrm>
                    <a:prstGeom prst="rect">
                      <a:avLst/>
                    </a:prstGeom>
                  </pic:spPr>
                </pic:pic>
              </a:graphicData>
            </a:graphic>
          </wp:inline>
        </w:drawing>
      </w:r>
    </w:p>
    <w:p>
      <w:pPr>
        <w:topLinePunct/>
        <w:ind w:firstLine="0" w:firstLineChars="0"/>
        <w:jc w:val="center"/>
        <w:rPr>
          <w:rFonts w:ascii="宋体" w:hAnsi="宋体"/>
          <w:b/>
          <w:bCs/>
          <w:color w:val="000000" w:themeColor="text1"/>
          <w:sz w:val="24"/>
        </w:rPr>
      </w:pPr>
      <w:r>
        <w:rPr>
          <w:rFonts w:hint="eastAsia" w:ascii="宋体" w:hAnsi="宋体"/>
          <w:b/>
          <w:bCs/>
          <w:color w:val="000000" w:themeColor="text1"/>
          <w:sz w:val="24"/>
        </w:rPr>
        <w:t>图</w:t>
      </w:r>
      <w:r>
        <w:rPr>
          <w:rFonts w:ascii="宋体" w:hAnsi="宋体"/>
          <w:b/>
          <w:bCs/>
          <w:color w:val="000000" w:themeColor="text1"/>
          <w:sz w:val="24"/>
        </w:rPr>
        <w:t>2.</w:t>
      </w:r>
      <w:r>
        <w:rPr>
          <w:rFonts w:hint="eastAsia" w:ascii="宋体" w:hAnsi="宋体"/>
          <w:b/>
          <w:bCs/>
          <w:color w:val="000000" w:themeColor="text1"/>
          <w:sz w:val="24"/>
        </w:rPr>
        <w:t>2-1 地理位置示意图</w:t>
      </w:r>
    </w:p>
    <w:p>
      <w:pPr>
        <w:pStyle w:val="4"/>
        <w:ind w:firstLine="562"/>
      </w:pPr>
      <w:bookmarkStart w:id="462" w:name="_Toc21565"/>
      <w:bookmarkStart w:id="463" w:name="_Toc10821"/>
      <w:bookmarkStart w:id="464" w:name="_Toc32144"/>
      <w:bookmarkStart w:id="465" w:name="_Toc19894"/>
      <w:bookmarkStart w:id="466" w:name="_Toc10052"/>
      <w:bookmarkStart w:id="467" w:name="_Toc128056377"/>
      <w:bookmarkStart w:id="468" w:name="_Toc9889"/>
      <w:bookmarkStart w:id="469" w:name="_Toc11818"/>
      <w:bookmarkStart w:id="470" w:name="_Toc1189"/>
      <w:bookmarkStart w:id="471" w:name="_Toc25328"/>
      <w:bookmarkStart w:id="472" w:name="_Toc18316"/>
      <w:bookmarkStart w:id="473" w:name="_Toc10838"/>
      <w:bookmarkStart w:id="474" w:name="_Toc17958"/>
      <w:bookmarkStart w:id="475" w:name="_Toc12063"/>
      <w:bookmarkStart w:id="476" w:name="_Toc16914"/>
      <w:bookmarkStart w:id="477" w:name="_Toc16367"/>
      <w:bookmarkStart w:id="478" w:name="_Toc26268"/>
      <w:bookmarkStart w:id="479" w:name="_Toc3997"/>
      <w:bookmarkStart w:id="480" w:name="_Toc11271"/>
      <w:bookmarkStart w:id="481" w:name="_Toc25882"/>
      <w:bookmarkStart w:id="482" w:name="_Toc17880"/>
      <w:bookmarkStart w:id="483" w:name="_Toc29690"/>
      <w:bookmarkStart w:id="484" w:name="_Toc20491"/>
      <w:bookmarkStart w:id="485" w:name="_Toc16575"/>
      <w:bookmarkStart w:id="486" w:name="_Toc25759"/>
      <w:bookmarkStart w:id="487" w:name="_Toc26795"/>
      <w:r>
        <w:t>2.</w:t>
      </w:r>
      <w:r>
        <w:rPr>
          <w:rFonts w:hint="eastAsia"/>
        </w:rPr>
        <w:t>2</w:t>
      </w:r>
      <w:r>
        <w:t>.2</w:t>
      </w:r>
      <w:r>
        <w:rPr>
          <w:rFonts w:hint="eastAsia"/>
        </w:rPr>
        <w:t xml:space="preserve"> 自然条件</w:t>
      </w:r>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p>
    <w:p>
      <w:pPr>
        <w:topLinePunct/>
        <w:ind w:firstLine="560"/>
        <w:rPr>
          <w:rFonts w:ascii="宋体" w:hAnsi="宋体"/>
          <w:color w:val="auto"/>
        </w:rPr>
      </w:pPr>
      <w:bookmarkStart w:id="488" w:name="_Toc29518"/>
      <w:bookmarkStart w:id="489" w:name="_Toc6592"/>
      <w:bookmarkStart w:id="490" w:name="_Toc26490"/>
      <w:bookmarkStart w:id="491" w:name="_Toc29805"/>
      <w:bookmarkStart w:id="492" w:name="_Toc11763"/>
      <w:bookmarkStart w:id="493" w:name="_Toc18921"/>
      <w:bookmarkStart w:id="494" w:name="_Toc31124"/>
      <w:bookmarkStart w:id="495" w:name="_Toc19899"/>
      <w:bookmarkStart w:id="496" w:name="_Toc13296"/>
      <w:bookmarkStart w:id="497" w:name="_Toc29085"/>
      <w:bookmarkStart w:id="498" w:name="_Toc15699"/>
      <w:bookmarkStart w:id="499" w:name="_Toc15706"/>
      <w:bookmarkStart w:id="500" w:name="_Toc1993"/>
      <w:bookmarkStart w:id="501" w:name="_Toc32643"/>
      <w:bookmarkStart w:id="502" w:name="_Toc128056379"/>
      <w:bookmarkStart w:id="503" w:name="_Toc547"/>
      <w:bookmarkStart w:id="504" w:name="_Toc11385"/>
      <w:bookmarkStart w:id="505" w:name="_Toc62740930"/>
      <w:bookmarkStart w:id="506" w:name="_Toc9111"/>
      <w:bookmarkStart w:id="507" w:name="_Toc11889"/>
      <w:bookmarkStart w:id="508" w:name="_Toc18591"/>
      <w:bookmarkStart w:id="509" w:name="_Toc23933"/>
      <w:r>
        <w:rPr>
          <w:rFonts w:hint="eastAsia" w:ascii="宋体" w:hAnsi="宋体"/>
          <w:color w:val="auto"/>
        </w:rPr>
        <w:t>（1）气象条件</w:t>
      </w:r>
    </w:p>
    <w:p>
      <w:pPr>
        <w:topLinePunct/>
        <w:ind w:firstLine="560"/>
        <w:rPr>
          <w:rFonts w:ascii="宋体" w:hAnsi="宋体"/>
          <w:color w:val="auto"/>
        </w:rPr>
      </w:pPr>
      <w:r>
        <w:rPr>
          <w:rFonts w:hint="eastAsia" w:ascii="宋体" w:hAnsi="宋体"/>
          <w:color w:val="auto"/>
          <w:kern w:val="0"/>
          <w:szCs w:val="28"/>
          <w:u w:color="000000"/>
        </w:rPr>
        <w:t>漾濞彝族自治县属亚热带山地季风气候，境内气候的主要特点是干湿分明，垂直差异大，水平差异小，冬无严寒、夏无酷暑、昼夜温差大。具有“一山分四季，隔里不同天”的立体气候特征。据漾濞彝族自治县气象站的统计，多年平均气温16.1℃，最高月平均温度21.4℃，最低月平均气温8.6℃：年平均降水量1103.2mm，平均径流深410.2m；相对湿度平均为70%，最多风向为西南风，最大风速18m/s，多年平均风速27m/</w:t>
      </w:r>
      <w:r>
        <w:rPr>
          <w:rFonts w:ascii="宋体" w:hAnsi="宋体"/>
          <w:color w:val="auto"/>
          <w:kern w:val="0"/>
          <w:szCs w:val="28"/>
          <w:u w:color="000000"/>
        </w:rPr>
        <w:t>s</w:t>
      </w:r>
      <w:r>
        <w:rPr>
          <w:rFonts w:hint="eastAsia" w:ascii="宋体" w:hAnsi="宋体"/>
          <w:color w:val="auto"/>
          <w:kern w:val="0"/>
          <w:szCs w:val="28"/>
          <w:u w:color="000000"/>
        </w:rPr>
        <w:t>。</w:t>
      </w:r>
    </w:p>
    <w:p>
      <w:pPr>
        <w:topLinePunct/>
        <w:ind w:firstLine="560"/>
        <w:rPr>
          <w:rFonts w:ascii="宋体" w:hAnsi="宋体"/>
          <w:color w:val="auto"/>
        </w:rPr>
      </w:pPr>
      <w:r>
        <w:rPr>
          <w:rFonts w:hint="eastAsia" w:ascii="宋体" w:hAnsi="宋体"/>
          <w:color w:val="auto"/>
        </w:rPr>
        <w:t>（2）水文条件</w:t>
      </w:r>
    </w:p>
    <w:p>
      <w:pPr>
        <w:topLinePunct/>
        <w:ind w:firstLine="560"/>
        <w:rPr>
          <w:rFonts w:ascii="宋体" w:hAnsi="宋体"/>
          <w:color w:val="auto"/>
        </w:rPr>
      </w:pPr>
      <w:r>
        <w:rPr>
          <w:rFonts w:hint="eastAsia" w:ascii="宋体" w:hAnsi="宋体"/>
          <w:color w:val="auto"/>
        </w:rPr>
        <w:t>厂址位于顺</w:t>
      </w:r>
      <w:r>
        <w:rPr>
          <w:rFonts w:hint="eastAsia" w:ascii="宋体" w:hAnsi="宋体"/>
          <w:color w:val="auto"/>
          <w:kern w:val="0"/>
          <w:szCs w:val="28"/>
          <w:u w:color="000000"/>
        </w:rPr>
        <w:t>濞</w:t>
      </w:r>
      <w:r>
        <w:rPr>
          <w:rFonts w:hint="eastAsia" w:ascii="宋体" w:hAnsi="宋体"/>
          <w:color w:val="auto"/>
        </w:rPr>
        <w:t>河下段。干流顺濞河发源于云龙县关坪乡（云龙段称为里河），流经云龙、永平、漾濞三县，全长128km。流经县内富恒、太平、龙潭、顺濞四个乡镇，县内长74km，河道平均坡度0.54%。于顺濞镇哈腊左汇入漾濞江，属澜沧江水系。</w:t>
      </w:r>
    </w:p>
    <w:p>
      <w:pPr>
        <w:topLinePunct/>
        <w:ind w:firstLine="560"/>
        <w:rPr>
          <w:rFonts w:ascii="宋体" w:hAnsi="宋体"/>
          <w:color w:val="auto"/>
        </w:rPr>
      </w:pPr>
      <w:r>
        <w:rPr>
          <w:rFonts w:hint="eastAsia" w:ascii="宋体" w:hAnsi="宋体"/>
          <w:color w:val="auto"/>
        </w:rPr>
        <w:t>流域总汇水面积1490km</w:t>
      </w:r>
      <w:r>
        <w:rPr>
          <w:rFonts w:ascii="宋体" w:hAnsi="宋体"/>
          <w:color w:val="auto"/>
          <w:vertAlign w:val="superscript"/>
        </w:rPr>
        <w:t>3</w:t>
      </w:r>
      <w:r>
        <w:rPr>
          <w:rFonts w:hint="eastAsia" w:ascii="宋体" w:hAnsi="宋体"/>
          <w:color w:val="auto"/>
        </w:rPr>
        <w:t>，沿途有35条溪流汇入，水量随季节变化，季节性较强，枯水期最小流量2.72m</w:t>
      </w:r>
      <w:r>
        <w:rPr>
          <w:rFonts w:ascii="宋体" w:hAnsi="宋体"/>
          <w:color w:val="auto"/>
          <w:vertAlign w:val="superscript"/>
        </w:rPr>
        <w:t>3</w:t>
      </w:r>
      <w:r>
        <w:rPr>
          <w:rFonts w:hint="eastAsia" w:ascii="宋体" w:hAnsi="宋体"/>
          <w:color w:val="auto"/>
        </w:rPr>
        <w:t>/s，丰水期最大流量则达700m</w:t>
      </w:r>
      <w:r>
        <w:rPr>
          <w:rFonts w:ascii="宋体" w:hAnsi="宋体"/>
          <w:color w:val="auto"/>
          <w:vertAlign w:val="superscript"/>
        </w:rPr>
        <w:t>3</w:t>
      </w:r>
      <w:r>
        <w:rPr>
          <w:rFonts w:hint="eastAsia" w:ascii="宋体" w:hAnsi="宋体"/>
          <w:color w:val="auto"/>
        </w:rPr>
        <w:t>/s以上。厂址旁的顺濞河段宽度约3</w:t>
      </w:r>
      <w:r>
        <w:rPr>
          <w:rFonts w:ascii="宋体" w:hAnsi="宋体"/>
          <w:color w:val="auto"/>
        </w:rPr>
        <w:t>0</w:t>
      </w:r>
      <w:r>
        <w:rPr>
          <w:rFonts w:hint="eastAsia" w:ascii="宋体" w:hAnsi="宋体"/>
          <w:color w:val="auto"/>
        </w:rPr>
        <w:t>m，地基高于河床2m。</w:t>
      </w:r>
    </w:p>
    <w:p>
      <w:pPr>
        <w:topLinePunct/>
        <w:ind w:firstLine="560"/>
        <w:rPr>
          <w:rFonts w:ascii="宋体" w:hAnsi="宋体"/>
          <w:color w:val="auto"/>
        </w:rPr>
      </w:pPr>
      <w:r>
        <w:rPr>
          <w:rFonts w:hint="eastAsia" w:ascii="宋体" w:hAnsi="宋体"/>
          <w:color w:val="auto"/>
        </w:rPr>
        <w:t>（3）地质条件</w:t>
      </w:r>
    </w:p>
    <w:p>
      <w:pPr>
        <w:topLinePunct/>
        <w:ind w:firstLine="536"/>
        <w:rPr>
          <w:rFonts w:ascii="宋体" w:hAnsi="宋体"/>
          <w:color w:val="auto"/>
        </w:rPr>
      </w:pPr>
      <w:r>
        <w:rPr>
          <w:rFonts w:hint="eastAsia" w:ascii="宋体" w:hAnsi="宋体"/>
          <w:color w:val="auto"/>
          <w:spacing w:val="-6"/>
        </w:rPr>
        <w:t>工程区地质构造上位于青藏、酒细、印尼巨型“歹”字型构造体系东支中段，金盏大断裂带的两侧，属云龙-太平铺北北西向构造带的东部边缘与苍山北北西向构造带衔接部位，区内断裂发育，纵横交错，以北西向断裂为主，东西向断裂与之截接。紫阳河顺河断层，东西向，属压扭，在断层的切割影响下，褶皱形态遭到一定的破坏，其岩石节理裂隙较发育，局部呈碎裂状。</w:t>
      </w:r>
    </w:p>
    <w:p>
      <w:pPr>
        <w:topLinePunct/>
        <w:ind w:firstLine="560"/>
        <w:rPr>
          <w:rFonts w:ascii="宋体" w:hAnsi="宋体"/>
          <w:color w:val="auto"/>
        </w:rPr>
      </w:pPr>
      <w:r>
        <w:rPr>
          <w:rFonts w:hint="eastAsia" w:ascii="宋体" w:hAnsi="宋体"/>
          <w:color w:val="auto"/>
        </w:rPr>
        <w:t>主要建筑物区域内不良物理地质现象不存在，无构造形迹和大的不良物理现象，山坡相对完整，植被发育，且处稳定状态，基本上对工程无影响，厂区地处横断山脉高山狭谷区，山高坡陡，地形切割较大，为深切割侵蚀堆积地貌。该区坡陡谷深，灌木丛生，植被茂密。地势南北高，中部低，属中水宽谷地形。</w:t>
      </w:r>
    </w:p>
    <w:p>
      <w:pPr>
        <w:topLinePunct/>
        <w:ind w:firstLine="560"/>
        <w:rPr>
          <w:rFonts w:ascii="宋体" w:hAnsi="宋体"/>
          <w:color w:val="auto"/>
        </w:rPr>
      </w:pPr>
      <w:r>
        <w:rPr>
          <w:rFonts w:hint="eastAsia" w:ascii="宋体" w:hAnsi="宋体"/>
          <w:color w:val="auto"/>
        </w:rPr>
        <w:t>厂区海拔</w:t>
      </w:r>
      <w:r>
        <w:rPr>
          <w:rFonts w:ascii="宋体" w:hAnsi="宋体"/>
          <w:color w:val="auto"/>
        </w:rPr>
        <w:t>1356</w:t>
      </w:r>
      <w:r>
        <w:rPr>
          <w:rFonts w:hint="eastAsia" w:ascii="宋体" w:hAnsi="宋体"/>
          <w:color w:val="auto"/>
        </w:rPr>
        <w:t>m左右，厂内地形西高东低，高差约5m，东面较高为办公区，办公区与生产区分离。经过现场踏勘，厂区内未发现地面塌陷、开裂、滑坡、泥石流等地灾现象，初步判断，工程地质较好。</w:t>
      </w:r>
    </w:p>
    <w:p>
      <w:pPr>
        <w:topLinePunct/>
        <w:ind w:firstLine="560"/>
        <w:rPr>
          <w:rFonts w:ascii="宋体" w:hAnsi="宋体"/>
          <w:color w:val="auto"/>
        </w:rPr>
      </w:pPr>
      <w:r>
        <w:rPr>
          <w:rFonts w:hint="eastAsia" w:ascii="宋体" w:hAnsi="宋体"/>
          <w:color w:val="auto"/>
        </w:rPr>
        <w:t>根据《建筑抗震设计规范》（GB50011-2010 （2016年版）），附录A，漾濞彝族自治县抗震设防烈度为8度，设计基改建地震加速度值为0.</w:t>
      </w:r>
      <w:r>
        <w:rPr>
          <w:rFonts w:ascii="宋体" w:hAnsi="宋体"/>
          <w:color w:val="auto"/>
        </w:rPr>
        <w:t>2</w:t>
      </w:r>
      <w:r>
        <w:rPr>
          <w:rFonts w:hint="eastAsia" w:ascii="宋体" w:hAnsi="宋体"/>
          <w:color w:val="auto"/>
        </w:rPr>
        <w:t>0g，设计分组第三组。</w:t>
      </w:r>
    </w:p>
    <w:bookmarkEnd w:id="488"/>
    <w:p>
      <w:pPr>
        <w:pStyle w:val="3"/>
        <w:keepNext w:val="0"/>
        <w:keepLines w:val="0"/>
        <w:ind w:firstLine="562"/>
        <w:rPr>
          <w:rFonts w:ascii="黑体" w:hAnsi="黑体" w:eastAsia="黑体" w:cs="黑体"/>
          <w:color w:val="000000" w:themeColor="text1"/>
        </w:rPr>
      </w:pPr>
      <w:bookmarkStart w:id="510" w:name="_Toc15205"/>
      <w:bookmarkStart w:id="511" w:name="_Toc21936"/>
      <w:bookmarkStart w:id="512" w:name="_Toc22709"/>
      <w:bookmarkStart w:id="513" w:name="_Toc20745"/>
      <w:bookmarkStart w:id="514" w:name="_Toc28797"/>
      <w:bookmarkStart w:id="515" w:name="_Toc2326"/>
      <w:bookmarkStart w:id="516" w:name="_Toc3493"/>
      <w:bookmarkStart w:id="517" w:name="_Toc23631"/>
      <w:bookmarkStart w:id="518" w:name="_Toc3752"/>
      <w:bookmarkStart w:id="519" w:name="_Toc10453"/>
      <w:bookmarkStart w:id="520" w:name="_Toc7903"/>
      <w:bookmarkStart w:id="521" w:name="_Toc21552"/>
      <w:bookmarkStart w:id="522" w:name="_Toc14854"/>
      <w:bookmarkStart w:id="523" w:name="_Toc26070"/>
      <w:bookmarkStart w:id="524" w:name="_Toc30440"/>
      <w:bookmarkStart w:id="525" w:name="_Toc3129"/>
      <w:r>
        <w:rPr>
          <w:rFonts w:hint="eastAsia" w:ascii="黑体" w:hAnsi="黑体" w:eastAsia="黑体" w:cs="黑体"/>
          <w:color w:val="000000" w:themeColor="text1"/>
        </w:rPr>
        <w:t>2.3 周边环境及总平面布置</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pStyle w:val="4"/>
        <w:keepNext w:val="0"/>
        <w:keepLines w:val="0"/>
        <w:ind w:firstLine="562"/>
        <w:rPr>
          <w:color w:val="auto"/>
        </w:rPr>
      </w:pPr>
      <w:bookmarkStart w:id="526" w:name="_Toc27494"/>
      <w:bookmarkStart w:id="527" w:name="_Toc2077"/>
      <w:bookmarkStart w:id="528" w:name="_Toc14257"/>
      <w:bookmarkStart w:id="529" w:name="_Toc29067"/>
      <w:bookmarkStart w:id="530" w:name="_Toc4504"/>
      <w:bookmarkStart w:id="531" w:name="_Toc128056380"/>
      <w:bookmarkStart w:id="532" w:name="_Toc17978"/>
      <w:bookmarkStart w:id="533" w:name="_Toc18903"/>
      <w:bookmarkStart w:id="534" w:name="_Toc21367"/>
      <w:bookmarkStart w:id="535" w:name="_Toc5076"/>
      <w:bookmarkStart w:id="536" w:name="_Toc24322"/>
      <w:bookmarkStart w:id="537" w:name="_Toc13760"/>
      <w:bookmarkStart w:id="538" w:name="_Toc16371"/>
      <w:bookmarkStart w:id="539" w:name="_Toc2373"/>
      <w:bookmarkStart w:id="540" w:name="_Toc59"/>
      <w:bookmarkStart w:id="541" w:name="_Toc18140"/>
      <w:bookmarkStart w:id="542" w:name="_Toc28102"/>
      <w:bookmarkStart w:id="543" w:name="_Toc22637"/>
      <w:bookmarkStart w:id="544" w:name="_Toc8925"/>
      <w:bookmarkStart w:id="545" w:name="_Toc8057"/>
      <w:bookmarkStart w:id="546" w:name="_Toc22112"/>
      <w:bookmarkStart w:id="547" w:name="_Toc14428"/>
      <w:bookmarkStart w:id="548" w:name="_Toc25448"/>
      <w:bookmarkStart w:id="549" w:name="_Toc7218"/>
      <w:bookmarkStart w:id="550" w:name="_Toc5325"/>
      <w:bookmarkStart w:id="551" w:name="_Toc1948"/>
      <w:r>
        <w:t>2.</w:t>
      </w:r>
      <w:r>
        <w:rPr>
          <w:rFonts w:hint="eastAsia"/>
        </w:rPr>
        <w:t>3</w:t>
      </w:r>
      <w:r>
        <w:t>.1</w:t>
      </w:r>
      <w:r>
        <w:rPr>
          <w:rFonts w:hint="eastAsia"/>
        </w:rPr>
        <w:t xml:space="preserve"> </w:t>
      </w:r>
      <w:bookmarkEnd w:id="526"/>
      <w:bookmarkEnd w:id="527"/>
      <w:bookmarkEnd w:id="528"/>
      <w:bookmarkEnd w:id="529"/>
      <w:bookmarkEnd w:id="530"/>
      <w:bookmarkEnd w:id="531"/>
      <w:bookmarkEnd w:id="532"/>
      <w:bookmarkEnd w:id="533"/>
      <w:bookmarkEnd w:id="534"/>
      <w:bookmarkEnd w:id="535"/>
      <w:bookmarkStart w:id="552" w:name="_Toc9310"/>
      <w:bookmarkStart w:id="553" w:name="_Toc20815"/>
      <w:bookmarkStart w:id="554" w:name="_Toc23229"/>
      <w:bookmarkStart w:id="555" w:name="_Toc6094"/>
      <w:bookmarkStart w:id="556" w:name="_Toc16949"/>
      <w:bookmarkStart w:id="557" w:name="_Toc16366"/>
      <w:bookmarkStart w:id="558" w:name="_Toc4922"/>
      <w:bookmarkStart w:id="559" w:name="_Toc128056381"/>
      <w:bookmarkStart w:id="560" w:name="_Toc24307"/>
      <w:bookmarkStart w:id="561" w:name="_Toc11585"/>
      <w:r>
        <w:rPr>
          <w:rFonts w:hint="eastAsia"/>
          <w:color w:val="auto"/>
        </w:rPr>
        <w:t>周边环境</w:t>
      </w:r>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p>
    <w:p>
      <w:pPr>
        <w:widowControl/>
        <w:topLinePunct/>
        <w:ind w:firstLine="560"/>
        <w:textAlignment w:val="baseline"/>
        <w:rPr>
          <w:rFonts w:ascii="宋体" w:hAnsi="宋体"/>
          <w:color w:val="auto"/>
          <w:szCs w:val="28"/>
          <w:u w:color="000000"/>
        </w:rPr>
      </w:pPr>
      <w:r>
        <w:rPr>
          <w:rFonts w:hint="eastAsia" w:ascii="宋体" w:hAnsi="宋体"/>
          <w:color w:val="auto"/>
          <w:szCs w:val="28"/>
          <w:u w:color="000000"/>
        </w:rPr>
        <w:t>厂址土地属顺濞村第五小组出让的37788m</w:t>
      </w:r>
      <w:r>
        <w:rPr>
          <w:rFonts w:hint="eastAsia" w:ascii="宋体" w:hAnsi="宋体"/>
          <w:color w:val="auto"/>
          <w:szCs w:val="28"/>
          <w:u w:color="000000"/>
          <w:vertAlign w:val="superscript"/>
        </w:rPr>
        <w:t>2</w:t>
      </w:r>
      <w:r>
        <w:rPr>
          <w:rFonts w:hint="eastAsia" w:ascii="宋体" w:hAnsi="宋体"/>
          <w:color w:val="auto"/>
          <w:szCs w:val="28"/>
          <w:u w:color="000000"/>
        </w:rPr>
        <w:t>工业用地，工厂设备设施沿顺濞河北岸河谷东北西南向布置，地基高于河床2m。</w:t>
      </w:r>
    </w:p>
    <w:p>
      <w:pPr>
        <w:pStyle w:val="11"/>
        <w:ind w:firstLine="560"/>
        <w:rPr>
          <w:rFonts w:ascii="宋体" w:hAnsi="宋体"/>
          <w:color w:val="auto"/>
          <w:szCs w:val="28"/>
          <w:u w:color="000000"/>
        </w:rPr>
      </w:pPr>
      <w:r>
        <w:rPr>
          <w:rFonts w:hint="eastAsia" w:ascii="宋体" w:hAnsi="宋体"/>
          <w:color w:val="auto"/>
          <w:szCs w:val="28"/>
          <w:u w:color="000000"/>
        </w:rPr>
        <w:t>北面：厂区紧邻国道320，国道320北面为山地，130</w:t>
      </w:r>
      <w:r>
        <w:rPr>
          <w:rFonts w:hint="eastAsia"/>
        </w:rPr>
        <w:t>米半山有</w:t>
      </w:r>
      <w:r>
        <w:rPr>
          <w:rFonts w:hint="eastAsia" w:ascii="宋体" w:hAnsi="宋体"/>
          <w:color w:val="auto"/>
          <w:szCs w:val="28"/>
          <w:u w:color="000000"/>
        </w:rPr>
        <w:t>2户民居</w:t>
      </w:r>
      <w:r>
        <w:rPr>
          <w:rFonts w:hint="eastAsia"/>
          <w:color w:val="auto"/>
          <w:szCs w:val="28"/>
          <w:u w:color="000000"/>
        </w:rPr>
        <w:t>。</w:t>
      </w:r>
    </w:p>
    <w:p>
      <w:pPr>
        <w:widowControl/>
        <w:topLinePunct/>
        <w:ind w:firstLine="560"/>
        <w:textAlignment w:val="baseline"/>
        <w:rPr>
          <w:rFonts w:ascii="宋体" w:hAnsi="宋体"/>
          <w:color w:val="auto"/>
          <w:szCs w:val="28"/>
          <w:u w:color="000000"/>
        </w:rPr>
      </w:pPr>
      <w:r>
        <w:rPr>
          <w:rFonts w:hint="eastAsia" w:ascii="宋体" w:hAnsi="宋体"/>
          <w:color w:val="auto"/>
          <w:szCs w:val="28"/>
          <w:u w:color="000000"/>
        </w:rPr>
        <w:t>南面：紧邻顺濞河，60米处为杭瑞高速公路及山林。</w:t>
      </w:r>
    </w:p>
    <w:p>
      <w:pPr>
        <w:widowControl/>
        <w:topLinePunct/>
        <w:ind w:firstLine="560"/>
        <w:textAlignment w:val="baseline"/>
        <w:rPr>
          <w:rFonts w:ascii="宋体" w:hAnsi="宋体"/>
          <w:color w:val="auto"/>
          <w:szCs w:val="28"/>
          <w:u w:color="000000"/>
        </w:rPr>
      </w:pPr>
      <w:r>
        <w:rPr>
          <w:rFonts w:hint="eastAsia" w:ascii="宋体" w:hAnsi="宋体"/>
          <w:color w:val="auto"/>
          <w:szCs w:val="28"/>
          <w:u w:color="000000"/>
        </w:rPr>
        <w:t>西面：为空地。西南面328</w:t>
      </w:r>
      <w:r>
        <w:rPr>
          <w:rFonts w:hint="eastAsia"/>
        </w:rPr>
        <w:t>米有一民房。</w:t>
      </w:r>
    </w:p>
    <w:p>
      <w:pPr>
        <w:pStyle w:val="11"/>
        <w:ind w:firstLine="560"/>
        <w:rPr>
          <w:rFonts w:ascii="宋体" w:hAnsi="宋体"/>
          <w:color w:val="auto"/>
          <w:szCs w:val="28"/>
          <w:u w:color="000000"/>
        </w:rPr>
      </w:pPr>
      <w:r>
        <w:rPr>
          <w:rFonts w:hint="eastAsia" w:ascii="宋体" w:hAnsi="宋体"/>
          <w:color w:val="auto"/>
          <w:szCs w:val="28"/>
          <w:u w:color="000000"/>
        </w:rPr>
        <w:t>东面：</w:t>
      </w:r>
      <w:r>
        <w:rPr>
          <w:rFonts w:hint="eastAsia"/>
        </w:rPr>
        <w:t>246米处为顺</w:t>
      </w:r>
      <w:r>
        <w:rPr>
          <w:rFonts w:hint="eastAsia" w:ascii="宋体" w:hAnsi="宋体"/>
          <w:color w:val="auto"/>
          <w:szCs w:val="28"/>
          <w:u w:color="000000"/>
        </w:rPr>
        <w:t>濞</w:t>
      </w:r>
      <w:r>
        <w:rPr>
          <w:rFonts w:hint="eastAsia"/>
        </w:rPr>
        <w:t>镇民房。东南面395米有一民房。</w:t>
      </w:r>
    </w:p>
    <w:p>
      <w:pPr>
        <w:widowControl/>
        <w:topLinePunct/>
        <w:ind w:firstLine="560"/>
        <w:textAlignment w:val="baseline"/>
        <w:rPr>
          <w:rFonts w:ascii="宋体" w:hAnsi="宋体"/>
          <w:color w:val="auto"/>
          <w:szCs w:val="28"/>
          <w:u w:color="000000"/>
        </w:rPr>
      </w:pPr>
      <w:r>
        <w:rPr>
          <w:rFonts w:hint="eastAsia" w:ascii="宋体" w:hAnsi="宋体"/>
          <w:color w:val="auto"/>
          <w:szCs w:val="28"/>
          <w:u w:color="000000"/>
        </w:rPr>
        <w:t>常年主导风向西南风，下风向2km内主要是山林，无农作物，上风向2km内均是山林。厂区附近1km内无工矿企业、人口稠密区，无自然保护区、水源保护区、古树名木、国家保护珍稀动植物，无文物保护单位、公共设施、水厂、车站、码头、军事禁区等。周边关系图如下：</w:t>
      </w:r>
    </w:p>
    <w:p>
      <w:pPr>
        <w:pStyle w:val="54"/>
        <w:jc w:val="center"/>
        <w:rPr>
          <w:rFonts w:hint="default"/>
        </w:rPr>
      </w:pPr>
      <w:r>
        <w:rPr>
          <w:rFonts w:hint="default"/>
        </w:rPr>
        <w:drawing>
          <wp:inline distT="0" distB="0" distL="114300" distR="114300">
            <wp:extent cx="3244215" cy="3909695"/>
            <wp:effectExtent l="0" t="0" r="14605" b="13335"/>
            <wp:docPr id="76" name="图片 76" descr="1711593188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1711593188847"/>
                    <pic:cNvPicPr>
                      <a:picLocks noChangeAspect="1"/>
                    </pic:cNvPicPr>
                  </pic:nvPicPr>
                  <pic:blipFill>
                    <a:blip r:embed="rId30" cstate="print"/>
                    <a:stretch>
                      <a:fillRect/>
                    </a:stretch>
                  </pic:blipFill>
                  <pic:spPr>
                    <a:xfrm rot="16200000">
                      <a:off x="0" y="0"/>
                      <a:ext cx="3244215" cy="3909695"/>
                    </a:xfrm>
                    <a:prstGeom prst="rect">
                      <a:avLst/>
                    </a:prstGeom>
                  </pic:spPr>
                </pic:pic>
              </a:graphicData>
            </a:graphic>
          </wp:inline>
        </w:drawing>
      </w:r>
    </w:p>
    <w:p>
      <w:pPr>
        <w:widowControl/>
        <w:topLinePunct/>
        <w:ind w:firstLine="0" w:firstLineChars="0"/>
        <w:jc w:val="center"/>
        <w:textAlignment w:val="baseline"/>
        <w:rPr>
          <w:b/>
          <w:bCs/>
          <w:sz w:val="24"/>
        </w:rPr>
      </w:pPr>
      <w:r>
        <w:rPr>
          <w:rFonts w:hint="eastAsia"/>
          <w:b/>
          <w:bCs/>
          <w:sz w:val="24"/>
        </w:rPr>
        <w:t>图2.3-1 周边关系图</w:t>
      </w:r>
    </w:p>
    <w:p>
      <w:pPr>
        <w:widowControl/>
        <w:topLinePunct/>
        <w:ind w:firstLine="560"/>
        <w:textAlignment w:val="baseline"/>
        <w:rPr>
          <w:rFonts w:ascii="宋体" w:hAnsi="宋体"/>
          <w:color w:val="auto"/>
          <w:szCs w:val="28"/>
          <w:u w:color="000000"/>
        </w:rPr>
      </w:pPr>
      <w:r>
        <w:rPr>
          <w:rFonts w:hint="eastAsia" w:ascii="宋体" w:hAnsi="宋体"/>
          <w:color w:val="auto"/>
          <w:szCs w:val="28"/>
          <w:u w:color="000000"/>
        </w:rPr>
        <w:t>依据《建筑设计防火规范（2018年版）》（GB50016-2014）生产厂房与周边设施安全距离见表2.3-1：</w:t>
      </w:r>
    </w:p>
    <w:p>
      <w:pPr>
        <w:topLinePunct/>
        <w:spacing w:line="346" w:lineRule="auto"/>
        <w:ind w:firstLine="0" w:firstLineChars="0"/>
        <w:jc w:val="center"/>
        <w:rPr>
          <w:rFonts w:ascii="宋体" w:hAnsi="宋体"/>
          <w:b/>
          <w:color w:val="auto"/>
          <w:sz w:val="24"/>
        </w:rPr>
      </w:pPr>
      <w:r>
        <w:rPr>
          <w:rFonts w:ascii="宋体" w:hAnsi="宋体"/>
          <w:b/>
          <w:color w:val="auto"/>
          <w:sz w:val="24"/>
        </w:rPr>
        <w:t>表</w:t>
      </w:r>
      <w:r>
        <w:rPr>
          <w:rFonts w:hint="eastAsia" w:ascii="宋体" w:hAnsi="宋体"/>
          <w:b/>
          <w:color w:val="auto"/>
          <w:sz w:val="24"/>
        </w:rPr>
        <w:t>2.3</w:t>
      </w:r>
      <w:r>
        <w:rPr>
          <w:rFonts w:ascii="宋体" w:hAnsi="宋体"/>
          <w:b/>
          <w:color w:val="auto"/>
          <w:sz w:val="24"/>
        </w:rPr>
        <w:t>-</w:t>
      </w:r>
      <w:r>
        <w:rPr>
          <w:rFonts w:hint="eastAsia" w:ascii="宋体" w:hAnsi="宋体"/>
          <w:b/>
          <w:color w:val="auto"/>
          <w:sz w:val="24"/>
        </w:rPr>
        <w:t xml:space="preserve">1  硫酸装置区与周边设施安全距离表 </w:t>
      </w:r>
    </w:p>
    <w:tbl>
      <w:tblPr>
        <w:tblStyle w:val="3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1568"/>
        <w:gridCol w:w="859"/>
        <w:gridCol w:w="1309"/>
        <w:gridCol w:w="975"/>
        <w:gridCol w:w="850"/>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676"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序号</w:t>
            </w:r>
          </w:p>
        </w:tc>
        <w:tc>
          <w:tcPr>
            <w:tcW w:w="1568"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周边设施</w:t>
            </w:r>
          </w:p>
        </w:tc>
        <w:tc>
          <w:tcPr>
            <w:tcW w:w="859"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方位</w:t>
            </w:r>
          </w:p>
        </w:tc>
        <w:tc>
          <w:tcPr>
            <w:tcW w:w="1309"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规范防火间距/m</w:t>
            </w:r>
          </w:p>
        </w:tc>
        <w:tc>
          <w:tcPr>
            <w:tcW w:w="975"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实测距离/m</w:t>
            </w:r>
          </w:p>
        </w:tc>
        <w:tc>
          <w:tcPr>
            <w:tcW w:w="850"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合规性</w:t>
            </w:r>
          </w:p>
        </w:tc>
        <w:tc>
          <w:tcPr>
            <w:tcW w:w="2835"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6"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1</w:t>
            </w:r>
          </w:p>
        </w:tc>
        <w:tc>
          <w:tcPr>
            <w:tcW w:w="1568"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u w:color="000000"/>
              </w:rPr>
              <w:t>民房</w:t>
            </w:r>
          </w:p>
        </w:tc>
        <w:tc>
          <w:tcPr>
            <w:tcW w:w="859"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东</w:t>
            </w:r>
            <w:r>
              <w:rPr>
                <w:color w:val="auto"/>
                <w:sz w:val="21"/>
                <w:szCs w:val="21"/>
              </w:rPr>
              <w:t>面</w:t>
            </w:r>
          </w:p>
        </w:tc>
        <w:tc>
          <w:tcPr>
            <w:tcW w:w="1309"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2</w:t>
            </w:r>
            <w:r>
              <w:rPr>
                <w:b/>
                <w:bCs/>
                <w:color w:val="auto"/>
                <w:sz w:val="21"/>
                <w:szCs w:val="21"/>
              </w:rPr>
              <w:t>5</w:t>
            </w:r>
          </w:p>
        </w:tc>
        <w:tc>
          <w:tcPr>
            <w:tcW w:w="975" w:type="dxa"/>
            <w:shd w:val="clear" w:color="auto" w:fill="auto"/>
            <w:vAlign w:val="center"/>
          </w:tcPr>
          <w:p>
            <w:pPr>
              <w:tabs>
                <w:tab w:val="left" w:pos="2235"/>
              </w:tabs>
              <w:spacing w:line="240" w:lineRule="auto"/>
              <w:ind w:firstLine="0" w:firstLineChars="0"/>
              <w:jc w:val="center"/>
              <w:rPr>
                <w:color w:val="auto"/>
                <w:sz w:val="21"/>
                <w:szCs w:val="21"/>
              </w:rPr>
            </w:pPr>
            <w:r>
              <w:rPr>
                <w:color w:val="auto"/>
                <w:sz w:val="21"/>
                <w:szCs w:val="21"/>
              </w:rPr>
              <w:t>246</w:t>
            </w:r>
          </w:p>
        </w:tc>
        <w:tc>
          <w:tcPr>
            <w:tcW w:w="8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符合</w:t>
            </w:r>
          </w:p>
        </w:tc>
        <w:tc>
          <w:tcPr>
            <w:tcW w:w="2835" w:type="dxa"/>
            <w:shd w:val="clear" w:color="auto" w:fill="auto"/>
            <w:vAlign w:val="center"/>
          </w:tcPr>
          <w:p>
            <w:pPr>
              <w:tabs>
                <w:tab w:val="left" w:pos="2235"/>
              </w:tabs>
              <w:spacing w:line="240" w:lineRule="auto"/>
              <w:ind w:firstLine="0" w:firstLineChars="0"/>
              <w:rPr>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6"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2</w:t>
            </w:r>
          </w:p>
        </w:tc>
        <w:tc>
          <w:tcPr>
            <w:tcW w:w="1568"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u w:color="000000"/>
              </w:rPr>
              <w:t>民房</w:t>
            </w:r>
          </w:p>
        </w:tc>
        <w:tc>
          <w:tcPr>
            <w:tcW w:w="859"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西</w:t>
            </w:r>
            <w:r>
              <w:rPr>
                <w:color w:val="auto"/>
                <w:sz w:val="21"/>
                <w:szCs w:val="21"/>
              </w:rPr>
              <w:t>面</w:t>
            </w:r>
          </w:p>
        </w:tc>
        <w:tc>
          <w:tcPr>
            <w:tcW w:w="1309"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2</w:t>
            </w:r>
            <w:r>
              <w:rPr>
                <w:b/>
                <w:bCs/>
                <w:color w:val="auto"/>
                <w:sz w:val="21"/>
                <w:szCs w:val="21"/>
              </w:rPr>
              <w:t>5</w:t>
            </w:r>
          </w:p>
        </w:tc>
        <w:tc>
          <w:tcPr>
            <w:tcW w:w="975" w:type="dxa"/>
            <w:shd w:val="clear" w:color="auto" w:fill="auto"/>
            <w:vAlign w:val="center"/>
          </w:tcPr>
          <w:p>
            <w:pPr>
              <w:tabs>
                <w:tab w:val="left" w:pos="2235"/>
              </w:tabs>
              <w:spacing w:line="240" w:lineRule="auto"/>
              <w:ind w:firstLine="0" w:firstLineChars="0"/>
              <w:jc w:val="center"/>
              <w:rPr>
                <w:color w:val="auto"/>
                <w:sz w:val="21"/>
                <w:szCs w:val="21"/>
              </w:rPr>
            </w:pPr>
            <w:r>
              <w:rPr>
                <w:color w:val="auto"/>
                <w:sz w:val="21"/>
                <w:szCs w:val="21"/>
              </w:rPr>
              <w:t>328</w:t>
            </w:r>
          </w:p>
        </w:tc>
        <w:tc>
          <w:tcPr>
            <w:tcW w:w="8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符合</w:t>
            </w:r>
          </w:p>
        </w:tc>
        <w:tc>
          <w:tcPr>
            <w:tcW w:w="2835" w:type="dxa"/>
            <w:shd w:val="clear" w:color="auto" w:fill="auto"/>
            <w:vAlign w:val="center"/>
          </w:tcPr>
          <w:p>
            <w:pPr>
              <w:tabs>
                <w:tab w:val="left" w:pos="2235"/>
              </w:tabs>
              <w:spacing w:line="240" w:lineRule="auto"/>
              <w:ind w:firstLine="0" w:firstLineChars="0"/>
              <w:rPr>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6"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3</w:t>
            </w:r>
          </w:p>
        </w:tc>
        <w:tc>
          <w:tcPr>
            <w:tcW w:w="1568" w:type="dxa"/>
            <w:shd w:val="clear" w:color="auto" w:fill="auto"/>
            <w:vAlign w:val="center"/>
          </w:tcPr>
          <w:p>
            <w:pPr>
              <w:tabs>
                <w:tab w:val="left" w:pos="2235"/>
              </w:tabs>
              <w:spacing w:line="240" w:lineRule="auto"/>
              <w:ind w:firstLine="0" w:firstLineChars="0"/>
              <w:jc w:val="center"/>
              <w:rPr>
                <w:color w:val="auto"/>
                <w:sz w:val="21"/>
                <w:szCs w:val="21"/>
                <w:u w:color="000000"/>
              </w:rPr>
            </w:pPr>
            <w:r>
              <w:rPr>
                <w:rFonts w:hint="eastAsia"/>
                <w:color w:val="auto"/>
                <w:sz w:val="21"/>
                <w:szCs w:val="21"/>
                <w:u w:color="000000"/>
              </w:rPr>
              <w:t>民房</w:t>
            </w:r>
          </w:p>
        </w:tc>
        <w:tc>
          <w:tcPr>
            <w:tcW w:w="859"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北面</w:t>
            </w:r>
          </w:p>
        </w:tc>
        <w:tc>
          <w:tcPr>
            <w:tcW w:w="1309"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2</w:t>
            </w:r>
            <w:r>
              <w:rPr>
                <w:b/>
                <w:bCs/>
                <w:color w:val="auto"/>
                <w:sz w:val="21"/>
                <w:szCs w:val="21"/>
              </w:rPr>
              <w:t>5</w:t>
            </w:r>
          </w:p>
        </w:tc>
        <w:tc>
          <w:tcPr>
            <w:tcW w:w="975"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1</w:t>
            </w:r>
            <w:r>
              <w:rPr>
                <w:color w:val="auto"/>
                <w:sz w:val="21"/>
                <w:szCs w:val="21"/>
              </w:rPr>
              <w:t>30</w:t>
            </w:r>
          </w:p>
        </w:tc>
        <w:tc>
          <w:tcPr>
            <w:tcW w:w="8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符合</w:t>
            </w:r>
          </w:p>
        </w:tc>
        <w:tc>
          <w:tcPr>
            <w:tcW w:w="2835" w:type="dxa"/>
            <w:shd w:val="clear" w:color="auto" w:fill="auto"/>
            <w:vAlign w:val="center"/>
          </w:tcPr>
          <w:p>
            <w:pPr>
              <w:tabs>
                <w:tab w:val="left" w:pos="2235"/>
              </w:tabs>
              <w:spacing w:line="240" w:lineRule="auto"/>
              <w:ind w:firstLine="0" w:firstLineChars="0"/>
              <w:rPr>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6"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4</w:t>
            </w:r>
          </w:p>
        </w:tc>
        <w:tc>
          <w:tcPr>
            <w:tcW w:w="1568" w:type="dxa"/>
            <w:shd w:val="clear" w:color="auto" w:fill="auto"/>
            <w:vAlign w:val="center"/>
          </w:tcPr>
          <w:p>
            <w:pPr>
              <w:tabs>
                <w:tab w:val="left" w:pos="2235"/>
              </w:tabs>
              <w:spacing w:line="240" w:lineRule="auto"/>
              <w:ind w:firstLine="0" w:firstLineChars="0"/>
              <w:jc w:val="center"/>
              <w:rPr>
                <w:color w:val="auto"/>
                <w:sz w:val="21"/>
                <w:szCs w:val="21"/>
                <w:u w:color="000000"/>
              </w:rPr>
            </w:pPr>
            <w:r>
              <w:rPr>
                <w:rFonts w:hint="eastAsia"/>
                <w:color w:val="auto"/>
                <w:sz w:val="21"/>
                <w:szCs w:val="21"/>
                <w:u w:color="000000"/>
              </w:rPr>
              <w:t>G</w:t>
            </w:r>
            <w:r>
              <w:rPr>
                <w:color w:val="auto"/>
                <w:sz w:val="21"/>
                <w:szCs w:val="21"/>
                <w:u w:color="000000"/>
              </w:rPr>
              <w:t>320</w:t>
            </w:r>
            <w:r>
              <w:rPr>
                <w:rFonts w:hint="eastAsia"/>
                <w:color w:val="auto"/>
                <w:sz w:val="21"/>
                <w:szCs w:val="21"/>
                <w:u w:color="000000"/>
              </w:rPr>
              <w:t>国道</w:t>
            </w:r>
          </w:p>
        </w:tc>
        <w:tc>
          <w:tcPr>
            <w:tcW w:w="859"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北面</w:t>
            </w:r>
          </w:p>
        </w:tc>
        <w:tc>
          <w:tcPr>
            <w:tcW w:w="1309"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2</w:t>
            </w:r>
            <w:r>
              <w:rPr>
                <w:b/>
                <w:bCs/>
                <w:color w:val="auto"/>
                <w:sz w:val="21"/>
                <w:szCs w:val="21"/>
              </w:rPr>
              <w:t>0</w:t>
            </w:r>
          </w:p>
        </w:tc>
        <w:tc>
          <w:tcPr>
            <w:tcW w:w="975" w:type="dxa"/>
            <w:shd w:val="clear" w:color="auto" w:fill="auto"/>
            <w:vAlign w:val="center"/>
          </w:tcPr>
          <w:p>
            <w:pPr>
              <w:tabs>
                <w:tab w:val="left" w:pos="2235"/>
              </w:tabs>
              <w:spacing w:line="240" w:lineRule="auto"/>
              <w:ind w:firstLine="0" w:firstLineChars="0"/>
              <w:jc w:val="center"/>
              <w:rPr>
                <w:color w:val="auto"/>
                <w:sz w:val="21"/>
                <w:szCs w:val="21"/>
              </w:rPr>
            </w:pPr>
            <w:r>
              <w:rPr>
                <w:color w:val="auto"/>
                <w:sz w:val="21"/>
                <w:szCs w:val="21"/>
              </w:rPr>
              <w:t>30</w:t>
            </w:r>
          </w:p>
        </w:tc>
        <w:tc>
          <w:tcPr>
            <w:tcW w:w="8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符合</w:t>
            </w:r>
          </w:p>
        </w:tc>
        <w:tc>
          <w:tcPr>
            <w:tcW w:w="2835" w:type="dxa"/>
            <w:shd w:val="clear" w:color="auto" w:fill="auto"/>
            <w:vAlign w:val="center"/>
          </w:tcPr>
          <w:p>
            <w:pPr>
              <w:tabs>
                <w:tab w:val="left" w:pos="2235"/>
              </w:tabs>
              <w:spacing w:line="240" w:lineRule="auto"/>
              <w:ind w:firstLine="0" w:firstLineChars="0"/>
              <w:rPr>
                <w:color w:val="auto"/>
                <w:sz w:val="21"/>
                <w:szCs w:val="21"/>
              </w:rPr>
            </w:pPr>
            <w:r>
              <w:rPr>
                <w:rFonts w:hint="eastAsia"/>
                <w:color w:val="auto"/>
                <w:sz w:val="21"/>
                <w:szCs w:val="21"/>
              </w:rPr>
              <w:t>《公路安全保护条例》（中华人民共和国国务院令 第</w:t>
            </w:r>
            <w:r>
              <w:rPr>
                <w:color w:val="auto"/>
                <w:sz w:val="21"/>
                <w:szCs w:val="21"/>
              </w:rPr>
              <w:t>593号</w:t>
            </w:r>
            <w:r>
              <w:rPr>
                <w:rFonts w:hint="eastAsia"/>
                <w:color w:val="auto"/>
                <w:sz w:val="21"/>
                <w:szCs w:val="21"/>
              </w:rPr>
              <w:t>）第十一条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6"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5</w:t>
            </w:r>
          </w:p>
        </w:tc>
        <w:tc>
          <w:tcPr>
            <w:tcW w:w="1568" w:type="dxa"/>
            <w:shd w:val="clear" w:color="auto" w:fill="auto"/>
            <w:vAlign w:val="center"/>
          </w:tcPr>
          <w:p>
            <w:pPr>
              <w:tabs>
                <w:tab w:val="left" w:pos="2235"/>
              </w:tabs>
              <w:spacing w:line="240" w:lineRule="auto"/>
              <w:ind w:firstLine="0" w:firstLineChars="0"/>
              <w:jc w:val="center"/>
              <w:rPr>
                <w:color w:val="auto"/>
                <w:sz w:val="21"/>
                <w:szCs w:val="21"/>
                <w:u w:color="000000"/>
              </w:rPr>
            </w:pPr>
            <w:r>
              <w:rPr>
                <w:rFonts w:hint="eastAsia"/>
                <w:color w:val="auto"/>
                <w:sz w:val="21"/>
                <w:szCs w:val="21"/>
                <w:u w:color="000000"/>
              </w:rPr>
              <w:t>杭瑞高速公路</w:t>
            </w:r>
          </w:p>
        </w:tc>
        <w:tc>
          <w:tcPr>
            <w:tcW w:w="859"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南面</w:t>
            </w:r>
          </w:p>
        </w:tc>
        <w:tc>
          <w:tcPr>
            <w:tcW w:w="1309"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3</w:t>
            </w:r>
            <w:r>
              <w:rPr>
                <w:b/>
                <w:bCs/>
                <w:color w:val="auto"/>
                <w:sz w:val="21"/>
                <w:szCs w:val="21"/>
              </w:rPr>
              <w:t>0</w:t>
            </w:r>
          </w:p>
        </w:tc>
        <w:tc>
          <w:tcPr>
            <w:tcW w:w="975"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6</w:t>
            </w:r>
            <w:r>
              <w:rPr>
                <w:color w:val="auto"/>
                <w:sz w:val="21"/>
                <w:szCs w:val="21"/>
              </w:rPr>
              <w:t>0</w:t>
            </w:r>
          </w:p>
        </w:tc>
        <w:tc>
          <w:tcPr>
            <w:tcW w:w="8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符合</w:t>
            </w:r>
          </w:p>
        </w:tc>
        <w:tc>
          <w:tcPr>
            <w:tcW w:w="2835" w:type="dxa"/>
            <w:shd w:val="clear" w:color="auto" w:fill="auto"/>
            <w:vAlign w:val="center"/>
          </w:tcPr>
          <w:p>
            <w:pPr>
              <w:tabs>
                <w:tab w:val="left" w:pos="2235"/>
              </w:tabs>
              <w:spacing w:line="240" w:lineRule="auto"/>
              <w:ind w:firstLine="0" w:firstLineChars="0"/>
              <w:rPr>
                <w:color w:val="auto"/>
                <w:sz w:val="21"/>
                <w:szCs w:val="21"/>
              </w:rPr>
            </w:pPr>
            <w:r>
              <w:rPr>
                <w:rFonts w:hint="eastAsia"/>
                <w:color w:val="auto"/>
                <w:sz w:val="21"/>
                <w:szCs w:val="21"/>
              </w:rPr>
              <w:t>《公路安全保护条例》（中华人民共和国国务院令 第</w:t>
            </w:r>
            <w:r>
              <w:rPr>
                <w:color w:val="auto"/>
                <w:sz w:val="21"/>
                <w:szCs w:val="21"/>
              </w:rPr>
              <w:t>593号</w:t>
            </w:r>
            <w:r>
              <w:rPr>
                <w:rFonts w:hint="eastAsia"/>
                <w:color w:val="auto"/>
                <w:sz w:val="21"/>
                <w:szCs w:val="21"/>
              </w:rPr>
              <w:t>）第十一条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72" w:type="dxa"/>
            <w:gridSpan w:val="7"/>
            <w:shd w:val="clear" w:color="auto" w:fill="auto"/>
            <w:vAlign w:val="center"/>
          </w:tcPr>
          <w:p>
            <w:pPr>
              <w:tabs>
                <w:tab w:val="left" w:pos="2235"/>
              </w:tabs>
              <w:spacing w:line="240" w:lineRule="auto"/>
              <w:ind w:firstLine="0" w:firstLineChars="0"/>
              <w:rPr>
                <w:color w:val="auto"/>
                <w:sz w:val="21"/>
                <w:szCs w:val="21"/>
              </w:rPr>
            </w:pPr>
            <w:r>
              <w:rPr>
                <w:rFonts w:hint="eastAsia"/>
                <w:color w:val="auto"/>
                <w:sz w:val="21"/>
                <w:szCs w:val="21"/>
              </w:rPr>
              <w:t>注：①</w:t>
            </w:r>
            <w:r>
              <w:rPr>
                <w:color w:val="auto"/>
                <w:sz w:val="21"/>
                <w:szCs w:val="21"/>
              </w:rPr>
              <w:t>建（构）筑物防火间距的起算点是外墙、外缘、外壁的最近距离；</w:t>
            </w:r>
          </w:p>
          <w:p>
            <w:pPr>
              <w:tabs>
                <w:tab w:val="left" w:pos="2235"/>
              </w:tabs>
              <w:spacing w:line="240" w:lineRule="auto"/>
              <w:ind w:firstLine="0" w:firstLineChars="0"/>
              <w:rPr>
                <w:color w:val="auto"/>
                <w:sz w:val="21"/>
                <w:szCs w:val="21"/>
              </w:rPr>
            </w:pPr>
            <w:r>
              <w:rPr>
                <w:rFonts w:hint="eastAsia"/>
                <w:color w:val="auto"/>
                <w:sz w:val="21"/>
                <w:szCs w:val="21"/>
              </w:rPr>
              <w:t>②</w:t>
            </w:r>
            <w:r>
              <w:rPr>
                <w:color w:val="auto"/>
                <w:sz w:val="21"/>
                <w:szCs w:val="21"/>
              </w:rPr>
              <w:t>上表中黑体字部分为标准值；</w:t>
            </w:r>
            <w:r>
              <w:rPr>
                <w:rFonts w:hint="eastAsia"/>
                <w:color w:val="auto"/>
                <w:sz w:val="21"/>
                <w:szCs w:val="21"/>
              </w:rPr>
              <w:t>实测距离</w:t>
            </w:r>
            <w:r>
              <w:rPr>
                <w:color w:val="auto"/>
                <w:sz w:val="21"/>
                <w:szCs w:val="21"/>
              </w:rPr>
              <w:t>指距最近建构筑物之间的距离</w:t>
            </w:r>
            <w:r>
              <w:rPr>
                <w:rFonts w:hint="eastAsia"/>
                <w:color w:val="auto"/>
                <w:sz w:val="21"/>
                <w:szCs w:val="21"/>
              </w:rPr>
              <w:t>，</w:t>
            </w:r>
            <w:r>
              <w:rPr>
                <w:color w:val="auto"/>
                <w:sz w:val="21"/>
                <w:szCs w:val="21"/>
              </w:rPr>
              <w:t>根据现场检查情况得出；</w:t>
            </w:r>
          </w:p>
          <w:p>
            <w:pPr>
              <w:tabs>
                <w:tab w:val="left" w:pos="2235"/>
              </w:tabs>
              <w:spacing w:line="240" w:lineRule="auto"/>
              <w:ind w:firstLine="0" w:firstLineChars="0"/>
              <w:rPr>
                <w:color w:val="auto"/>
                <w:sz w:val="21"/>
                <w:szCs w:val="21"/>
              </w:rPr>
            </w:pPr>
            <w:r>
              <w:rPr>
                <w:rFonts w:hint="eastAsia"/>
                <w:color w:val="auto"/>
                <w:sz w:val="21"/>
                <w:szCs w:val="21"/>
              </w:rPr>
              <w:t>③</w:t>
            </w:r>
            <w:r>
              <w:rPr>
                <w:color w:val="auto"/>
                <w:sz w:val="21"/>
                <w:szCs w:val="21"/>
              </w:rPr>
              <w:t>上表的距离是根据《建筑设计防火规范</w:t>
            </w:r>
            <w:r>
              <w:rPr>
                <w:rFonts w:hint="eastAsia"/>
                <w:color w:val="auto"/>
                <w:sz w:val="21"/>
                <w:szCs w:val="21"/>
              </w:rPr>
              <w:t>（2018版）</w:t>
            </w:r>
            <w:r>
              <w:rPr>
                <w:color w:val="auto"/>
                <w:sz w:val="21"/>
                <w:szCs w:val="21"/>
              </w:rPr>
              <w:t>》（GB50016-2014）表3.4.1</w:t>
            </w:r>
            <w:r>
              <w:rPr>
                <w:rFonts w:hint="eastAsia"/>
                <w:color w:val="auto"/>
                <w:sz w:val="21"/>
                <w:szCs w:val="21"/>
              </w:rPr>
              <w:t>，《公路安全保护条例》（中华人民共和国国务院令 第</w:t>
            </w:r>
            <w:r>
              <w:rPr>
                <w:color w:val="auto"/>
                <w:sz w:val="21"/>
                <w:szCs w:val="21"/>
              </w:rPr>
              <w:t>593号</w:t>
            </w:r>
            <w:r>
              <w:rPr>
                <w:rFonts w:hint="eastAsia"/>
                <w:color w:val="auto"/>
                <w:sz w:val="21"/>
                <w:szCs w:val="21"/>
              </w:rPr>
              <w:t>）第十一条；</w:t>
            </w:r>
          </w:p>
        </w:tc>
      </w:tr>
      <w:bookmarkEnd w:id="552"/>
      <w:bookmarkEnd w:id="553"/>
      <w:bookmarkEnd w:id="554"/>
      <w:bookmarkEnd w:id="555"/>
      <w:bookmarkEnd w:id="556"/>
      <w:bookmarkEnd w:id="557"/>
      <w:bookmarkEnd w:id="558"/>
      <w:bookmarkEnd w:id="559"/>
      <w:bookmarkEnd w:id="560"/>
      <w:bookmarkEnd w:id="561"/>
    </w:tbl>
    <w:p>
      <w:pPr>
        <w:ind w:left="0" w:leftChars="0" w:firstLine="0" w:firstLineChars="0"/>
        <w:rPr>
          <w:color w:val="auto"/>
        </w:rPr>
      </w:pPr>
      <w:bookmarkStart w:id="562" w:name="_Toc25902"/>
      <w:bookmarkStart w:id="563" w:name="_Toc27335"/>
      <w:bookmarkStart w:id="564" w:name="_Toc912"/>
      <w:bookmarkStart w:id="565" w:name="_Toc5845"/>
      <w:bookmarkStart w:id="566" w:name="_Toc7239"/>
      <w:bookmarkStart w:id="567" w:name="_Toc118297902"/>
      <w:bookmarkStart w:id="568" w:name="_Toc13365"/>
      <w:bookmarkStart w:id="569" w:name="_Toc1931"/>
      <w:bookmarkStart w:id="570" w:name="_Toc14087"/>
      <w:bookmarkStart w:id="571" w:name="_Toc15961"/>
      <w:bookmarkStart w:id="572" w:name="_Toc23499"/>
      <w:bookmarkStart w:id="573" w:name="_Toc16751"/>
      <w:bookmarkStart w:id="574" w:name="_Toc27824"/>
      <w:bookmarkStart w:id="575" w:name="_Toc20826"/>
      <w:bookmarkStart w:id="576" w:name="_Toc24671"/>
      <w:bookmarkStart w:id="577" w:name="_Toc128056382"/>
    </w:p>
    <w:p>
      <w:pPr>
        <w:pStyle w:val="4"/>
        <w:keepNext w:val="0"/>
        <w:keepLines w:val="0"/>
        <w:ind w:firstLine="281" w:firstLineChars="100"/>
        <w:rPr>
          <w:color w:val="auto"/>
        </w:rPr>
      </w:pPr>
      <w:bookmarkStart w:id="578" w:name="_Toc21476"/>
      <w:bookmarkStart w:id="579" w:name="_Toc2734"/>
      <w:bookmarkStart w:id="580" w:name="_Toc19924"/>
      <w:bookmarkStart w:id="581" w:name="_Toc10177"/>
      <w:bookmarkStart w:id="582" w:name="_Toc22351"/>
      <w:bookmarkStart w:id="583" w:name="_Toc32357"/>
      <w:bookmarkStart w:id="584" w:name="_Toc27657"/>
      <w:bookmarkStart w:id="585" w:name="_Toc13068"/>
      <w:bookmarkStart w:id="586" w:name="_Toc3744"/>
      <w:bookmarkStart w:id="587" w:name="_Toc28255"/>
      <w:bookmarkStart w:id="588" w:name="_Toc30620"/>
      <w:bookmarkStart w:id="589" w:name="_Toc26308"/>
      <w:r>
        <w:rPr>
          <w:color w:val="auto"/>
        </w:rPr>
        <w:t>2.3.2 总</w:t>
      </w:r>
      <w:r>
        <w:rPr>
          <w:rFonts w:hint="eastAsia"/>
          <w:color w:val="auto"/>
        </w:rPr>
        <w:t>平面布置</w:t>
      </w:r>
      <w:bookmarkEnd w:id="562"/>
      <w:bookmarkEnd w:id="563"/>
      <w:bookmarkEnd w:id="564"/>
      <w:bookmarkEnd w:id="565"/>
      <w:bookmarkEnd w:id="578"/>
      <w:bookmarkEnd w:id="579"/>
      <w:bookmarkEnd w:id="580"/>
      <w:bookmarkEnd w:id="581"/>
      <w:bookmarkEnd w:id="582"/>
      <w:bookmarkEnd w:id="583"/>
      <w:bookmarkEnd w:id="584"/>
      <w:bookmarkEnd w:id="585"/>
      <w:bookmarkEnd w:id="586"/>
      <w:bookmarkEnd w:id="587"/>
      <w:bookmarkEnd w:id="588"/>
      <w:bookmarkEnd w:id="589"/>
    </w:p>
    <w:p>
      <w:pPr>
        <w:topLinePunct/>
        <w:ind w:firstLine="560"/>
        <w:rPr>
          <w:rFonts w:ascii="宋体" w:hAnsi="宋体"/>
          <w:color w:val="auto"/>
        </w:rPr>
      </w:pPr>
      <w:r>
        <w:rPr>
          <w:rFonts w:hint="eastAsia" w:ascii="宋体" w:hAnsi="宋体"/>
          <w:color w:val="auto"/>
        </w:rPr>
        <w:t>跃进化工硫酸生产装置区总体分为三个区域，厂区南面为原料堆场，中部为硫酸生产区、硫酸储罐区、辅助设施、渣库及硫酸镁生产区（其中硫酸镁生产区不在本次评价范围内）；北面为办公室和职工食堂。</w:t>
      </w:r>
    </w:p>
    <w:p>
      <w:pPr>
        <w:topLinePunct/>
        <w:spacing w:line="240" w:lineRule="auto"/>
        <w:ind w:firstLine="0" w:firstLineChars="0"/>
        <w:jc w:val="center"/>
        <w:rPr>
          <w:rFonts w:ascii="宋体" w:hAnsi="宋体"/>
          <w:b/>
          <w:color w:val="auto"/>
          <w:sz w:val="24"/>
        </w:rPr>
      </w:pPr>
      <w:r>
        <w:rPr>
          <w:rFonts w:ascii="宋体" w:hAnsi="宋体"/>
          <w:b/>
          <w:color w:val="auto"/>
          <w:sz w:val="24"/>
        </w:rPr>
        <w:t>表</w:t>
      </w:r>
      <w:r>
        <w:rPr>
          <w:rFonts w:hint="eastAsia" w:ascii="宋体" w:hAnsi="宋体"/>
          <w:b/>
          <w:color w:val="auto"/>
          <w:sz w:val="24"/>
        </w:rPr>
        <w:t>2.3</w:t>
      </w:r>
      <w:r>
        <w:rPr>
          <w:rFonts w:ascii="宋体" w:hAnsi="宋体"/>
          <w:b/>
          <w:color w:val="auto"/>
          <w:sz w:val="24"/>
        </w:rPr>
        <w:t>-</w:t>
      </w:r>
      <w:r>
        <w:rPr>
          <w:rFonts w:hint="eastAsia" w:ascii="宋体" w:hAnsi="宋体"/>
          <w:b/>
          <w:color w:val="auto"/>
          <w:sz w:val="24"/>
        </w:rPr>
        <w:t xml:space="preserve">2  </w:t>
      </w:r>
      <w:r>
        <w:rPr>
          <w:rFonts w:ascii="宋体" w:hAnsi="宋体"/>
          <w:b/>
          <w:color w:val="auto"/>
          <w:sz w:val="24"/>
        </w:rPr>
        <w:t>项目内建（构）筑物之间的安全距离表</w:t>
      </w:r>
    </w:p>
    <w:tbl>
      <w:tblPr>
        <w:tblStyle w:val="3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5"/>
        <w:gridCol w:w="869"/>
        <w:gridCol w:w="1302"/>
        <w:gridCol w:w="1190"/>
        <w:gridCol w:w="878"/>
        <w:gridCol w:w="869"/>
        <w:gridCol w:w="2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762" w:type="pct"/>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项目建构筑名称</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方位</w:t>
            </w:r>
          </w:p>
        </w:tc>
        <w:tc>
          <w:tcPr>
            <w:tcW w:w="701" w:type="pct"/>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周边设施</w:t>
            </w:r>
          </w:p>
        </w:tc>
        <w:tc>
          <w:tcPr>
            <w:tcW w:w="641" w:type="pct"/>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规范防火间距/m</w:t>
            </w:r>
          </w:p>
        </w:tc>
        <w:tc>
          <w:tcPr>
            <w:tcW w:w="473" w:type="pct"/>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实测距离/m</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合规性</w:t>
            </w:r>
          </w:p>
        </w:tc>
        <w:tc>
          <w:tcPr>
            <w:tcW w:w="1484" w:type="pct"/>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2" w:type="pct"/>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原料仓库（戊）</w:t>
            </w:r>
          </w:p>
        </w:tc>
        <w:tc>
          <w:tcPr>
            <w:tcW w:w="468" w:type="pct"/>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东北面</w:t>
            </w:r>
          </w:p>
        </w:tc>
        <w:tc>
          <w:tcPr>
            <w:tcW w:w="701"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1</w:t>
            </w:r>
            <w:r>
              <w:rPr>
                <w:rFonts w:hint="eastAsia" w:ascii="宋体" w:hAnsi="宋体" w:cs="宋体"/>
                <w:color w:val="auto"/>
                <w:sz w:val="21"/>
                <w:szCs w:val="21"/>
                <w:u w:color="000000"/>
                <w:vertAlign w:val="superscript"/>
              </w:rPr>
              <w:t>#</w:t>
            </w:r>
            <w:r>
              <w:rPr>
                <w:rFonts w:hint="eastAsia" w:ascii="宋体" w:hAnsi="宋体" w:cs="宋体"/>
                <w:color w:val="auto"/>
                <w:sz w:val="21"/>
                <w:szCs w:val="21"/>
                <w:u w:color="000000"/>
              </w:rPr>
              <w:t>焙烧厂房</w:t>
            </w:r>
          </w:p>
        </w:tc>
        <w:tc>
          <w:tcPr>
            <w:tcW w:w="641" w:type="pct"/>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10</w:t>
            </w:r>
          </w:p>
        </w:tc>
        <w:tc>
          <w:tcPr>
            <w:tcW w:w="473"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26.6</w:t>
            </w:r>
          </w:p>
        </w:tc>
        <w:tc>
          <w:tcPr>
            <w:tcW w:w="468" w:type="pct"/>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符合</w:t>
            </w:r>
          </w:p>
        </w:tc>
        <w:tc>
          <w:tcPr>
            <w:tcW w:w="1484" w:type="pct"/>
            <w:vMerge w:val="restart"/>
            <w:shd w:val="clear" w:color="auto" w:fill="auto"/>
            <w:vAlign w:val="center"/>
          </w:tcPr>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jc w:val="center"/>
        </w:trPr>
        <w:tc>
          <w:tcPr>
            <w:tcW w:w="762" w:type="pct"/>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468" w:type="pct"/>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701"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2</w:t>
            </w:r>
            <w:r>
              <w:rPr>
                <w:rFonts w:hint="eastAsia" w:ascii="宋体" w:hAnsi="宋体" w:cs="宋体"/>
                <w:color w:val="auto"/>
                <w:sz w:val="21"/>
                <w:szCs w:val="21"/>
                <w:u w:color="000000"/>
                <w:vertAlign w:val="superscript"/>
              </w:rPr>
              <w:t>#</w:t>
            </w:r>
            <w:r>
              <w:rPr>
                <w:rFonts w:hint="eastAsia" w:ascii="宋体" w:hAnsi="宋体" w:cs="宋体"/>
                <w:color w:val="auto"/>
                <w:sz w:val="21"/>
                <w:szCs w:val="21"/>
                <w:u w:color="000000"/>
              </w:rPr>
              <w:t>焙烧厂房</w:t>
            </w:r>
          </w:p>
        </w:tc>
        <w:tc>
          <w:tcPr>
            <w:tcW w:w="641" w:type="pct"/>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p>
        </w:tc>
        <w:tc>
          <w:tcPr>
            <w:tcW w:w="473"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17.9</w:t>
            </w:r>
          </w:p>
        </w:tc>
        <w:tc>
          <w:tcPr>
            <w:tcW w:w="468" w:type="pct"/>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1484" w:type="pct"/>
            <w:vMerge w:val="continue"/>
            <w:shd w:val="clear" w:color="auto" w:fill="auto"/>
            <w:vAlign w:val="center"/>
          </w:tcPr>
          <w:p>
            <w:pPr>
              <w:tabs>
                <w:tab w:val="left" w:pos="2235"/>
              </w:tabs>
              <w:adjustRightInd/>
              <w:snapToGrid/>
              <w:spacing w:line="240" w:lineRule="auto"/>
              <w:ind w:firstLine="210" w:firstLineChars="100"/>
              <w:jc w:val="center"/>
              <w:rPr>
                <w:rFonts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2"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u w:color="000000"/>
              </w:rPr>
              <w:t>1#焙烧厂房（丁）</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西北面</w:t>
            </w:r>
          </w:p>
        </w:tc>
        <w:tc>
          <w:tcPr>
            <w:tcW w:w="701"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2</w:t>
            </w:r>
            <w:r>
              <w:rPr>
                <w:rFonts w:hint="eastAsia" w:ascii="宋体" w:hAnsi="宋体" w:cs="宋体"/>
                <w:color w:val="auto"/>
                <w:sz w:val="21"/>
                <w:szCs w:val="21"/>
                <w:u w:color="000000"/>
                <w:vertAlign w:val="superscript"/>
              </w:rPr>
              <w:t>#</w:t>
            </w:r>
            <w:r>
              <w:rPr>
                <w:rFonts w:hint="eastAsia" w:ascii="宋体" w:hAnsi="宋体" w:cs="宋体"/>
                <w:color w:val="auto"/>
                <w:sz w:val="21"/>
                <w:szCs w:val="21"/>
                <w:u w:color="000000"/>
              </w:rPr>
              <w:t>焙烧厂房</w:t>
            </w:r>
          </w:p>
        </w:tc>
        <w:tc>
          <w:tcPr>
            <w:tcW w:w="641" w:type="pct"/>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10</w:t>
            </w:r>
          </w:p>
        </w:tc>
        <w:tc>
          <w:tcPr>
            <w:tcW w:w="473"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15.05</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w:t>
            </w:r>
          </w:p>
        </w:tc>
        <w:tc>
          <w:tcPr>
            <w:tcW w:w="1484" w:type="pct"/>
            <w:shd w:val="clear" w:color="auto" w:fill="auto"/>
            <w:vAlign w:val="center"/>
          </w:tcPr>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jc w:val="center"/>
        </w:trPr>
        <w:tc>
          <w:tcPr>
            <w:tcW w:w="762" w:type="pct"/>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SO</w:t>
            </w:r>
            <w:r>
              <w:rPr>
                <w:rFonts w:hint="eastAsia" w:ascii="宋体" w:hAnsi="宋体" w:cs="宋体"/>
                <w:color w:val="auto"/>
                <w:sz w:val="21"/>
                <w:szCs w:val="21"/>
                <w:vertAlign w:val="subscript"/>
              </w:rPr>
              <w:t>2</w:t>
            </w:r>
            <w:r>
              <w:rPr>
                <w:rFonts w:hint="eastAsia" w:ascii="宋体" w:hAnsi="宋体" w:cs="宋体"/>
                <w:color w:val="auto"/>
                <w:sz w:val="21"/>
                <w:szCs w:val="21"/>
              </w:rPr>
              <w:t>风机房（戊）</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东南面</w:t>
            </w:r>
          </w:p>
        </w:tc>
        <w:tc>
          <w:tcPr>
            <w:tcW w:w="701"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储藏室（戊）</w:t>
            </w:r>
          </w:p>
        </w:tc>
        <w:tc>
          <w:tcPr>
            <w:tcW w:w="641" w:type="pct"/>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color w:val="auto"/>
                <w:sz w:val="21"/>
                <w:szCs w:val="21"/>
              </w:rPr>
              <w:t>不限</w:t>
            </w:r>
          </w:p>
        </w:tc>
        <w:tc>
          <w:tcPr>
            <w:tcW w:w="473"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4</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color w:val="auto"/>
                <w:sz w:val="21"/>
                <w:szCs w:val="21"/>
              </w:rPr>
              <w:t>符合</w:t>
            </w:r>
          </w:p>
        </w:tc>
        <w:tc>
          <w:tcPr>
            <w:tcW w:w="1484" w:type="pct"/>
            <w:shd w:val="clear" w:color="auto" w:fill="auto"/>
            <w:vAlign w:val="center"/>
          </w:tcPr>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《建筑设计防火规范（2018年版）》（GB50016-2014）版）表3.4.1“注2”，SO</w:t>
            </w:r>
            <w:r>
              <w:rPr>
                <w:rFonts w:hint="eastAsia" w:ascii="宋体" w:hAnsi="宋体" w:cs="宋体"/>
                <w:color w:val="auto"/>
                <w:sz w:val="21"/>
                <w:szCs w:val="21"/>
                <w:vertAlign w:val="subscript"/>
              </w:rPr>
              <w:t>2</w:t>
            </w:r>
            <w:r>
              <w:rPr>
                <w:rFonts w:hint="eastAsia" w:ascii="宋体" w:hAnsi="宋体" w:cs="宋体"/>
                <w:color w:val="auto"/>
                <w:sz w:val="21"/>
                <w:szCs w:val="21"/>
              </w:rPr>
              <w:t>风机房面对</w:t>
            </w:r>
            <w:r>
              <w:rPr>
                <w:rFonts w:hint="eastAsia" w:ascii="宋体" w:hAnsi="宋体" w:cs="宋体"/>
                <w:color w:val="auto"/>
                <w:sz w:val="21"/>
                <w:szCs w:val="21"/>
                <w:u w:color="000000"/>
              </w:rPr>
              <w:t>储藏室的墙为防火墙，耐火等级为二级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762" w:type="pct"/>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东北面</w:t>
            </w:r>
          </w:p>
        </w:tc>
        <w:tc>
          <w:tcPr>
            <w:tcW w:w="701"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硫酸储罐区</w:t>
            </w:r>
          </w:p>
        </w:tc>
        <w:tc>
          <w:tcPr>
            <w:tcW w:w="641" w:type="pct"/>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w:t>
            </w:r>
          </w:p>
        </w:tc>
        <w:tc>
          <w:tcPr>
            <w:tcW w:w="473"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11</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w:t>
            </w:r>
          </w:p>
        </w:tc>
        <w:tc>
          <w:tcPr>
            <w:tcW w:w="1484" w:type="pct"/>
            <w:shd w:val="clear" w:color="auto" w:fill="auto"/>
            <w:vAlign w:val="center"/>
          </w:tcPr>
          <w:p>
            <w:pPr>
              <w:tabs>
                <w:tab w:val="left" w:pos="2235"/>
              </w:tabs>
              <w:adjustRightInd/>
              <w:snapToGrid/>
              <w:spacing w:line="240" w:lineRule="auto"/>
              <w:ind w:firstLine="211" w:firstLineChars="100"/>
              <w:jc w:val="center"/>
              <w:rPr>
                <w:rFonts w:ascii="宋体" w:hAnsi="宋体" w:cs="宋体"/>
                <w:color w:val="auto"/>
                <w:sz w:val="21"/>
                <w:szCs w:val="21"/>
              </w:rPr>
            </w:pPr>
            <w:r>
              <w:rPr>
                <w:rFonts w:hint="eastAsia" w:ascii="宋体" w:hAnsi="宋体" w:cs="宋体"/>
                <w:b/>
                <w:bCs/>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7" w:hRule="atLeast"/>
          <w:jc w:val="center"/>
        </w:trPr>
        <w:tc>
          <w:tcPr>
            <w:tcW w:w="762" w:type="pct"/>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值班室（含低压、高压配电室）（丁）</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西北面</w:t>
            </w:r>
          </w:p>
        </w:tc>
        <w:tc>
          <w:tcPr>
            <w:tcW w:w="701"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硫酸储罐区</w:t>
            </w:r>
          </w:p>
        </w:tc>
        <w:tc>
          <w:tcPr>
            <w:tcW w:w="641" w:type="pct"/>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w:t>
            </w:r>
          </w:p>
        </w:tc>
        <w:tc>
          <w:tcPr>
            <w:tcW w:w="473"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7.67</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w:t>
            </w:r>
          </w:p>
        </w:tc>
        <w:tc>
          <w:tcPr>
            <w:tcW w:w="1484" w:type="pct"/>
            <w:shd w:val="clear" w:color="auto" w:fill="auto"/>
            <w:vAlign w:val="center"/>
          </w:tcPr>
          <w:p>
            <w:pPr>
              <w:tabs>
                <w:tab w:val="left" w:pos="2235"/>
              </w:tabs>
              <w:adjustRightInd/>
              <w:snapToGrid/>
              <w:spacing w:line="240" w:lineRule="auto"/>
              <w:ind w:firstLine="211" w:firstLineChars="100"/>
              <w:jc w:val="center"/>
              <w:rPr>
                <w:rFonts w:ascii="宋体" w:hAnsi="宋体" w:cs="宋体"/>
                <w:color w:val="auto"/>
                <w:sz w:val="21"/>
                <w:szCs w:val="21"/>
              </w:rPr>
            </w:pPr>
            <w:r>
              <w:rPr>
                <w:rFonts w:hint="eastAsia" w:ascii="宋体" w:hAnsi="宋体" w:cs="宋体"/>
                <w:b/>
                <w:bCs/>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2" w:type="pct"/>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东北面</w:t>
            </w:r>
          </w:p>
        </w:tc>
        <w:tc>
          <w:tcPr>
            <w:tcW w:w="701"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rPr>
              <w:t>中控室、汽机房</w:t>
            </w:r>
          </w:p>
        </w:tc>
        <w:tc>
          <w:tcPr>
            <w:tcW w:w="641" w:type="pct"/>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10</w:t>
            </w:r>
          </w:p>
        </w:tc>
        <w:tc>
          <w:tcPr>
            <w:tcW w:w="473"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10</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w:t>
            </w:r>
          </w:p>
        </w:tc>
        <w:tc>
          <w:tcPr>
            <w:tcW w:w="1484" w:type="pct"/>
            <w:shd w:val="clear" w:color="auto" w:fill="auto"/>
          </w:tcPr>
          <w:p>
            <w:pPr>
              <w:spacing w:line="240" w:lineRule="auto"/>
              <w:ind w:firstLine="0" w:firstLineChars="0"/>
              <w:rPr>
                <w:rFonts w:ascii="宋体" w:hAnsi="宋体" w:cs="宋体"/>
                <w:sz w:val="21"/>
                <w:szCs w:val="21"/>
              </w:rPr>
            </w:pPr>
            <w:r>
              <w:rPr>
                <w:rFonts w:hint="eastAsia" w:ascii="宋体" w:hAnsi="宋体" w:cs="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2" w:type="pct"/>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西南面</w:t>
            </w:r>
          </w:p>
        </w:tc>
        <w:tc>
          <w:tcPr>
            <w:tcW w:w="701"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u w:color="000000"/>
              </w:rPr>
              <w:t>储藏室</w:t>
            </w:r>
          </w:p>
        </w:tc>
        <w:tc>
          <w:tcPr>
            <w:tcW w:w="641" w:type="pct"/>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10</w:t>
            </w:r>
          </w:p>
        </w:tc>
        <w:tc>
          <w:tcPr>
            <w:tcW w:w="473"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10</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w:t>
            </w:r>
          </w:p>
        </w:tc>
        <w:tc>
          <w:tcPr>
            <w:tcW w:w="1484" w:type="pct"/>
            <w:shd w:val="clear" w:color="auto" w:fill="auto"/>
          </w:tcPr>
          <w:p>
            <w:pPr>
              <w:spacing w:line="240" w:lineRule="auto"/>
              <w:ind w:firstLine="0" w:firstLineChars="0"/>
              <w:rPr>
                <w:rFonts w:ascii="宋体" w:hAnsi="宋体" w:cs="宋体"/>
                <w:sz w:val="21"/>
                <w:szCs w:val="21"/>
              </w:rPr>
            </w:pPr>
            <w:r>
              <w:rPr>
                <w:rFonts w:hint="eastAsia" w:ascii="宋体" w:hAnsi="宋体" w:cs="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jc w:val="center"/>
        </w:trPr>
        <w:tc>
          <w:tcPr>
            <w:tcW w:w="762"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中控室、汽机房（戊）</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西面</w:t>
            </w:r>
          </w:p>
        </w:tc>
        <w:tc>
          <w:tcPr>
            <w:tcW w:w="701"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硫酸储罐区</w:t>
            </w:r>
          </w:p>
        </w:tc>
        <w:tc>
          <w:tcPr>
            <w:tcW w:w="641" w:type="pct"/>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w:t>
            </w:r>
          </w:p>
        </w:tc>
        <w:tc>
          <w:tcPr>
            <w:tcW w:w="473"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11.5</w:t>
            </w:r>
          </w:p>
        </w:tc>
        <w:tc>
          <w:tcPr>
            <w:tcW w:w="468" w:type="pc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w:t>
            </w:r>
          </w:p>
        </w:tc>
        <w:tc>
          <w:tcPr>
            <w:tcW w:w="1484" w:type="pct"/>
            <w:shd w:val="clear" w:color="auto" w:fill="auto"/>
            <w:vAlign w:val="center"/>
          </w:tcPr>
          <w:p>
            <w:pPr>
              <w:tabs>
                <w:tab w:val="left" w:pos="2235"/>
              </w:tabs>
              <w:adjustRightInd/>
              <w:snapToGrid/>
              <w:spacing w:line="240" w:lineRule="auto"/>
              <w:ind w:firstLine="211" w:firstLineChars="100"/>
              <w:jc w:val="center"/>
              <w:rPr>
                <w:rFonts w:ascii="宋体" w:hAnsi="宋体" w:cs="宋体"/>
                <w:color w:val="auto"/>
                <w:sz w:val="21"/>
                <w:szCs w:val="21"/>
              </w:rPr>
            </w:pPr>
            <w:r>
              <w:rPr>
                <w:rFonts w:hint="eastAsia" w:ascii="宋体" w:hAnsi="宋体" w:cs="宋体"/>
                <w:b/>
                <w:bCs/>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7"/>
            <w:shd w:val="clear" w:color="auto" w:fill="auto"/>
            <w:vAlign w:val="center"/>
          </w:tcPr>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b/>
                <w:bCs/>
                <w:color w:val="auto"/>
                <w:sz w:val="21"/>
                <w:szCs w:val="21"/>
              </w:rPr>
              <w:t>注：</w:t>
            </w:r>
            <w:r>
              <w:rPr>
                <w:rFonts w:hint="eastAsia" w:ascii="宋体" w:hAnsi="宋体" w:cs="宋体"/>
                <w:color w:val="auto"/>
                <w:sz w:val="21"/>
                <w:szCs w:val="21"/>
              </w:rPr>
              <w:t>①建（构）筑物防火间距的起算点是外墙、外缘、外壁的最近距离；</w:t>
            </w:r>
          </w:p>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②上表中黑体字部分为标准值；实测距离根据现场检查情况得出，指距最近建构筑物之间的距离；</w:t>
            </w:r>
          </w:p>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③上表的距离是根据《建筑设计防火规范（2018年版）》（GB50016-2014））表3.4.1确定；</w:t>
            </w:r>
          </w:p>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④《建筑设计防火规范（2018年版）》（GB50016-2014）版）表3.4.1“注2”两座厂房相邻较高一面外墙为防火墙，或相邻两座高度相同的一、二级耐火等级建筑中相邻任一侧外墙为防火墙且屋顶的耐火极限不低于1.00h时，其防火间距不限。</w:t>
            </w:r>
          </w:p>
          <w:p>
            <w:pPr>
              <w:pStyle w:val="16"/>
              <w:spacing w:line="240" w:lineRule="auto"/>
              <w:ind w:firstLine="0" w:firstLineChars="0"/>
              <w:jc w:val="left"/>
              <w:rPr>
                <w:rFonts w:hAnsi="宋体" w:cs="宋体"/>
                <w:color w:val="auto"/>
                <w:sz w:val="21"/>
              </w:rPr>
            </w:pPr>
            <w:r>
              <w:rPr>
                <w:rFonts w:hint="eastAsia" w:hAnsi="宋体" w:cs="宋体"/>
                <w:color w:val="auto"/>
                <w:sz w:val="21"/>
              </w:rPr>
              <w:t>⑤——为无规范要求。</w:t>
            </w:r>
          </w:p>
        </w:tc>
      </w:tr>
    </w:tbl>
    <w:p>
      <w:pPr>
        <w:pStyle w:val="16"/>
        <w:ind w:firstLine="0" w:firstLineChars="0"/>
      </w:pPr>
    </w:p>
    <w:p>
      <w:pPr>
        <w:topLinePunct/>
        <w:ind w:firstLine="560"/>
      </w:pPr>
      <w:r>
        <w:rPr>
          <w:rFonts w:hint="eastAsia" w:ascii="宋体" w:hAnsi="宋体"/>
          <w:color w:val="auto"/>
        </w:rPr>
        <w:t>上表依据《建筑设计防火规范（2018年版）》（GB50016-2014），生产厂房与周边建构筑物之间的防火间距符合规范要求。</w:t>
      </w:r>
    </w:p>
    <w:p>
      <w:pPr>
        <w:pStyle w:val="3"/>
        <w:keepNext w:val="0"/>
        <w:keepLines w:val="0"/>
        <w:ind w:firstLine="562"/>
        <w:rPr>
          <w:rFonts w:ascii="黑体" w:hAnsi="黑体" w:eastAsia="黑体" w:cs="黑体"/>
          <w:color w:val="000000" w:themeColor="text1"/>
        </w:rPr>
      </w:pPr>
      <w:bookmarkStart w:id="590" w:name="_Toc23783"/>
      <w:bookmarkStart w:id="591" w:name="_Toc29327"/>
      <w:bookmarkStart w:id="592" w:name="_Toc11000"/>
      <w:bookmarkStart w:id="593" w:name="_Toc28138"/>
      <w:bookmarkStart w:id="594" w:name="_Toc28970"/>
      <w:bookmarkStart w:id="595" w:name="_Toc13324"/>
      <w:bookmarkStart w:id="596" w:name="_Toc11167"/>
      <w:bookmarkStart w:id="597" w:name="_Toc28890"/>
      <w:bookmarkStart w:id="598" w:name="_Toc12006"/>
      <w:bookmarkStart w:id="599" w:name="_Toc17547"/>
      <w:bookmarkStart w:id="600" w:name="_Toc16177"/>
      <w:bookmarkStart w:id="601" w:name="_Toc4287"/>
      <w:bookmarkStart w:id="602" w:name="_Toc24362"/>
      <w:bookmarkStart w:id="603" w:name="_Toc16819"/>
      <w:bookmarkStart w:id="604" w:name="_Toc26057"/>
      <w:bookmarkStart w:id="605" w:name="_Toc19911"/>
      <w:bookmarkStart w:id="606" w:name="_Toc31226"/>
      <w:bookmarkStart w:id="607" w:name="_Toc17731"/>
      <w:bookmarkStart w:id="608" w:name="_Toc19079"/>
      <w:bookmarkStart w:id="609" w:name="_Toc20877"/>
      <w:bookmarkStart w:id="610" w:name="_Toc20933"/>
      <w:bookmarkStart w:id="611" w:name="_Toc2888"/>
      <w:bookmarkStart w:id="612" w:name="_Toc16681"/>
      <w:bookmarkStart w:id="613" w:name="_Toc5749"/>
      <w:bookmarkStart w:id="614" w:name="_Toc21301"/>
      <w:r>
        <w:rPr>
          <w:rFonts w:hint="eastAsia" w:ascii="黑体" w:hAnsi="黑体" w:eastAsia="黑体" w:cs="黑体"/>
          <w:color w:val="000000" w:themeColor="text1"/>
        </w:rPr>
        <w:t>2.4 原料、辅助材料、产品及规模</w:t>
      </w:r>
      <w:bookmarkEnd w:id="566"/>
      <w:bookmarkEnd w:id="567"/>
      <w:bookmarkEnd w:id="568"/>
      <w:bookmarkEnd w:id="569"/>
      <w:bookmarkEnd w:id="570"/>
      <w:bookmarkEnd w:id="571"/>
      <w:bookmarkEnd w:id="572"/>
      <w:bookmarkEnd w:id="573"/>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pPr>
        <w:ind w:firstLine="560"/>
        <w:rPr>
          <w:rFonts w:ascii="宋体" w:hAnsi="宋体"/>
          <w:b/>
          <w:color w:val="auto"/>
          <w:sz w:val="24"/>
        </w:rPr>
      </w:pPr>
      <w:bookmarkStart w:id="615" w:name="_Toc11555"/>
      <w:bookmarkStart w:id="616" w:name="_Toc17839"/>
      <w:bookmarkStart w:id="617" w:name="_Toc128056385"/>
      <w:bookmarkStart w:id="618" w:name="_Toc29846"/>
      <w:r>
        <w:rPr>
          <w:rFonts w:hint="eastAsia" w:hAnsi="宋体"/>
          <w:color w:val="auto"/>
          <w:kern w:val="0"/>
          <w:szCs w:val="28"/>
        </w:rPr>
        <w:t>跃进化工硫酸生产装置主要原</w:t>
      </w:r>
      <w:r>
        <w:rPr>
          <w:rFonts w:hint="eastAsia" w:ascii="宋体" w:hAnsi="宋体"/>
          <w:b w:val="0"/>
          <w:bCs/>
          <w:color w:val="auto"/>
          <w:sz w:val="28"/>
          <w:szCs w:val="28"/>
        </w:rPr>
        <w:t>辅</w:t>
      </w:r>
      <w:r>
        <w:rPr>
          <w:rFonts w:hint="eastAsia" w:hAnsi="宋体"/>
          <w:color w:val="auto"/>
          <w:kern w:val="0"/>
          <w:szCs w:val="28"/>
        </w:rPr>
        <w:t>料为硫铁矿、氧化钙、触媒（五氧化二钒含量＜8%）、双氧水（27.5%）及柴油。原辅料和品种一览表详见表2.4-1：</w:t>
      </w:r>
    </w:p>
    <w:p>
      <w:pPr>
        <w:ind w:firstLine="0" w:firstLineChars="0"/>
        <w:jc w:val="center"/>
        <w:rPr>
          <w:rFonts w:ascii="宋体" w:hAnsi="宋体"/>
          <w:b/>
          <w:color w:val="auto"/>
          <w:sz w:val="24"/>
        </w:rPr>
      </w:pPr>
      <w:r>
        <w:rPr>
          <w:rFonts w:hint="eastAsia" w:ascii="宋体" w:hAnsi="宋体"/>
          <w:b/>
          <w:color w:val="auto"/>
          <w:sz w:val="24"/>
        </w:rPr>
        <w:t>表2</w:t>
      </w:r>
      <w:r>
        <w:rPr>
          <w:rFonts w:ascii="宋体" w:hAnsi="宋体"/>
          <w:b/>
          <w:color w:val="auto"/>
          <w:sz w:val="24"/>
        </w:rPr>
        <w:t>.4</w:t>
      </w:r>
      <w:r>
        <w:rPr>
          <w:rFonts w:hint="eastAsia" w:ascii="宋体" w:hAnsi="宋体"/>
          <w:b/>
          <w:color w:val="auto"/>
          <w:sz w:val="24"/>
        </w:rPr>
        <w:t>-1</w:t>
      </w:r>
      <w:r>
        <w:rPr>
          <w:rFonts w:ascii="宋体" w:hAnsi="宋体"/>
          <w:b/>
          <w:color w:val="auto"/>
          <w:sz w:val="24"/>
        </w:rPr>
        <w:t xml:space="preserve">  </w:t>
      </w:r>
      <w:r>
        <w:rPr>
          <w:rFonts w:hint="eastAsia" w:ascii="宋体" w:hAnsi="宋体"/>
          <w:b/>
          <w:color w:val="auto"/>
          <w:sz w:val="24"/>
        </w:rPr>
        <w:t>主要原辅料和品种一览表</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305"/>
        <w:gridCol w:w="2116"/>
        <w:gridCol w:w="1260"/>
        <w:gridCol w:w="2146"/>
        <w:gridCol w:w="659"/>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355" w:type="pct"/>
            <w:vAlign w:val="center"/>
          </w:tcPr>
          <w:p>
            <w:pPr>
              <w:spacing w:line="240" w:lineRule="auto"/>
              <w:ind w:firstLine="0" w:firstLineChars="0"/>
              <w:jc w:val="center"/>
              <w:rPr>
                <w:b/>
                <w:color w:val="auto"/>
                <w:sz w:val="21"/>
                <w:szCs w:val="21"/>
              </w:rPr>
            </w:pPr>
            <w:bookmarkStart w:id="619" w:name="_Hlk71990034"/>
            <w:r>
              <w:rPr>
                <w:rFonts w:hAnsi="宋体"/>
                <w:b/>
                <w:color w:val="auto"/>
                <w:sz w:val="21"/>
                <w:szCs w:val="21"/>
              </w:rPr>
              <w:t>序号</w:t>
            </w:r>
          </w:p>
        </w:tc>
        <w:tc>
          <w:tcPr>
            <w:tcW w:w="702" w:type="pct"/>
            <w:vAlign w:val="center"/>
          </w:tcPr>
          <w:p>
            <w:pPr>
              <w:spacing w:line="240" w:lineRule="auto"/>
              <w:ind w:firstLine="0" w:firstLineChars="0"/>
              <w:jc w:val="center"/>
              <w:rPr>
                <w:b/>
                <w:color w:val="auto"/>
                <w:sz w:val="21"/>
                <w:szCs w:val="21"/>
              </w:rPr>
            </w:pPr>
            <w:r>
              <w:rPr>
                <w:rFonts w:hAnsi="宋体"/>
                <w:b/>
                <w:color w:val="auto"/>
                <w:sz w:val="21"/>
                <w:szCs w:val="21"/>
              </w:rPr>
              <w:t>名称</w:t>
            </w:r>
          </w:p>
        </w:tc>
        <w:tc>
          <w:tcPr>
            <w:tcW w:w="1138" w:type="pct"/>
            <w:vAlign w:val="center"/>
          </w:tcPr>
          <w:p>
            <w:pPr>
              <w:spacing w:line="240" w:lineRule="auto"/>
              <w:ind w:firstLine="0" w:firstLineChars="0"/>
              <w:jc w:val="center"/>
              <w:rPr>
                <w:b/>
                <w:color w:val="auto"/>
                <w:sz w:val="21"/>
                <w:szCs w:val="21"/>
              </w:rPr>
            </w:pPr>
            <w:r>
              <w:rPr>
                <w:rFonts w:hint="eastAsia" w:hAnsi="宋体"/>
                <w:b/>
                <w:color w:val="auto"/>
                <w:sz w:val="21"/>
                <w:szCs w:val="21"/>
              </w:rPr>
              <w:t>规格</w:t>
            </w:r>
          </w:p>
        </w:tc>
        <w:tc>
          <w:tcPr>
            <w:tcW w:w="678" w:type="pct"/>
            <w:vAlign w:val="center"/>
          </w:tcPr>
          <w:p>
            <w:pPr>
              <w:spacing w:line="240" w:lineRule="auto"/>
              <w:ind w:firstLine="0" w:firstLineChars="0"/>
              <w:rPr>
                <w:b/>
                <w:color w:val="auto"/>
                <w:sz w:val="21"/>
                <w:szCs w:val="21"/>
              </w:rPr>
            </w:pPr>
            <w:r>
              <w:rPr>
                <w:rFonts w:hint="eastAsia" w:hAnsi="宋体"/>
                <w:b/>
                <w:color w:val="auto"/>
                <w:sz w:val="21"/>
                <w:szCs w:val="21"/>
              </w:rPr>
              <w:t>年</w:t>
            </w:r>
            <w:r>
              <w:rPr>
                <w:rFonts w:hAnsi="宋体"/>
                <w:b/>
                <w:color w:val="auto"/>
                <w:sz w:val="21"/>
                <w:szCs w:val="21"/>
              </w:rPr>
              <w:t>用量</w:t>
            </w:r>
            <w:r>
              <w:rPr>
                <w:rFonts w:hint="eastAsia" w:hAnsi="宋体"/>
                <w:b/>
                <w:color w:val="auto"/>
                <w:sz w:val="21"/>
                <w:szCs w:val="21"/>
              </w:rPr>
              <w:t>（</w:t>
            </w:r>
            <w:r>
              <w:rPr>
                <w:rFonts w:hint="eastAsia" w:hAnsi="宋体"/>
                <w:color w:val="auto"/>
                <w:sz w:val="21"/>
                <w:szCs w:val="21"/>
              </w:rPr>
              <w:t>t</w:t>
            </w:r>
            <w:r>
              <w:rPr>
                <w:rFonts w:hint="eastAsia" w:hAnsi="宋体"/>
                <w:b/>
                <w:color w:val="auto"/>
                <w:sz w:val="21"/>
                <w:szCs w:val="21"/>
              </w:rPr>
              <w:t>）</w:t>
            </w:r>
          </w:p>
        </w:tc>
        <w:tc>
          <w:tcPr>
            <w:tcW w:w="1154" w:type="pct"/>
            <w:vAlign w:val="center"/>
          </w:tcPr>
          <w:p>
            <w:pPr>
              <w:spacing w:line="240" w:lineRule="auto"/>
              <w:ind w:firstLine="0" w:firstLineChars="0"/>
              <w:rPr>
                <w:rFonts w:hAnsi="宋体"/>
                <w:b/>
                <w:color w:val="auto"/>
                <w:sz w:val="21"/>
                <w:szCs w:val="21"/>
              </w:rPr>
            </w:pPr>
            <w:r>
              <w:rPr>
                <w:rFonts w:hint="eastAsia" w:hAnsi="宋体"/>
                <w:b/>
                <w:color w:val="auto"/>
                <w:sz w:val="21"/>
                <w:szCs w:val="21"/>
              </w:rPr>
              <w:t>最大储存量（</w:t>
            </w:r>
            <w:r>
              <w:rPr>
                <w:rFonts w:hint="eastAsia" w:hAnsi="宋体"/>
                <w:color w:val="auto"/>
                <w:sz w:val="21"/>
                <w:szCs w:val="21"/>
              </w:rPr>
              <w:t>t</w:t>
            </w:r>
            <w:r>
              <w:rPr>
                <w:rFonts w:hint="eastAsia" w:hAnsi="宋体"/>
                <w:b/>
                <w:color w:val="auto"/>
                <w:sz w:val="21"/>
                <w:szCs w:val="21"/>
              </w:rPr>
              <w:t>）</w:t>
            </w:r>
          </w:p>
        </w:tc>
        <w:tc>
          <w:tcPr>
            <w:tcW w:w="355" w:type="pct"/>
            <w:vAlign w:val="center"/>
          </w:tcPr>
          <w:p>
            <w:pPr>
              <w:spacing w:line="240" w:lineRule="auto"/>
              <w:ind w:firstLine="0" w:firstLineChars="0"/>
              <w:jc w:val="center"/>
              <w:rPr>
                <w:b/>
                <w:color w:val="auto"/>
                <w:sz w:val="21"/>
                <w:szCs w:val="21"/>
              </w:rPr>
            </w:pPr>
            <w:r>
              <w:rPr>
                <w:rFonts w:hint="eastAsia" w:hAnsi="宋体"/>
                <w:b/>
                <w:color w:val="auto"/>
                <w:sz w:val="21"/>
                <w:szCs w:val="21"/>
              </w:rPr>
              <w:t>来源</w:t>
            </w:r>
          </w:p>
        </w:tc>
        <w:tc>
          <w:tcPr>
            <w:tcW w:w="615" w:type="pct"/>
            <w:vAlign w:val="center"/>
          </w:tcPr>
          <w:p>
            <w:pPr>
              <w:spacing w:line="240" w:lineRule="auto"/>
              <w:ind w:firstLine="0" w:firstLineChars="0"/>
              <w:jc w:val="center"/>
              <w:rPr>
                <w:b/>
                <w:color w:val="auto"/>
                <w:sz w:val="21"/>
                <w:szCs w:val="21"/>
              </w:rPr>
            </w:pPr>
            <w:r>
              <w:rPr>
                <w:rFonts w:hint="eastAsia" w:hAnsi="宋体"/>
                <w:b/>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1</w:t>
            </w:r>
          </w:p>
        </w:tc>
        <w:tc>
          <w:tcPr>
            <w:tcW w:w="702"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硫铁矿</w:t>
            </w:r>
          </w:p>
        </w:tc>
        <w:tc>
          <w:tcPr>
            <w:tcW w:w="1138"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w:t>
            </w:r>
          </w:p>
        </w:tc>
        <w:tc>
          <w:tcPr>
            <w:tcW w:w="678" w:type="pct"/>
            <w:vAlign w:val="center"/>
          </w:tcPr>
          <w:p>
            <w:pPr>
              <w:spacing w:line="240" w:lineRule="auto"/>
              <w:ind w:firstLine="0" w:firstLineChars="0"/>
              <w:jc w:val="center"/>
              <w:rPr>
                <w:rFonts w:hAnsi="宋体"/>
                <w:color w:val="auto"/>
                <w:sz w:val="21"/>
                <w:szCs w:val="21"/>
              </w:rPr>
            </w:pPr>
            <w:r>
              <w:rPr>
                <w:rFonts w:hint="eastAsia"/>
                <w:color w:val="auto"/>
                <w:sz w:val="21"/>
                <w:szCs w:val="21"/>
              </w:rPr>
              <w:t>55071.04</w:t>
            </w:r>
          </w:p>
        </w:tc>
        <w:tc>
          <w:tcPr>
            <w:tcW w:w="1154"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w:t>
            </w:r>
          </w:p>
        </w:tc>
        <w:tc>
          <w:tcPr>
            <w:tcW w:w="35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外购</w:t>
            </w:r>
          </w:p>
        </w:tc>
        <w:tc>
          <w:tcPr>
            <w:tcW w:w="615" w:type="pct"/>
            <w:vAlign w:val="center"/>
          </w:tcPr>
          <w:p>
            <w:pPr>
              <w:spacing w:line="240" w:lineRule="auto"/>
              <w:ind w:firstLine="0" w:firstLineChars="0"/>
              <w:jc w:val="center"/>
              <w:rPr>
                <w:rFonts w:hAnsi="宋体"/>
                <w:color w:val="auto"/>
                <w:sz w:val="21"/>
                <w:szCs w:val="21"/>
              </w:rPr>
            </w:pPr>
            <w:r>
              <w:rPr>
                <w:rFonts w:hAnsi="宋体"/>
                <w:color w:val="auto"/>
                <w:sz w:val="21"/>
                <w:szCs w:val="21"/>
              </w:rPr>
              <w:t>汽车输送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2</w:t>
            </w:r>
          </w:p>
        </w:tc>
        <w:tc>
          <w:tcPr>
            <w:tcW w:w="702"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氧化钙</w:t>
            </w:r>
          </w:p>
        </w:tc>
        <w:tc>
          <w:tcPr>
            <w:tcW w:w="1138"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lang w:val="en-US" w:eastAsia="zh-CN"/>
              </w:rPr>
              <w:t>Ca</w:t>
            </w:r>
            <w:r>
              <w:rPr>
                <w:rFonts w:hint="eastAsia" w:hAnsi="宋体"/>
                <w:color w:val="auto"/>
                <w:sz w:val="21"/>
                <w:szCs w:val="21"/>
              </w:rPr>
              <w:t>O＞80%</w:t>
            </w:r>
          </w:p>
        </w:tc>
        <w:tc>
          <w:tcPr>
            <w:tcW w:w="678" w:type="pct"/>
            <w:vAlign w:val="center"/>
          </w:tcPr>
          <w:p>
            <w:pPr>
              <w:spacing w:line="240" w:lineRule="auto"/>
              <w:ind w:firstLine="0" w:firstLineChars="0"/>
              <w:jc w:val="center"/>
              <w:rPr>
                <w:rFonts w:hAnsi="宋体"/>
                <w:color w:val="auto"/>
                <w:sz w:val="21"/>
                <w:szCs w:val="21"/>
              </w:rPr>
            </w:pPr>
            <w:r>
              <w:rPr>
                <w:rFonts w:hint="eastAsia"/>
                <w:color w:val="auto"/>
                <w:sz w:val="21"/>
                <w:szCs w:val="21"/>
              </w:rPr>
              <w:t>213.33</w:t>
            </w:r>
          </w:p>
        </w:tc>
        <w:tc>
          <w:tcPr>
            <w:tcW w:w="1154"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w:t>
            </w:r>
          </w:p>
        </w:tc>
        <w:tc>
          <w:tcPr>
            <w:tcW w:w="35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外购</w:t>
            </w:r>
          </w:p>
        </w:tc>
        <w:tc>
          <w:tcPr>
            <w:tcW w:w="615" w:type="pct"/>
            <w:vAlign w:val="center"/>
          </w:tcPr>
          <w:p>
            <w:pPr>
              <w:spacing w:line="240" w:lineRule="auto"/>
              <w:ind w:firstLine="0" w:firstLineChars="0"/>
              <w:jc w:val="center"/>
              <w:rPr>
                <w:rFonts w:hAnsi="宋体"/>
                <w:color w:val="auto"/>
                <w:sz w:val="21"/>
                <w:szCs w:val="21"/>
              </w:rPr>
            </w:pPr>
            <w:r>
              <w:rPr>
                <w:rFonts w:hAnsi="宋体"/>
                <w:color w:val="auto"/>
                <w:sz w:val="21"/>
                <w:szCs w:val="21"/>
              </w:rPr>
              <w:t>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3</w:t>
            </w:r>
          </w:p>
        </w:tc>
        <w:tc>
          <w:tcPr>
            <w:tcW w:w="702"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触媒</w:t>
            </w:r>
          </w:p>
        </w:tc>
        <w:tc>
          <w:tcPr>
            <w:tcW w:w="1138" w:type="pct"/>
            <w:vAlign w:val="center"/>
          </w:tcPr>
          <w:p>
            <w:pPr>
              <w:spacing w:line="240" w:lineRule="auto"/>
              <w:ind w:firstLine="0" w:firstLineChars="0"/>
              <w:rPr>
                <w:rFonts w:hAnsi="宋体"/>
                <w:color w:val="auto"/>
                <w:sz w:val="21"/>
                <w:szCs w:val="21"/>
              </w:rPr>
            </w:pPr>
            <w:r>
              <w:rPr>
                <w:rFonts w:hint="eastAsia" w:hAnsi="宋体"/>
                <w:color w:val="auto"/>
                <w:spacing w:val="-6"/>
                <w:sz w:val="21"/>
                <w:szCs w:val="21"/>
              </w:rPr>
              <w:t>五氧化二钒含量＜8%</w:t>
            </w:r>
          </w:p>
        </w:tc>
        <w:tc>
          <w:tcPr>
            <w:tcW w:w="678" w:type="pct"/>
            <w:vAlign w:val="center"/>
          </w:tcPr>
          <w:p>
            <w:pPr>
              <w:spacing w:line="240" w:lineRule="auto"/>
              <w:ind w:firstLine="0" w:firstLineChars="0"/>
              <w:jc w:val="center"/>
              <w:rPr>
                <w:rFonts w:hAnsi="宋体"/>
                <w:color w:val="auto"/>
                <w:sz w:val="21"/>
                <w:szCs w:val="21"/>
              </w:rPr>
            </w:pPr>
            <w:r>
              <w:rPr>
                <w:rFonts w:hAnsi="宋体"/>
                <w:color w:val="auto"/>
                <w:sz w:val="21"/>
                <w:szCs w:val="21"/>
              </w:rPr>
              <w:t>1</w:t>
            </w:r>
            <w:r>
              <w:rPr>
                <w:rFonts w:hint="eastAsia" w:hAnsi="宋体"/>
                <w:color w:val="auto"/>
                <w:sz w:val="21"/>
                <w:szCs w:val="21"/>
              </w:rPr>
              <w:t>（更换量）</w:t>
            </w:r>
          </w:p>
        </w:tc>
        <w:tc>
          <w:tcPr>
            <w:tcW w:w="1154" w:type="pct"/>
            <w:vAlign w:val="center"/>
          </w:tcPr>
          <w:p>
            <w:pPr>
              <w:spacing w:line="240" w:lineRule="auto"/>
              <w:ind w:firstLine="0" w:firstLineChars="0"/>
              <w:jc w:val="center"/>
              <w:rPr>
                <w:rFonts w:hAnsi="宋体"/>
                <w:color w:val="auto"/>
                <w:sz w:val="21"/>
                <w:szCs w:val="21"/>
              </w:rPr>
            </w:pPr>
            <w:r>
              <w:rPr>
                <w:rFonts w:hAnsi="宋体"/>
                <w:color w:val="auto"/>
                <w:sz w:val="21"/>
                <w:szCs w:val="21"/>
              </w:rPr>
              <w:t>65</w:t>
            </w:r>
            <w:r>
              <w:rPr>
                <w:rFonts w:hint="eastAsia" w:hAnsi="宋体"/>
                <w:color w:val="auto"/>
                <w:sz w:val="21"/>
                <w:szCs w:val="21"/>
              </w:rPr>
              <w:t>（设备内存在量）</w:t>
            </w:r>
          </w:p>
        </w:tc>
        <w:tc>
          <w:tcPr>
            <w:tcW w:w="35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外购</w:t>
            </w:r>
          </w:p>
        </w:tc>
        <w:tc>
          <w:tcPr>
            <w:tcW w:w="615" w:type="pct"/>
            <w:vAlign w:val="center"/>
          </w:tcPr>
          <w:p>
            <w:pPr>
              <w:spacing w:line="240" w:lineRule="auto"/>
              <w:ind w:firstLine="0" w:firstLineChars="0"/>
              <w:jc w:val="center"/>
              <w:rPr>
                <w:rFonts w:hAnsi="宋体"/>
                <w:color w:val="auto"/>
                <w:sz w:val="21"/>
                <w:szCs w:val="21"/>
              </w:rPr>
            </w:pPr>
            <w:r>
              <w:rPr>
                <w:rFonts w:hAnsi="宋体"/>
                <w:color w:val="auto"/>
                <w:sz w:val="21"/>
                <w:szCs w:val="21"/>
              </w:rPr>
              <w:t>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5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4</w:t>
            </w:r>
          </w:p>
        </w:tc>
        <w:tc>
          <w:tcPr>
            <w:tcW w:w="702" w:type="pct"/>
            <w:vAlign w:val="center"/>
          </w:tcPr>
          <w:p>
            <w:pPr>
              <w:spacing w:line="240" w:lineRule="auto"/>
              <w:ind w:firstLine="0" w:firstLineChars="0"/>
              <w:jc w:val="center"/>
              <w:rPr>
                <w:rFonts w:hAnsi="宋体"/>
                <w:color w:val="auto"/>
                <w:sz w:val="21"/>
                <w:szCs w:val="21"/>
              </w:rPr>
            </w:pPr>
            <w:r>
              <w:rPr>
                <w:rFonts w:hint="eastAsia" w:hAnsi="宋体"/>
                <w:color w:val="auto"/>
                <w:kern w:val="0"/>
                <w:sz w:val="21"/>
                <w:szCs w:val="21"/>
              </w:rPr>
              <w:t>双氧水</w:t>
            </w:r>
          </w:p>
        </w:tc>
        <w:tc>
          <w:tcPr>
            <w:tcW w:w="1138" w:type="pct"/>
            <w:vAlign w:val="center"/>
          </w:tcPr>
          <w:p>
            <w:pPr>
              <w:spacing w:line="240" w:lineRule="auto"/>
              <w:ind w:firstLine="0" w:firstLineChars="0"/>
              <w:jc w:val="center"/>
              <w:rPr>
                <w:rFonts w:hAnsi="宋体"/>
                <w:color w:val="auto"/>
                <w:sz w:val="21"/>
                <w:szCs w:val="21"/>
              </w:rPr>
            </w:pPr>
            <w:r>
              <w:rPr>
                <w:rFonts w:hint="eastAsia" w:hAnsi="宋体"/>
                <w:color w:val="auto"/>
                <w:kern w:val="0"/>
                <w:sz w:val="21"/>
                <w:szCs w:val="21"/>
              </w:rPr>
              <w:t>27.5%</w:t>
            </w:r>
          </w:p>
        </w:tc>
        <w:tc>
          <w:tcPr>
            <w:tcW w:w="678" w:type="pct"/>
            <w:vAlign w:val="center"/>
          </w:tcPr>
          <w:p>
            <w:pPr>
              <w:spacing w:line="240" w:lineRule="auto"/>
              <w:ind w:firstLine="0" w:firstLineChars="0"/>
              <w:jc w:val="center"/>
              <w:rPr>
                <w:rFonts w:hAnsi="宋体"/>
                <w:color w:val="auto"/>
                <w:sz w:val="21"/>
                <w:szCs w:val="21"/>
              </w:rPr>
            </w:pPr>
            <w:r>
              <w:rPr>
                <w:rFonts w:hint="eastAsia"/>
                <w:sz w:val="21"/>
                <w:szCs w:val="21"/>
              </w:rPr>
              <w:t>347.3</w:t>
            </w:r>
          </w:p>
        </w:tc>
        <w:tc>
          <w:tcPr>
            <w:tcW w:w="1154"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4</w:t>
            </w:r>
            <w:r>
              <w:rPr>
                <w:rFonts w:hAnsi="宋体"/>
                <w:color w:val="auto"/>
                <w:sz w:val="21"/>
                <w:szCs w:val="21"/>
              </w:rPr>
              <w:t>2</w:t>
            </w:r>
            <w:r>
              <w:rPr>
                <w:rFonts w:hint="eastAsia" w:hAnsi="宋体"/>
                <w:color w:val="auto"/>
                <w:sz w:val="21"/>
                <w:szCs w:val="21"/>
              </w:rPr>
              <w:t>m³</w:t>
            </w:r>
          </w:p>
        </w:tc>
        <w:tc>
          <w:tcPr>
            <w:tcW w:w="35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外购</w:t>
            </w:r>
          </w:p>
        </w:tc>
        <w:tc>
          <w:tcPr>
            <w:tcW w:w="615" w:type="pct"/>
            <w:vAlign w:val="center"/>
          </w:tcPr>
          <w:p>
            <w:pPr>
              <w:spacing w:line="240" w:lineRule="auto"/>
              <w:ind w:firstLine="0" w:firstLineChars="0"/>
              <w:jc w:val="center"/>
              <w:rPr>
                <w:rFonts w:hAnsi="宋体"/>
                <w:color w:val="auto"/>
                <w:sz w:val="21"/>
                <w:szCs w:val="21"/>
              </w:rPr>
            </w:pPr>
            <w:r>
              <w:rPr>
                <w:rFonts w:hAnsi="宋体"/>
                <w:color w:val="auto"/>
                <w:sz w:val="21"/>
                <w:szCs w:val="21"/>
              </w:rPr>
              <w:t>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5</w:t>
            </w:r>
          </w:p>
        </w:tc>
        <w:tc>
          <w:tcPr>
            <w:tcW w:w="702"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柴油</w:t>
            </w:r>
          </w:p>
        </w:tc>
        <w:tc>
          <w:tcPr>
            <w:tcW w:w="1138" w:type="pct"/>
            <w:vAlign w:val="center"/>
          </w:tcPr>
          <w:p>
            <w:pPr>
              <w:spacing w:line="240" w:lineRule="auto"/>
              <w:ind w:firstLine="0" w:firstLineChars="0"/>
              <w:jc w:val="center"/>
              <w:rPr>
                <w:rFonts w:hAnsi="宋体"/>
                <w:color w:val="auto"/>
                <w:sz w:val="21"/>
                <w:szCs w:val="21"/>
              </w:rPr>
            </w:pPr>
          </w:p>
        </w:tc>
        <w:tc>
          <w:tcPr>
            <w:tcW w:w="678"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17.2</w:t>
            </w:r>
          </w:p>
        </w:tc>
        <w:tc>
          <w:tcPr>
            <w:tcW w:w="1154"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0.688</w:t>
            </w:r>
          </w:p>
        </w:tc>
        <w:tc>
          <w:tcPr>
            <w:tcW w:w="35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外购</w:t>
            </w:r>
          </w:p>
        </w:tc>
        <w:tc>
          <w:tcPr>
            <w:tcW w:w="615" w:type="pct"/>
            <w:vAlign w:val="center"/>
          </w:tcPr>
          <w:p>
            <w:pPr>
              <w:spacing w:line="240" w:lineRule="auto"/>
              <w:ind w:firstLine="0" w:firstLineChars="0"/>
              <w:jc w:val="center"/>
              <w:rPr>
                <w:rFonts w:hAnsi="宋体"/>
                <w:color w:val="auto"/>
                <w:sz w:val="21"/>
                <w:szCs w:val="21"/>
              </w:rPr>
            </w:pPr>
            <w:r>
              <w:rPr>
                <w:rFonts w:hint="eastAsia" w:hAnsi="宋体"/>
                <w:color w:val="auto"/>
                <w:sz w:val="21"/>
                <w:szCs w:val="21"/>
              </w:rPr>
              <w:t>桶装</w:t>
            </w:r>
          </w:p>
        </w:tc>
      </w:tr>
      <w:bookmarkEnd w:id="619"/>
    </w:tbl>
    <w:p>
      <w:pPr>
        <w:pStyle w:val="73"/>
        <w:ind w:firstLine="0" w:firstLineChars="0"/>
        <w:rPr>
          <w:color w:val="000000" w:themeColor="text1"/>
        </w:rPr>
      </w:pPr>
    </w:p>
    <w:p>
      <w:pPr>
        <w:topLinePunct/>
        <w:ind w:firstLine="536"/>
        <w:rPr>
          <w:rFonts w:ascii="宋体" w:hAnsi="宋体"/>
          <w:color w:val="auto"/>
          <w:spacing w:val="-6"/>
        </w:rPr>
      </w:pPr>
      <w:r>
        <w:rPr>
          <w:rFonts w:hint="eastAsia" w:ascii="宋体" w:hAnsi="宋体"/>
          <w:color w:val="auto"/>
          <w:spacing w:val="-6"/>
        </w:rPr>
        <w:t>根据《危险化学品目录》（2022调整版）、《化学品分类和标签规范》(GB30000.2-2013～GB30000.29-2013)、《国家安全监管总局办公厅关于印发危险化学品名录2015版实施指南的通知》（安监总厅管三[2015]80号)，该公司生产的危险化学品为硫酸。</w:t>
      </w:r>
      <w:r>
        <w:rPr>
          <w:rFonts w:hint="eastAsia" w:hAnsi="宋体"/>
          <w:color w:val="auto"/>
          <w:spacing w:val="-6"/>
          <w:kern w:val="0"/>
          <w:szCs w:val="28"/>
        </w:rPr>
        <w:t>本次换证生产的危险化学品具体情况见</w:t>
      </w:r>
      <w:r>
        <w:rPr>
          <w:rFonts w:hint="eastAsia" w:ascii="宋体" w:hAnsi="宋体"/>
          <w:color w:val="auto"/>
          <w:spacing w:val="-6"/>
        </w:rPr>
        <w:t>表2.4-2。</w:t>
      </w:r>
    </w:p>
    <w:p>
      <w:pPr>
        <w:topLinePunct/>
        <w:spacing w:line="240" w:lineRule="auto"/>
        <w:ind w:firstLine="0" w:firstLineChars="0"/>
        <w:jc w:val="center"/>
        <w:rPr>
          <w:rFonts w:ascii="宋体" w:hAnsi="宋体"/>
          <w:b/>
          <w:color w:val="auto"/>
          <w:sz w:val="24"/>
        </w:rPr>
      </w:pPr>
      <w:r>
        <w:rPr>
          <w:rFonts w:hint="eastAsia" w:ascii="宋体" w:hAnsi="宋体"/>
          <w:b/>
          <w:color w:val="auto"/>
          <w:sz w:val="24"/>
        </w:rPr>
        <w:t>表2.</w:t>
      </w:r>
      <w:r>
        <w:rPr>
          <w:rFonts w:ascii="宋体" w:hAnsi="宋体"/>
          <w:b/>
          <w:color w:val="auto"/>
          <w:sz w:val="24"/>
        </w:rPr>
        <w:t>4</w:t>
      </w:r>
      <w:r>
        <w:rPr>
          <w:rFonts w:hint="eastAsia" w:ascii="宋体" w:hAnsi="宋体"/>
          <w:b/>
          <w:color w:val="auto"/>
          <w:sz w:val="24"/>
        </w:rPr>
        <w:t>-2  生产危险化学品种类一览表</w:t>
      </w:r>
    </w:p>
    <w:tbl>
      <w:tblPr>
        <w:tblStyle w:val="3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860"/>
        <w:gridCol w:w="741"/>
        <w:gridCol w:w="1815"/>
        <w:gridCol w:w="1168"/>
        <w:gridCol w:w="947"/>
        <w:gridCol w:w="917"/>
        <w:gridCol w:w="750"/>
        <w:gridCol w:w="1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bookmarkStart w:id="620" w:name="_Hlk68074411"/>
            <w:r>
              <w:rPr>
                <w:rFonts w:hint="eastAsia" w:ascii="宋体" w:hAnsi="宋体"/>
                <w:b/>
                <w:color w:val="auto"/>
                <w:sz w:val="21"/>
                <w:szCs w:val="21"/>
              </w:rPr>
              <w:t>序号</w:t>
            </w:r>
          </w:p>
        </w:tc>
        <w:tc>
          <w:tcPr>
            <w:tcW w:w="860"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危化品目录号</w:t>
            </w:r>
          </w:p>
        </w:tc>
        <w:tc>
          <w:tcPr>
            <w:tcW w:w="741"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品名</w:t>
            </w:r>
          </w:p>
        </w:tc>
        <w:tc>
          <w:tcPr>
            <w:tcW w:w="1815"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危险性类别</w:t>
            </w:r>
          </w:p>
        </w:tc>
        <w:tc>
          <w:tcPr>
            <w:tcW w:w="1168"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CAS号</w:t>
            </w:r>
          </w:p>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UN号</w:t>
            </w:r>
          </w:p>
        </w:tc>
        <w:tc>
          <w:tcPr>
            <w:tcW w:w="947"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最大储存量</w:t>
            </w:r>
          </w:p>
        </w:tc>
        <w:tc>
          <w:tcPr>
            <w:tcW w:w="917"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包装形式规格</w:t>
            </w:r>
          </w:p>
        </w:tc>
        <w:tc>
          <w:tcPr>
            <w:tcW w:w="750"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经营形式</w:t>
            </w:r>
          </w:p>
        </w:tc>
        <w:tc>
          <w:tcPr>
            <w:tcW w:w="1423" w:type="dxa"/>
            <w:shd w:val="clear" w:color="auto" w:fill="auto"/>
            <w:vAlign w:val="center"/>
          </w:tcPr>
          <w:p>
            <w:pPr>
              <w:tabs>
                <w:tab w:val="left" w:pos="2235"/>
              </w:tabs>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451" w:type="dxa"/>
            <w:shd w:val="clear" w:color="auto" w:fill="auto"/>
            <w:vAlign w:val="center"/>
          </w:tcPr>
          <w:p>
            <w:pPr>
              <w:tabs>
                <w:tab w:val="left" w:pos="2235"/>
              </w:tabs>
              <w:spacing w:line="240" w:lineRule="auto"/>
              <w:ind w:firstLine="0" w:firstLineChars="0"/>
              <w:jc w:val="left"/>
              <w:rPr>
                <w:rFonts w:ascii="宋体" w:hAnsi="宋体"/>
                <w:color w:val="auto"/>
                <w:sz w:val="21"/>
                <w:szCs w:val="21"/>
              </w:rPr>
            </w:pPr>
            <w:r>
              <w:rPr>
                <w:rFonts w:hint="eastAsia" w:ascii="宋体" w:hAnsi="宋体"/>
                <w:color w:val="auto"/>
                <w:sz w:val="21"/>
                <w:szCs w:val="21"/>
              </w:rPr>
              <w:t>1</w:t>
            </w:r>
          </w:p>
        </w:tc>
        <w:tc>
          <w:tcPr>
            <w:tcW w:w="860" w:type="dxa"/>
            <w:shd w:val="clear" w:color="auto" w:fill="auto"/>
            <w:vAlign w:val="center"/>
          </w:tcPr>
          <w:p>
            <w:pPr>
              <w:tabs>
                <w:tab w:val="left" w:pos="2235"/>
              </w:tabs>
              <w:spacing w:line="240" w:lineRule="auto"/>
              <w:ind w:firstLine="0" w:firstLineChars="0"/>
              <w:jc w:val="center"/>
              <w:rPr>
                <w:rFonts w:ascii="宋体" w:hAnsi="宋体"/>
                <w:color w:val="auto"/>
                <w:sz w:val="21"/>
                <w:szCs w:val="21"/>
              </w:rPr>
            </w:pPr>
            <w:r>
              <w:rPr>
                <w:rFonts w:ascii="宋体" w:hAnsi="宋体"/>
                <w:color w:val="auto"/>
                <w:sz w:val="21"/>
                <w:szCs w:val="21"/>
              </w:rPr>
              <w:t>1302</w:t>
            </w:r>
          </w:p>
        </w:tc>
        <w:tc>
          <w:tcPr>
            <w:tcW w:w="741"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硫酸</w:t>
            </w:r>
          </w:p>
        </w:tc>
        <w:tc>
          <w:tcPr>
            <w:tcW w:w="1815" w:type="dxa"/>
            <w:shd w:val="clear" w:color="auto" w:fill="auto"/>
            <w:vAlign w:val="center"/>
          </w:tcPr>
          <w:p>
            <w:pPr>
              <w:tabs>
                <w:tab w:val="left" w:pos="2235"/>
              </w:tabs>
              <w:spacing w:line="240" w:lineRule="auto"/>
              <w:ind w:firstLine="0" w:firstLineChars="0"/>
              <w:jc w:val="left"/>
              <w:rPr>
                <w:color w:val="auto"/>
                <w:sz w:val="21"/>
                <w:szCs w:val="21"/>
              </w:rPr>
            </w:pPr>
            <w:r>
              <w:rPr>
                <w:rFonts w:hint="eastAsia"/>
                <w:color w:val="auto"/>
                <w:sz w:val="21"/>
                <w:szCs w:val="21"/>
              </w:rPr>
              <w:t>皮肤腐蚀/刺激,类别1A、严重眼损伤/眼刺激,类别1</w:t>
            </w:r>
          </w:p>
        </w:tc>
        <w:tc>
          <w:tcPr>
            <w:tcW w:w="1168" w:type="dxa"/>
            <w:shd w:val="clear" w:color="auto" w:fill="auto"/>
            <w:vAlign w:val="center"/>
          </w:tcPr>
          <w:p>
            <w:pPr>
              <w:tabs>
                <w:tab w:val="left" w:pos="2235"/>
              </w:tabs>
              <w:spacing w:line="240" w:lineRule="auto"/>
              <w:ind w:firstLine="0" w:firstLineChars="0"/>
              <w:jc w:val="center"/>
              <w:rPr>
                <w:color w:val="auto"/>
                <w:sz w:val="21"/>
                <w:szCs w:val="21"/>
              </w:rPr>
            </w:pPr>
            <w:r>
              <w:rPr>
                <w:color w:val="auto"/>
                <w:sz w:val="21"/>
                <w:szCs w:val="21"/>
              </w:rPr>
              <w:t>7664</w:t>
            </w:r>
            <w:r>
              <w:rPr>
                <w:rFonts w:hint="eastAsia"/>
                <w:color w:val="auto"/>
                <w:sz w:val="21"/>
                <w:szCs w:val="21"/>
              </w:rPr>
              <w:t>-</w:t>
            </w:r>
            <w:r>
              <w:rPr>
                <w:color w:val="auto"/>
                <w:sz w:val="21"/>
                <w:szCs w:val="21"/>
              </w:rPr>
              <w:t>93</w:t>
            </w:r>
            <w:r>
              <w:rPr>
                <w:rFonts w:hint="eastAsia"/>
                <w:color w:val="auto"/>
                <w:sz w:val="21"/>
                <w:szCs w:val="21"/>
              </w:rPr>
              <w:t>-</w:t>
            </w:r>
            <w:r>
              <w:rPr>
                <w:color w:val="auto"/>
                <w:sz w:val="21"/>
                <w:szCs w:val="21"/>
              </w:rPr>
              <w:t>9</w:t>
            </w:r>
          </w:p>
          <w:p>
            <w:pPr>
              <w:tabs>
                <w:tab w:val="left" w:pos="2235"/>
              </w:tabs>
              <w:spacing w:line="240" w:lineRule="auto"/>
              <w:ind w:firstLine="0" w:firstLineChars="0"/>
              <w:jc w:val="center"/>
              <w:rPr>
                <w:color w:val="auto"/>
                <w:sz w:val="21"/>
                <w:szCs w:val="21"/>
              </w:rPr>
            </w:pPr>
          </w:p>
        </w:tc>
        <w:tc>
          <w:tcPr>
            <w:tcW w:w="947"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lang w:val="en-US" w:eastAsia="zh-CN"/>
              </w:rPr>
              <w:t>12000</w:t>
            </w:r>
            <w:r>
              <w:rPr>
                <w:rFonts w:hint="eastAsia"/>
                <w:color w:val="auto"/>
                <w:sz w:val="21"/>
                <w:szCs w:val="21"/>
              </w:rPr>
              <w:t>t</w:t>
            </w:r>
          </w:p>
        </w:tc>
        <w:tc>
          <w:tcPr>
            <w:tcW w:w="917"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w:t>
            </w:r>
          </w:p>
        </w:tc>
        <w:tc>
          <w:tcPr>
            <w:tcW w:w="7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销售</w:t>
            </w:r>
          </w:p>
        </w:tc>
        <w:tc>
          <w:tcPr>
            <w:tcW w:w="1423"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罐车</w:t>
            </w:r>
            <w:r>
              <w:rPr>
                <w:color w:val="auto"/>
                <w:sz w:val="21"/>
                <w:szCs w:val="21"/>
              </w:rPr>
              <w:t>运输</w:t>
            </w:r>
          </w:p>
        </w:tc>
      </w:tr>
      <w:bookmarkEnd w:id="620"/>
    </w:tbl>
    <w:p>
      <w:pPr>
        <w:pStyle w:val="73"/>
        <w:ind w:firstLine="560"/>
        <w:rPr>
          <w:color w:val="000000" w:themeColor="text1"/>
          <w:szCs w:val="28"/>
        </w:rPr>
      </w:pPr>
    </w:p>
    <w:p>
      <w:pPr>
        <w:pStyle w:val="3"/>
        <w:keepNext w:val="0"/>
        <w:keepLines w:val="0"/>
        <w:ind w:firstLine="562"/>
        <w:rPr>
          <w:rFonts w:ascii="黑体" w:hAnsi="黑体" w:eastAsia="黑体" w:cs="黑体"/>
          <w:color w:val="000000" w:themeColor="text1"/>
        </w:rPr>
      </w:pPr>
      <w:bookmarkStart w:id="621" w:name="_Toc16205"/>
      <w:bookmarkStart w:id="622" w:name="_Toc16061"/>
      <w:bookmarkStart w:id="623" w:name="_Toc18613"/>
      <w:bookmarkStart w:id="624" w:name="_Toc5775"/>
      <w:bookmarkStart w:id="625" w:name="_Toc12698"/>
      <w:bookmarkStart w:id="626" w:name="_Toc19185"/>
      <w:bookmarkStart w:id="627" w:name="_Toc20614"/>
      <w:bookmarkStart w:id="628" w:name="_Toc5792"/>
      <w:bookmarkStart w:id="629" w:name="_Toc20197"/>
      <w:bookmarkStart w:id="630" w:name="_Toc25999"/>
      <w:bookmarkStart w:id="631" w:name="_Toc19447"/>
      <w:bookmarkStart w:id="632" w:name="_Toc17559"/>
      <w:bookmarkStart w:id="633" w:name="_Toc18767"/>
      <w:bookmarkStart w:id="634" w:name="_Toc5094"/>
      <w:bookmarkStart w:id="635" w:name="_Toc19306"/>
      <w:bookmarkStart w:id="636" w:name="_Toc7139"/>
      <w:bookmarkStart w:id="637" w:name="_Toc20990"/>
      <w:bookmarkStart w:id="638" w:name="_Toc10902"/>
      <w:bookmarkStart w:id="639" w:name="_Toc11294"/>
      <w:bookmarkStart w:id="640" w:name="_Toc21628"/>
      <w:bookmarkStart w:id="641" w:name="_Toc28460"/>
      <w:bookmarkStart w:id="642" w:name="_Toc9594"/>
      <w:bookmarkStart w:id="643" w:name="_Toc10248"/>
      <w:bookmarkStart w:id="644" w:name="_Toc7027"/>
      <w:bookmarkStart w:id="645" w:name="_Toc9078"/>
      <w:bookmarkStart w:id="646" w:name="_Toc30106"/>
      <w:bookmarkStart w:id="647" w:name="_Toc2308"/>
      <w:bookmarkStart w:id="648" w:name="_Toc32659"/>
      <w:bookmarkStart w:id="649" w:name="_Toc20584"/>
      <w:bookmarkStart w:id="650" w:name="_Toc23257"/>
      <w:bookmarkStart w:id="651" w:name="_Toc30120"/>
      <w:bookmarkStart w:id="652" w:name="_Toc9554"/>
      <w:r>
        <w:rPr>
          <w:rFonts w:hint="eastAsia" w:ascii="黑体" w:hAnsi="黑体" w:eastAsia="黑体" w:cs="黑体"/>
          <w:color w:val="000000" w:themeColor="text1"/>
        </w:rPr>
        <w:t>2.5 生产工艺</w:t>
      </w:r>
      <w:bookmarkEnd w:id="615"/>
      <w:bookmarkEnd w:id="616"/>
      <w:bookmarkEnd w:id="617"/>
      <w:bookmarkEnd w:id="618"/>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p>
    <w:p>
      <w:pPr>
        <w:ind w:firstLine="560"/>
        <w:rPr>
          <w:rFonts w:hAnsi="宋体"/>
          <w:color w:val="000000" w:themeColor="text1"/>
          <w:szCs w:val="28"/>
        </w:rPr>
      </w:pPr>
      <w:r>
        <w:rPr>
          <w:rFonts w:hint="eastAsia" w:hAnsi="宋体"/>
          <w:color w:val="000000" w:themeColor="text1"/>
          <w:szCs w:val="28"/>
        </w:rPr>
        <w:t>生产工艺流程描述如下：</w:t>
      </w:r>
    </w:p>
    <w:p>
      <w:pPr>
        <w:pStyle w:val="34"/>
        <w:spacing w:after="0"/>
        <w:ind w:firstLine="560" w:firstLineChars="200"/>
        <w:rPr>
          <w:rFonts w:ascii="宋体" w:hAnsi="宋体" w:cs="宋体"/>
          <w:szCs w:val="28"/>
        </w:rPr>
      </w:pPr>
      <w:bookmarkStart w:id="653" w:name="_Toc32493"/>
      <w:bookmarkStart w:id="654" w:name="_Toc2003"/>
      <w:bookmarkStart w:id="655" w:name="_Toc30423"/>
      <w:bookmarkStart w:id="656" w:name="_Toc10599"/>
      <w:bookmarkStart w:id="657" w:name="_Toc21420"/>
      <w:bookmarkStart w:id="658" w:name="_Toc16599"/>
      <w:bookmarkStart w:id="659" w:name="_Toc6185"/>
      <w:bookmarkStart w:id="660" w:name="_Toc31496"/>
      <w:bookmarkStart w:id="661" w:name="_Toc20019"/>
      <w:bookmarkStart w:id="662" w:name="_Toc14383"/>
      <w:bookmarkStart w:id="663" w:name="_Toc5334"/>
      <w:bookmarkStart w:id="664" w:name="_Toc32654"/>
      <w:bookmarkStart w:id="665" w:name="_Toc23427"/>
      <w:bookmarkStart w:id="666" w:name="_Toc17187"/>
      <w:bookmarkStart w:id="667" w:name="_Toc28531"/>
      <w:bookmarkStart w:id="668" w:name="_Toc3072"/>
      <w:r>
        <w:rPr>
          <w:rFonts w:hint="eastAsia" w:ascii="宋体" w:hAnsi="宋体" w:cs="宋体"/>
          <w:szCs w:val="28"/>
        </w:rPr>
        <w:t>公司有两套硫铁矿制酸生产装置，分别为4万t/a、8万t/a，配有一套3000KW/h的余热发电设施，硫酸生产以硫铁矿为原料，生产浓度为98%的工业级硫酸，采用沸腾焙烧，文式管、泡沫塔、电除雾稀酸封闭净化，“3+2”两转化两吸的工艺技术。原料仓库共用1个；总配电室1个，分别向各套装置供电，两套装置产生的废水统一由废水处理系统处理。</w:t>
      </w:r>
    </w:p>
    <w:p>
      <w:pPr>
        <w:pStyle w:val="34"/>
        <w:spacing w:after="0"/>
        <w:ind w:firstLine="560" w:firstLineChars="200"/>
        <w:rPr>
          <w:rFonts w:ascii="宋体" w:hAnsi="宋体" w:cs="宋体"/>
          <w:szCs w:val="28"/>
        </w:rPr>
      </w:pPr>
      <w:r>
        <w:rPr>
          <w:rFonts w:hint="eastAsia" w:ascii="宋体" w:hAnsi="宋体" w:cs="宋体"/>
          <w:szCs w:val="28"/>
        </w:rPr>
        <w:t>（1）原料工段</w:t>
      </w:r>
    </w:p>
    <w:p>
      <w:pPr>
        <w:pStyle w:val="34"/>
        <w:spacing w:after="0"/>
        <w:ind w:firstLine="560" w:firstLineChars="200"/>
        <w:rPr>
          <w:rFonts w:ascii="宋体" w:hAnsi="宋体" w:cs="宋体"/>
          <w:szCs w:val="28"/>
        </w:rPr>
      </w:pPr>
      <w:r>
        <w:rPr>
          <w:rFonts w:hint="eastAsia" w:ascii="宋体" w:hAnsi="宋体" w:cs="宋体"/>
          <w:szCs w:val="28"/>
        </w:rPr>
        <w:t>进厂的硫铁矿砂（粉状），用汽车运至原料堆场堆存，用装载机配料入上料槽后通过1#胶带输送机送至</w:t>
      </w:r>
      <w:r>
        <w:rPr>
          <w:rFonts w:hint="eastAsia" w:ascii="宋体" w:hAnsi="宋体" w:cs="宋体"/>
          <w:color w:val="auto"/>
          <w:szCs w:val="28"/>
        </w:rPr>
        <w:t>振动筛</w:t>
      </w:r>
      <w:r>
        <w:rPr>
          <w:rFonts w:hint="eastAsia" w:ascii="宋体" w:hAnsi="宋体" w:cs="宋体"/>
          <w:szCs w:val="28"/>
        </w:rPr>
        <w:t>，细粒经下料槽由2#胶带输送机送入焙烧工段的粉矿贮斗，粗粒经返料皮带输送到原料堆场经破碎机破碎后堆放供配料使用。为防止硫铁矿中的含铁杂质混入，在胶带输送机上设有电磁除铁器。</w:t>
      </w:r>
    </w:p>
    <w:p>
      <w:pPr>
        <w:pStyle w:val="34"/>
        <w:spacing w:after="0"/>
        <w:ind w:firstLine="560" w:firstLineChars="200"/>
        <w:rPr>
          <w:rFonts w:ascii="宋体" w:hAnsi="宋体" w:cs="宋体"/>
          <w:szCs w:val="28"/>
        </w:rPr>
      </w:pPr>
      <w:r>
        <w:rPr>
          <w:rFonts w:hint="eastAsia" w:ascii="宋体" w:hAnsi="宋体" w:cs="宋体"/>
          <w:szCs w:val="28"/>
        </w:rPr>
        <w:t>（2）焙烧工段</w:t>
      </w:r>
    </w:p>
    <w:p>
      <w:pPr>
        <w:pStyle w:val="34"/>
        <w:spacing w:after="0"/>
        <w:ind w:firstLine="536" w:firstLineChars="200"/>
        <w:rPr>
          <w:rFonts w:ascii="宋体" w:hAnsi="宋体" w:cs="宋体"/>
          <w:szCs w:val="28"/>
        </w:rPr>
      </w:pPr>
      <w:r>
        <w:rPr>
          <w:rFonts w:hint="eastAsia" w:ascii="宋体" w:hAnsi="宋体" w:cs="宋体"/>
          <w:spacing w:val="-6"/>
          <w:szCs w:val="28"/>
        </w:rPr>
        <w:t>粉矿贮斗中的精选的硫铁矿原料通过皮带加料机计量后连续均匀地送入沸腾炉。同空气风机送入的空气进行氧化反应生成含二氧化硫的炉气。出口炉气由沸腾炉上部进入余热锅炉和旋风除尘器中进行除尘和降温，温度降至350℃进入净化工段。混合炉气中的大颗粒矿尘利用自重和离心力与炉气分开，沉降到下部排出。之后炉气进入高压静电除尘器，炉气中细小尘粒经高压电场的作用带电荷后附集，随着振打，沉降极的尘粒落下排出。余热锅炉排出的高温炉渣经螺旋运输机和旋风除尘器排出的矿尘进入埋刮板输送机，再同来自沸腾炉排出的高温渣尘经进料器一起进入渣冷却滚筒中进行冷却，在尾部淋水增湿后排出，经矿渣输送机运入矿渣贮斗，再通过汽车送至渣库，用汽车外运。在8万t/a、4万t/a硫铁矿制酸装置的沸腾焙烧炉下侧安装1</w:t>
      </w:r>
      <w:r>
        <w:rPr>
          <w:rFonts w:hint="eastAsia" w:ascii="宋体" w:hAnsi="宋体" w:cs="宋体"/>
          <w:spacing w:val="-6"/>
          <w:szCs w:val="28"/>
          <w:vertAlign w:val="superscript"/>
        </w:rPr>
        <w:t>#</w:t>
      </w:r>
      <w:r>
        <w:rPr>
          <w:rFonts w:hint="eastAsia" w:ascii="宋体" w:hAnsi="宋体" w:cs="宋体"/>
          <w:spacing w:val="-6"/>
          <w:szCs w:val="28"/>
        </w:rPr>
        <w:t>、2</w:t>
      </w:r>
      <w:r>
        <w:rPr>
          <w:rFonts w:hint="eastAsia" w:ascii="宋体" w:hAnsi="宋体" w:cs="宋体"/>
          <w:spacing w:val="-6"/>
          <w:szCs w:val="28"/>
          <w:vertAlign w:val="superscript"/>
        </w:rPr>
        <w:t>#</w:t>
      </w:r>
      <w:r>
        <w:rPr>
          <w:rFonts w:hint="eastAsia" w:ascii="宋体" w:hAnsi="宋体" w:cs="宋体"/>
          <w:spacing w:val="-6"/>
          <w:szCs w:val="28"/>
        </w:rPr>
        <w:t>两台余热锅炉，2台余热锅炉经热交换后产生 2.75MPa，390℃中压过热蒸汽，过热蒸汽送到3000kW凝汽式汽轮发电机组进行发电。</w:t>
      </w:r>
    </w:p>
    <w:p>
      <w:pPr>
        <w:pStyle w:val="34"/>
        <w:spacing w:after="0"/>
        <w:ind w:firstLine="560" w:firstLineChars="200"/>
        <w:rPr>
          <w:rFonts w:ascii="宋体" w:hAnsi="宋体" w:cs="宋体"/>
          <w:szCs w:val="28"/>
        </w:rPr>
      </w:pPr>
      <w:r>
        <w:rPr>
          <w:rFonts w:hint="eastAsia" w:ascii="宋体" w:hAnsi="宋体" w:cs="宋体"/>
          <w:szCs w:val="28"/>
        </w:rPr>
        <w:t>（3）净化工段</w:t>
      </w:r>
    </w:p>
    <w:p>
      <w:pPr>
        <w:pStyle w:val="34"/>
        <w:spacing w:after="0"/>
        <w:ind w:firstLine="560" w:firstLineChars="200"/>
        <w:rPr>
          <w:rFonts w:ascii="宋体" w:hAnsi="宋体" w:cs="宋体"/>
          <w:szCs w:val="28"/>
        </w:rPr>
      </w:pPr>
      <w:r>
        <w:rPr>
          <w:rFonts w:hint="eastAsia" w:ascii="宋体" w:hAnsi="宋体" w:cs="宋体"/>
          <w:szCs w:val="28"/>
        </w:rPr>
        <w:t>由电除尘器来的炉气进入文式管，用稀硫酸除去一部分矿尘，降温后进入泡沫塔，用冷却的稀硫酸进一步除去矿尘、砷、氟等有害物质。气体降温后再经电除雾器除去酸雾。经净化后的气体进入干吸工段，在干燥塔前设有安全封。文氏管排出的稀酸流入斜管沉清器，清液排入文氏管循环槽，经泵再送入文氏管内进行循环冷却降温除尘，部分清液经脱气器回收SO</w:t>
      </w:r>
      <w:r>
        <w:rPr>
          <w:rFonts w:hint="eastAsia" w:ascii="宋体" w:hAnsi="宋体" w:cs="宋体"/>
          <w:szCs w:val="28"/>
          <w:vertAlign w:val="subscript"/>
        </w:rPr>
        <w:t xml:space="preserve">2 </w:t>
      </w:r>
      <w:r>
        <w:rPr>
          <w:rFonts w:hint="eastAsia" w:ascii="宋体" w:hAnsi="宋体" w:cs="宋体"/>
          <w:szCs w:val="28"/>
        </w:rPr>
        <w:t>后入稀酸成品槽。在斜管沉清器下部被增浓的污泥同稀酸槽内的稀酸一起排去污水处理工段的中和槽。泡沫塔出来的稀酸入泡沫塔循环槽，用泵输送到板框换热器冷却后，进入泡沫塔进行循环降温除尘。部分稀酸补入文氏管循环槽，以保侍其循环液量。泡沫塔循环槽则补加清水保持液量。整个净化系统热量由板框换热器带走。</w:t>
      </w:r>
    </w:p>
    <w:p>
      <w:pPr>
        <w:pStyle w:val="34"/>
        <w:spacing w:after="0"/>
        <w:ind w:firstLine="560" w:firstLineChars="200"/>
        <w:rPr>
          <w:rFonts w:ascii="宋体" w:hAnsi="宋体" w:cs="宋体"/>
          <w:szCs w:val="28"/>
        </w:rPr>
      </w:pPr>
      <w:r>
        <w:rPr>
          <w:rFonts w:hint="eastAsia" w:ascii="宋体" w:hAnsi="宋体" w:cs="宋体"/>
          <w:szCs w:val="28"/>
        </w:rPr>
        <w:t>（4）转化工段</w:t>
      </w:r>
    </w:p>
    <w:p>
      <w:pPr>
        <w:pStyle w:val="34"/>
        <w:spacing w:after="0"/>
        <w:ind w:firstLine="560" w:firstLineChars="200"/>
        <w:rPr>
          <w:rFonts w:ascii="宋体" w:hAnsi="宋体" w:cs="宋体"/>
          <w:szCs w:val="28"/>
        </w:rPr>
      </w:pPr>
      <w:r>
        <w:rPr>
          <w:rFonts w:hint="eastAsia" w:ascii="宋体" w:hAnsi="宋体" w:cs="宋体"/>
          <w:szCs w:val="28"/>
        </w:rPr>
        <w:t>经干燥塔金属丝网除沫器除沫后，炉气进入SO</w:t>
      </w:r>
      <w:r>
        <w:rPr>
          <w:rFonts w:hint="eastAsia" w:ascii="宋体" w:hAnsi="宋体" w:cs="宋体"/>
          <w:szCs w:val="28"/>
          <w:vertAlign w:val="subscript"/>
        </w:rPr>
        <w:t xml:space="preserve">2 </w:t>
      </w:r>
      <w:r>
        <w:rPr>
          <w:rFonts w:hint="eastAsia" w:ascii="宋体" w:hAnsi="宋体" w:cs="宋体"/>
          <w:szCs w:val="28"/>
        </w:rPr>
        <w:t>鼓风机增压后，经第Ⅲ换热器和第I换热器与由转换器一层和三层出来的转化气体进行换热升温至425℃后进入转化器一层进行氧化反应。从I换热器出来的转化气体进入转化二层继续转化，从Ⅲ换热器出来的转化气体进入一吸塔。吸收气体中的SO</w:t>
      </w:r>
      <w:r>
        <w:rPr>
          <w:rFonts w:hint="eastAsia" w:ascii="宋体" w:hAnsi="宋体" w:cs="宋体"/>
          <w:szCs w:val="28"/>
          <w:vertAlign w:val="subscript"/>
        </w:rPr>
        <w:t xml:space="preserve">3 </w:t>
      </w:r>
      <w:r>
        <w:rPr>
          <w:rFonts w:hint="eastAsia" w:ascii="宋体" w:hAnsi="宋体" w:cs="宋体"/>
          <w:szCs w:val="28"/>
        </w:rPr>
        <w:t>生成硫酸，出塔气体分别进入V换热器和Ⅳ换热器升温后进入Ⅱ换热器，同转化五层、四层和二层出来的转化气体进行换热，升温到425℃后进入转化四层进行第二次转化。从换热器出来的转化气体进入转化三层，从Ⅳ换热器出来的转化气体进入转化V层继续转化，从V换热器出来的转化气体，去二吸塔再次进行吸收得到硫酸产品。</w:t>
      </w:r>
    </w:p>
    <w:p>
      <w:pPr>
        <w:pStyle w:val="34"/>
        <w:spacing w:after="0"/>
        <w:ind w:firstLine="560" w:firstLineChars="200"/>
        <w:rPr>
          <w:rFonts w:ascii="宋体" w:hAnsi="宋体" w:cs="宋体"/>
          <w:szCs w:val="28"/>
        </w:rPr>
      </w:pPr>
      <w:r>
        <w:rPr>
          <w:rFonts w:hint="eastAsia" w:ascii="宋体" w:hAnsi="宋体" w:cs="宋体"/>
          <w:szCs w:val="28"/>
        </w:rPr>
        <w:t>（5）干吸工段</w:t>
      </w:r>
    </w:p>
    <w:p>
      <w:pPr>
        <w:pStyle w:val="34"/>
        <w:spacing w:after="0"/>
        <w:ind w:firstLine="560" w:firstLineChars="200"/>
        <w:rPr>
          <w:rFonts w:ascii="宋体" w:hAnsi="宋体" w:cs="宋体"/>
          <w:szCs w:val="28"/>
        </w:rPr>
      </w:pPr>
      <w:r>
        <w:rPr>
          <w:rFonts w:hint="eastAsia" w:ascii="宋体" w:hAnsi="宋体" w:cs="宋体"/>
          <w:szCs w:val="28"/>
        </w:rPr>
        <w:t>从电除雾器来的含SO</w:t>
      </w:r>
      <w:r>
        <w:rPr>
          <w:rFonts w:hint="eastAsia" w:ascii="宋体" w:hAnsi="宋体" w:cs="宋体"/>
          <w:szCs w:val="28"/>
          <w:vertAlign w:val="subscript"/>
        </w:rPr>
        <w:t xml:space="preserve">2 </w:t>
      </w:r>
      <w:r>
        <w:rPr>
          <w:rFonts w:hint="eastAsia" w:ascii="宋体" w:hAnsi="宋体" w:cs="宋体"/>
          <w:szCs w:val="28"/>
        </w:rPr>
        <w:t>炉气，从各循环槽、脱气器和补入的一定量空气一起进入干燥塔，干燥炉气由塔出口去SO</w:t>
      </w:r>
      <w:r>
        <w:rPr>
          <w:rFonts w:hint="eastAsia" w:ascii="宋体" w:hAnsi="宋体" w:cs="宋体"/>
          <w:szCs w:val="28"/>
          <w:vertAlign w:val="subscript"/>
        </w:rPr>
        <w:t xml:space="preserve">2 </w:t>
      </w:r>
      <w:r>
        <w:rPr>
          <w:rFonts w:hint="eastAsia" w:ascii="宋体" w:hAnsi="宋体" w:cs="宋体"/>
          <w:szCs w:val="28"/>
        </w:rPr>
        <w:t>风机；从转化工段Ⅲ换热来的转化气体入一吸塔进行吸收生成硫酸，剩余气体回转化工段的V换热器：从转化工段V换热器出来的转化气体入二吸塔吸收生成硫酸。干燥、吸收塔内的循环酸从各塔下部流入酸冷却器冷却后进循环槽，再用泵送入塔内进行循环干燥吸收。</w:t>
      </w:r>
    </w:p>
    <w:p>
      <w:pPr>
        <w:pStyle w:val="34"/>
        <w:spacing w:after="0"/>
        <w:ind w:firstLine="560" w:firstLineChars="200"/>
        <w:rPr>
          <w:rFonts w:ascii="宋体" w:hAnsi="宋体" w:cs="宋体"/>
          <w:szCs w:val="28"/>
        </w:rPr>
      </w:pPr>
      <w:r>
        <w:rPr>
          <w:rFonts w:hint="eastAsia" w:ascii="宋体" w:hAnsi="宋体" w:cs="宋体"/>
          <w:szCs w:val="28"/>
        </w:rPr>
        <w:t>一、二吸收塔的补充反应水从循环槽加入，从干燥和一吸塔酸冷却器出口管互串入酸循环槽以平衡循环酸的浓度，当平衡出现问题时，用干燥酸冷却器底阀或溢流口向成品酸槽排酸，以控制液位。成品酸分別从各塔循环槽的溢流管排入成品酸槽，经计量后由泵送入硫酸贮槽。冷却水由供水站经除杂器除去杂质后，一部分进一吸塔和酸冷却器后回循环水站，另一部分进干燥塔酸冷却器，再进二吸收塔串用后回循环水站。</w:t>
      </w:r>
    </w:p>
    <w:p>
      <w:pPr>
        <w:pStyle w:val="34"/>
        <w:spacing w:after="0"/>
        <w:ind w:firstLine="560" w:firstLineChars="200"/>
        <w:rPr>
          <w:rFonts w:ascii="宋体" w:hAnsi="宋体" w:cs="宋体"/>
          <w:szCs w:val="28"/>
        </w:rPr>
      </w:pPr>
      <w:r>
        <w:rPr>
          <w:rFonts w:hint="eastAsia" w:ascii="宋体" w:hAnsi="宋体" w:cs="宋体"/>
          <w:szCs w:val="28"/>
        </w:rPr>
        <w:t>干燥塔系填料塔，塔顶装有金属丝网除雾器。塔内用93%硫酸淋洒，吸水稀释后自塔底流入干燥塔循环槽，槽内配入由吸收塔酸冷却器出口串来的98%硫酸，以维持循环酸的浓度。然后经干燥塔循环泵打入干燥塔酸冷却器冷却后，进入干燥塔循环使用。增多的98%酸全部通过干燥塔循环泵串入一吸塔。第一吸收塔和第二吸收塔均为填料塔，第一吸收塔和第二吸收塔共用一个酸循环槽，淋洒酸浓度为98%，吸收SO</w:t>
      </w:r>
      <w:r>
        <w:rPr>
          <w:rFonts w:hint="eastAsia" w:ascii="宋体" w:hAnsi="宋体" w:cs="宋体"/>
          <w:szCs w:val="28"/>
          <w:vertAlign w:val="subscript"/>
        </w:rPr>
        <w:t xml:space="preserve">3 </w:t>
      </w:r>
      <w:r>
        <w:rPr>
          <w:rFonts w:hint="eastAsia" w:ascii="宋体" w:hAnsi="宋体" w:cs="宋体"/>
          <w:szCs w:val="28"/>
        </w:rPr>
        <w:t>后的酸自塔底流入吸收塔循环槽混合，加水调节酸浓至98%，然后经吸收塔循环泵打入吸收塔酸冷却器冷却后，进入吸收塔循环使用。增多的98%硫酸，一部分吸入干燥塔循环槽部分作为成品酸经过成品酸冷却器冷却后直接输入成品酸贮罐。</w:t>
      </w:r>
    </w:p>
    <w:p>
      <w:pPr>
        <w:pStyle w:val="34"/>
        <w:spacing w:after="0"/>
        <w:ind w:firstLine="560" w:firstLineChars="200"/>
        <w:rPr>
          <w:rFonts w:ascii="宋体" w:hAnsi="宋体" w:cs="宋体"/>
          <w:szCs w:val="28"/>
        </w:rPr>
      </w:pPr>
      <w:r>
        <w:rPr>
          <w:rFonts w:hint="eastAsia" w:ascii="宋体" w:hAnsi="宋体" w:cs="宋体"/>
          <w:szCs w:val="28"/>
        </w:rPr>
        <w:t>（6）尾气吸收工</w:t>
      </w:r>
    </w:p>
    <w:p>
      <w:pPr>
        <w:pStyle w:val="11"/>
        <w:rPr>
          <w:rFonts w:ascii="宋体" w:hAnsi="宋体" w:cs="宋体"/>
          <w:szCs w:val="28"/>
        </w:rPr>
      </w:pPr>
      <w:r>
        <w:rPr>
          <w:rFonts w:hint="eastAsia" w:ascii="宋体" w:hAnsi="宋体" w:cs="宋体"/>
          <w:szCs w:val="28"/>
        </w:rPr>
        <w:t>第二吸收塔气体中的SO</w:t>
      </w:r>
      <w:r>
        <w:rPr>
          <w:rFonts w:hint="eastAsia" w:ascii="宋体" w:hAnsi="宋体" w:cs="宋体"/>
          <w:szCs w:val="28"/>
          <w:vertAlign w:val="subscript"/>
        </w:rPr>
        <w:t xml:space="preserve">3 </w:t>
      </w:r>
      <w:r>
        <w:rPr>
          <w:rFonts w:hint="eastAsia" w:ascii="宋体" w:hAnsi="宋体" w:cs="宋体"/>
          <w:szCs w:val="28"/>
        </w:rPr>
        <w:t>被淋洒的98％浓硫酸吸收后，去除SO</w:t>
      </w:r>
      <w:r>
        <w:rPr>
          <w:rFonts w:hint="eastAsia" w:ascii="宋体" w:hAnsi="宋体" w:cs="宋体"/>
          <w:szCs w:val="28"/>
          <w:vertAlign w:val="subscript"/>
        </w:rPr>
        <w:t xml:space="preserve">3 </w:t>
      </w:r>
      <w:r>
        <w:rPr>
          <w:rFonts w:hint="eastAsia" w:ascii="宋体" w:hAnsi="宋体" w:cs="宋体"/>
          <w:szCs w:val="28"/>
        </w:rPr>
        <w:t>的尾气出第二吸收塔后进入尾气吸收塔，塔内和9～13%浓度的</w:t>
      </w:r>
      <w:r>
        <w:rPr>
          <w:rFonts w:hint="eastAsia"/>
          <w:lang w:val="en-US" w:eastAsia="zh-CN"/>
        </w:rPr>
        <w:t>双氧水</w:t>
      </w:r>
      <w:r>
        <w:rPr>
          <w:rFonts w:hint="eastAsia" w:ascii="宋体" w:hAnsi="宋体" w:cs="宋体"/>
          <w:szCs w:val="28"/>
        </w:rPr>
        <w:t>溶液进行逆流接触，吸收尾气中残留SO</w:t>
      </w:r>
      <w:r>
        <w:rPr>
          <w:rFonts w:hint="eastAsia" w:ascii="宋体" w:hAnsi="宋体" w:cs="宋体"/>
          <w:szCs w:val="28"/>
          <w:vertAlign w:val="subscript"/>
        </w:rPr>
        <w:t xml:space="preserve">2 </w:t>
      </w:r>
      <w:r>
        <w:rPr>
          <w:rFonts w:hint="eastAsia" w:ascii="宋体" w:hAnsi="宋体" w:cs="宋体"/>
          <w:szCs w:val="28"/>
        </w:rPr>
        <w:t>和硫酸雾后，尾气中SO</w:t>
      </w:r>
      <w:r>
        <w:rPr>
          <w:rFonts w:hint="eastAsia" w:ascii="宋体" w:hAnsi="宋体" w:cs="宋体"/>
          <w:szCs w:val="28"/>
          <w:vertAlign w:val="subscript"/>
        </w:rPr>
        <w:t xml:space="preserve">2 </w:t>
      </w:r>
      <w:r>
        <w:rPr>
          <w:rFonts w:hint="eastAsia" w:ascii="宋体" w:hAnsi="宋体" w:cs="宋体"/>
          <w:szCs w:val="28"/>
        </w:rPr>
        <w:t>浓度含量≤400mg/m</w:t>
      </w:r>
      <w:r>
        <w:rPr>
          <w:rFonts w:hint="eastAsia" w:ascii="宋体" w:hAnsi="宋体" w:cs="宋体"/>
          <w:szCs w:val="28"/>
          <w:vertAlign w:val="superscript"/>
        </w:rPr>
        <w:t>3</w:t>
      </w:r>
      <w:r>
        <w:rPr>
          <w:rFonts w:hint="eastAsia" w:ascii="宋体" w:hAnsi="宋体" w:cs="宋体"/>
          <w:szCs w:val="28"/>
        </w:rPr>
        <w:t>，硫酸雾≤30mg/m</w:t>
      </w:r>
      <w:r>
        <w:rPr>
          <w:rFonts w:hint="eastAsia" w:ascii="宋体" w:hAnsi="宋体" w:cs="宋体"/>
          <w:szCs w:val="28"/>
          <w:vertAlign w:val="superscript"/>
        </w:rPr>
        <w:t>3</w:t>
      </w:r>
      <w:r>
        <w:rPr>
          <w:rFonts w:hint="eastAsia" w:ascii="宋体" w:hAnsi="宋体" w:cs="宋体"/>
          <w:szCs w:val="28"/>
        </w:rPr>
        <w:t>，通过管道进入50m高尾气排气筒，达标后排放入大气。</w:t>
      </w:r>
    </w:p>
    <w:p>
      <w:pPr>
        <w:pStyle w:val="34"/>
        <w:spacing w:after="0"/>
        <w:ind w:firstLine="560" w:firstLineChars="200"/>
        <w:rPr>
          <w:rFonts w:ascii="宋体" w:hAnsi="宋体" w:cs="宋体"/>
          <w:szCs w:val="28"/>
        </w:rPr>
      </w:pPr>
      <w:r>
        <w:rPr>
          <w:rFonts w:hint="eastAsia" w:ascii="宋体" w:hAnsi="宋体" w:cs="宋体"/>
          <w:szCs w:val="28"/>
        </w:rPr>
        <w:t>（7）污水处理工序</w:t>
      </w:r>
    </w:p>
    <w:p>
      <w:pPr>
        <w:pStyle w:val="34"/>
        <w:spacing w:after="0"/>
        <w:ind w:firstLine="560" w:firstLineChars="200"/>
        <w:rPr>
          <w:rFonts w:ascii="宋体" w:hAnsi="宋体" w:cs="宋体"/>
          <w:szCs w:val="28"/>
        </w:rPr>
      </w:pPr>
      <w:r>
        <w:rPr>
          <w:rFonts w:hint="eastAsia" w:ascii="宋体" w:hAnsi="宋体" w:cs="宋体"/>
          <w:szCs w:val="28"/>
        </w:rPr>
        <w:t>从净化斜管沉降器出来的污泥和稀酸槽出来的稀酸排入中和槽内，与从石灰乳渣槽放入的氧化钙进行中和反应。控制pH值在6~9的范围内，然后用泵送入污水沉清池沉清后打入排渣系统作为矿渣增湿水；沉积下来的污泥压滤掺入原料里焙烧。石灰用汽车装运入化灰槽，加水制成浆后中和稀酸。</w:t>
      </w:r>
    </w:p>
    <w:p>
      <w:pPr>
        <w:pStyle w:val="35"/>
        <w:spacing w:before="0"/>
        <w:ind w:firstLine="560"/>
        <w:rPr>
          <w:rFonts w:ascii="宋体" w:hAnsi="宋体" w:cs="宋体"/>
          <w:color w:val="auto"/>
        </w:rPr>
      </w:pPr>
      <w:r>
        <w:rPr>
          <w:rFonts w:hint="eastAsia" w:ascii="宋体" w:hAnsi="宋体" w:cs="宋体"/>
          <w:color w:val="auto"/>
        </w:rPr>
        <w:t>（8）余热发电工艺</w:t>
      </w:r>
    </w:p>
    <w:p>
      <w:pPr>
        <w:pStyle w:val="35"/>
        <w:spacing w:before="0"/>
        <w:ind w:firstLine="560"/>
        <w:rPr>
          <w:rFonts w:ascii="宋体" w:hAnsi="宋体" w:cs="宋体"/>
          <w:color w:val="auto"/>
        </w:rPr>
      </w:pPr>
      <w:r>
        <w:rPr>
          <w:rFonts w:hint="eastAsia" w:ascii="宋体" w:hAnsi="宋体" w:cs="宋体"/>
          <w:color w:val="auto"/>
        </w:rPr>
        <w:t>硫铁矿在焙烧过程中产生大量高中温余热，为充分回收利用这部分余热资源，在沸腾炉内设置沸腾层冷却管组，吸收硫铁矿焙烧过程中产生的高温余热，以维持沸腾层约850℃的正常操作温度，在4万吨沸腾炉后设置一台余热锅炉，额定蒸发量7. 4t/h,压力为2. 75MPa,温度为435℃;在8万吨沸腾炉后设置一台余热锅炉，额定蒸发量10. 4t/h,压力为2. 75MPa,温度为</w:t>
      </w:r>
      <w:r>
        <w:rPr>
          <w:rFonts w:hint="eastAsia" w:ascii="宋体" w:hAnsi="宋体" w:cs="宋体"/>
          <w:color w:val="auto"/>
          <w:lang w:val="en-US" w:eastAsia="zh-CN"/>
        </w:rPr>
        <w:t>280</w:t>
      </w:r>
      <w:r>
        <w:rPr>
          <w:rFonts w:hint="eastAsia" w:ascii="宋体" w:hAnsi="宋体" w:cs="宋体"/>
          <w:color w:val="auto"/>
        </w:rPr>
        <w:t>℃.蒸汽通过主蒸汽管进入余热发电机组，年产720万度电并入厂内电网。</w:t>
      </w:r>
    </w:p>
    <w:p>
      <w:pPr>
        <w:topLinePunct/>
        <w:adjustRightInd/>
        <w:ind w:firstLine="560"/>
        <w:rPr>
          <w:rFonts w:ascii="宋体" w:hAnsi="宋体"/>
          <w:color w:val="auto"/>
          <w:kern w:val="0"/>
          <w:szCs w:val="28"/>
        </w:rPr>
      </w:pPr>
      <w:r>
        <w:rPr>
          <w:rFonts w:hint="eastAsia"/>
          <w:color w:val="auto"/>
        </w:rPr>
        <w:t>本装置工艺流程框图见图</w:t>
      </w:r>
      <w:r>
        <w:rPr>
          <w:color w:val="auto"/>
        </w:rPr>
        <w:t>2.</w:t>
      </w:r>
      <w:r>
        <w:rPr>
          <w:rFonts w:hint="eastAsia"/>
          <w:color w:val="auto"/>
        </w:rPr>
        <w:t>5-1</w:t>
      </w:r>
      <w:r>
        <w:rPr>
          <w:rFonts w:hint="eastAsia" w:ascii="宋体" w:hAnsi="宋体"/>
          <w:color w:val="auto"/>
          <w:kern w:val="0"/>
          <w:szCs w:val="28"/>
        </w:rPr>
        <w:t>。</w:t>
      </w:r>
    </w:p>
    <w:p>
      <w:pPr>
        <w:pStyle w:val="16"/>
        <w:ind w:firstLine="560"/>
      </w:pPr>
      <w:r>
        <w:rPr>
          <w:rFonts w:hint="eastAsia"/>
        </w:rPr>
        <w:drawing>
          <wp:inline distT="0" distB="0" distL="114300" distR="114300">
            <wp:extent cx="4762500" cy="5514975"/>
            <wp:effectExtent l="0" t="0" r="0" b="9525"/>
            <wp:docPr id="1" name="图片 1" descr="1709524239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9524239054"/>
                    <pic:cNvPicPr>
                      <a:picLocks noChangeAspect="1"/>
                    </pic:cNvPicPr>
                  </pic:nvPicPr>
                  <pic:blipFill>
                    <a:blip r:embed="rId31" cstate="print"/>
                    <a:stretch>
                      <a:fillRect/>
                    </a:stretch>
                  </pic:blipFill>
                  <pic:spPr>
                    <a:xfrm>
                      <a:off x="0" y="0"/>
                      <a:ext cx="4762500" cy="5514975"/>
                    </a:xfrm>
                    <a:prstGeom prst="rect">
                      <a:avLst/>
                    </a:prstGeom>
                  </pic:spPr>
                </pic:pic>
              </a:graphicData>
            </a:graphic>
          </wp:inline>
        </w:drawing>
      </w:r>
    </w:p>
    <w:p>
      <w:pPr>
        <w:pStyle w:val="16"/>
        <w:ind w:firstLine="0" w:firstLineChars="0"/>
        <w:jc w:val="center"/>
        <w:rPr>
          <w:b/>
          <w:bCs/>
          <w:sz w:val="24"/>
          <w:szCs w:val="24"/>
        </w:rPr>
      </w:pPr>
      <w:r>
        <w:rPr>
          <w:rFonts w:hint="eastAsia"/>
          <w:b/>
          <w:bCs/>
          <w:color w:val="auto"/>
          <w:sz w:val="24"/>
          <w:szCs w:val="24"/>
        </w:rPr>
        <w:t>图</w:t>
      </w:r>
      <w:r>
        <w:rPr>
          <w:b/>
          <w:bCs/>
          <w:color w:val="auto"/>
          <w:sz w:val="24"/>
          <w:szCs w:val="24"/>
        </w:rPr>
        <w:t>2.</w:t>
      </w:r>
      <w:r>
        <w:rPr>
          <w:rFonts w:hint="eastAsia"/>
          <w:b/>
          <w:bCs/>
          <w:color w:val="auto"/>
          <w:sz w:val="24"/>
          <w:szCs w:val="24"/>
        </w:rPr>
        <w:t>5-1硫酸生产工艺流程图</w:t>
      </w:r>
    </w:p>
    <w:p>
      <w:pPr>
        <w:pStyle w:val="3"/>
        <w:keepNext w:val="0"/>
        <w:keepLines w:val="0"/>
        <w:ind w:firstLine="562"/>
        <w:rPr>
          <w:rFonts w:ascii="黑体" w:hAnsi="黑体" w:eastAsia="黑体" w:cs="黑体"/>
          <w:color w:val="000000" w:themeColor="text1"/>
        </w:rPr>
      </w:pPr>
      <w:bookmarkStart w:id="669" w:name="_Toc7749"/>
      <w:bookmarkStart w:id="670" w:name="_Toc18283"/>
      <w:bookmarkStart w:id="671" w:name="_Toc10422"/>
      <w:bookmarkStart w:id="672" w:name="_Toc22069"/>
      <w:bookmarkStart w:id="673" w:name="_Toc21137"/>
      <w:bookmarkStart w:id="674" w:name="_Toc26342"/>
      <w:bookmarkStart w:id="675" w:name="_Toc6234"/>
      <w:bookmarkStart w:id="676" w:name="_Toc16081"/>
      <w:bookmarkStart w:id="677" w:name="_Toc6088"/>
      <w:bookmarkStart w:id="678" w:name="_Toc9351"/>
      <w:bookmarkStart w:id="679" w:name="_Toc19134"/>
      <w:bookmarkStart w:id="680" w:name="_Toc12016"/>
      <w:bookmarkStart w:id="681" w:name="_Toc13242"/>
      <w:bookmarkStart w:id="682" w:name="_Toc19660"/>
      <w:bookmarkStart w:id="683" w:name="_Toc3639"/>
      <w:bookmarkStart w:id="684" w:name="_Toc4842"/>
      <w:r>
        <w:rPr>
          <w:rFonts w:hint="eastAsia" w:ascii="黑体" w:hAnsi="黑体" w:eastAsia="黑体" w:cs="黑体"/>
          <w:color w:val="000000" w:themeColor="text1"/>
        </w:rPr>
        <w:t>2.6 生产过程控制</w:t>
      </w:r>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p>
      <w:pPr>
        <w:pStyle w:val="79"/>
        <w:ind w:firstLine="640"/>
        <w:rPr>
          <w:rFonts w:hAnsi="宋体"/>
          <w:color w:val="000000" w:themeColor="text1"/>
          <w:spacing w:val="0"/>
          <w:sz w:val="28"/>
          <w:szCs w:val="28"/>
        </w:rPr>
      </w:pPr>
      <w:r>
        <w:rPr>
          <w:rFonts w:hint="eastAsia" w:hAnsi="宋体"/>
          <w:color w:val="000000" w:themeColor="text1"/>
          <w:sz w:val="28"/>
          <w:szCs w:val="28"/>
        </w:rPr>
        <w:t>跃进化工</w:t>
      </w:r>
      <w:r>
        <w:rPr>
          <w:rFonts w:hint="eastAsia" w:hAnsi="宋体"/>
          <w:color w:val="000000" w:themeColor="text1"/>
          <w:spacing w:val="0"/>
          <w:sz w:val="28"/>
          <w:szCs w:val="28"/>
        </w:rPr>
        <w:t>生产属于连续化生产，生产过程中的介质具有有毒有害等性质，生产装置的自动控制采用就地检测和集中检测相结合。</w:t>
      </w:r>
    </w:p>
    <w:p>
      <w:pPr>
        <w:pStyle w:val="3"/>
        <w:keepNext w:val="0"/>
        <w:keepLines w:val="0"/>
        <w:ind w:firstLine="562"/>
        <w:rPr>
          <w:rFonts w:ascii="黑体" w:hAnsi="黑体" w:eastAsia="黑体" w:cs="黑体"/>
          <w:color w:val="000000" w:themeColor="text1"/>
        </w:rPr>
      </w:pPr>
      <w:bookmarkStart w:id="685" w:name="_Toc8206"/>
      <w:bookmarkStart w:id="686" w:name="_Toc26718"/>
      <w:bookmarkStart w:id="687" w:name="_Toc8722"/>
      <w:bookmarkStart w:id="688" w:name="_Toc17137"/>
      <w:bookmarkStart w:id="689" w:name="_Toc13941"/>
      <w:bookmarkStart w:id="690" w:name="_Toc21313"/>
      <w:bookmarkStart w:id="691" w:name="_Toc22736"/>
      <w:bookmarkStart w:id="692" w:name="_Toc27580"/>
      <w:bookmarkStart w:id="693" w:name="_Toc20545"/>
      <w:bookmarkStart w:id="694" w:name="_Toc118297907"/>
      <w:bookmarkStart w:id="695" w:name="_Toc9580"/>
      <w:bookmarkStart w:id="696" w:name="_Toc20942"/>
      <w:bookmarkStart w:id="697" w:name="_Toc6863"/>
      <w:bookmarkStart w:id="698" w:name="_Toc31522"/>
      <w:bookmarkStart w:id="699" w:name="_Toc13886"/>
      <w:bookmarkStart w:id="700" w:name="_Toc5667"/>
      <w:bookmarkStart w:id="701" w:name="_Toc7145"/>
      <w:bookmarkStart w:id="702" w:name="_Toc7741"/>
      <w:bookmarkStart w:id="703" w:name="_Toc5858"/>
      <w:bookmarkStart w:id="704" w:name="_Toc30316"/>
      <w:bookmarkStart w:id="705" w:name="_Toc1784"/>
      <w:bookmarkStart w:id="706" w:name="_Toc23240"/>
      <w:bookmarkStart w:id="707" w:name="_Toc12723"/>
      <w:bookmarkStart w:id="708" w:name="_Toc13901"/>
      <w:bookmarkStart w:id="709" w:name="_Toc23438"/>
      <w:bookmarkStart w:id="710" w:name="_Toc2700"/>
      <w:bookmarkStart w:id="711" w:name="_Toc11228"/>
      <w:bookmarkStart w:id="712" w:name="_Toc24030"/>
      <w:bookmarkStart w:id="713" w:name="_Toc25933"/>
      <w:bookmarkStart w:id="714" w:name="_Toc32737"/>
      <w:bookmarkStart w:id="715" w:name="_Toc30465"/>
      <w:bookmarkStart w:id="716" w:name="_Toc18686"/>
      <w:bookmarkStart w:id="717" w:name="_Toc32641"/>
      <w:r>
        <w:rPr>
          <w:rFonts w:hint="eastAsia" w:ascii="黑体" w:hAnsi="黑体" w:eastAsia="黑体" w:cs="黑体"/>
          <w:color w:val="000000" w:themeColor="text1"/>
        </w:rPr>
        <w:t>2.7 主要建构筑物及设施设备</w:t>
      </w:r>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pPr>
        <w:pStyle w:val="4"/>
        <w:ind w:firstLine="562"/>
      </w:pPr>
      <w:bookmarkStart w:id="718" w:name="_Toc10745"/>
      <w:bookmarkStart w:id="719" w:name="_Toc13659"/>
      <w:bookmarkStart w:id="720" w:name="_Toc11222"/>
      <w:bookmarkStart w:id="721" w:name="_Toc12834"/>
      <w:bookmarkStart w:id="722" w:name="_Toc15430"/>
      <w:bookmarkStart w:id="723" w:name="_Toc5674"/>
      <w:bookmarkStart w:id="724" w:name="_Toc3368"/>
      <w:bookmarkStart w:id="725" w:name="_Toc11534"/>
      <w:bookmarkStart w:id="726" w:name="_Toc13217"/>
      <w:bookmarkStart w:id="727" w:name="_Toc19904"/>
      <w:bookmarkStart w:id="728" w:name="_Toc18692"/>
      <w:bookmarkStart w:id="729" w:name="_Toc18535"/>
      <w:bookmarkStart w:id="730" w:name="_Toc10053"/>
      <w:bookmarkStart w:id="731" w:name="_Toc19013"/>
      <w:bookmarkStart w:id="732" w:name="_Toc118297908"/>
      <w:bookmarkStart w:id="733" w:name="_Toc30294"/>
      <w:bookmarkStart w:id="734" w:name="_Toc18537"/>
      <w:bookmarkStart w:id="735" w:name="_Toc10335"/>
      <w:bookmarkStart w:id="736" w:name="_Toc3782"/>
      <w:bookmarkStart w:id="737" w:name="_Toc31636"/>
      <w:bookmarkStart w:id="738" w:name="_Toc8155"/>
      <w:bookmarkStart w:id="739" w:name="_Toc5709"/>
      <w:bookmarkStart w:id="740" w:name="_Toc28876"/>
      <w:r>
        <w:rPr>
          <w:rFonts w:hint="eastAsia"/>
        </w:rPr>
        <w:t>2.7.1 主要建构筑物</w:t>
      </w:r>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p>
    <w:bookmarkEnd w:id="574"/>
    <w:bookmarkEnd w:id="575"/>
    <w:bookmarkEnd w:id="576"/>
    <w:bookmarkEnd w:id="577"/>
    <w:p>
      <w:pPr>
        <w:spacing w:before="50" w:after="50"/>
        <w:ind w:firstLine="574" w:firstLineChars="205"/>
        <w:rPr>
          <w:color w:val="000000" w:themeColor="text1"/>
          <w:szCs w:val="28"/>
        </w:rPr>
      </w:pPr>
      <w:r>
        <w:rPr>
          <w:rFonts w:hint="eastAsia"/>
          <w:color w:val="000000" w:themeColor="text1"/>
          <w:szCs w:val="28"/>
        </w:rPr>
        <w:t>跃进化工的主要建、构筑物情况见表2.7-1</w:t>
      </w:r>
    </w:p>
    <w:p>
      <w:pPr>
        <w:spacing w:line="240" w:lineRule="auto"/>
        <w:ind w:firstLine="0" w:firstLineChars="0"/>
        <w:jc w:val="center"/>
        <w:rPr>
          <w:rFonts w:ascii="宋体" w:hAnsi="宋体"/>
          <w:b/>
          <w:bCs/>
          <w:color w:val="auto"/>
          <w:sz w:val="24"/>
        </w:rPr>
      </w:pPr>
      <w:bookmarkStart w:id="741" w:name="_Toc20534"/>
      <w:bookmarkStart w:id="742" w:name="_Toc28609"/>
      <w:bookmarkStart w:id="743" w:name="_Toc17290"/>
      <w:bookmarkStart w:id="744" w:name="_Toc11311"/>
      <w:bookmarkStart w:id="745" w:name="_Toc31435"/>
      <w:bookmarkStart w:id="746" w:name="_Toc27380"/>
      <w:bookmarkStart w:id="747" w:name="_Toc14995"/>
      <w:bookmarkStart w:id="748" w:name="_Toc16815"/>
      <w:bookmarkStart w:id="749" w:name="_Toc128056388"/>
      <w:bookmarkStart w:id="750" w:name="_Toc12115"/>
      <w:r>
        <w:rPr>
          <w:rFonts w:hint="eastAsia" w:ascii="宋体" w:hAnsi="宋体"/>
          <w:b/>
          <w:bCs/>
          <w:color w:val="auto"/>
          <w:sz w:val="24"/>
        </w:rPr>
        <w:t>表2.7-1</w:t>
      </w:r>
      <w:r>
        <w:rPr>
          <w:rFonts w:ascii="宋体" w:hAnsi="宋体"/>
          <w:b/>
          <w:bCs/>
          <w:color w:val="auto"/>
          <w:sz w:val="24"/>
        </w:rPr>
        <w:t xml:space="preserve"> </w:t>
      </w:r>
      <w:r>
        <w:rPr>
          <w:rFonts w:hint="eastAsia" w:ascii="宋体" w:hAnsi="宋体"/>
          <w:b/>
          <w:bCs/>
          <w:color w:val="auto"/>
          <w:sz w:val="24"/>
        </w:rPr>
        <w:t xml:space="preserve"> 主要建构筑物一览表</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0"/>
        <w:gridCol w:w="1741"/>
        <w:gridCol w:w="734"/>
        <w:gridCol w:w="1470"/>
        <w:gridCol w:w="1126"/>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582" w:type="pct"/>
            <w:vAlign w:val="center"/>
          </w:tcPr>
          <w:p>
            <w:pPr>
              <w:spacing w:line="240" w:lineRule="auto"/>
              <w:ind w:firstLine="0" w:firstLineChars="0"/>
              <w:jc w:val="center"/>
              <w:rPr>
                <w:rFonts w:ascii="宋体" w:hAnsi="宋体"/>
                <w:b/>
                <w:color w:val="auto"/>
                <w:kern w:val="0"/>
                <w:sz w:val="21"/>
                <w:szCs w:val="21"/>
              </w:rPr>
            </w:pPr>
            <w:bookmarkStart w:id="751" w:name="_Hlk68131529"/>
            <w:r>
              <w:rPr>
                <w:rFonts w:hint="eastAsia" w:ascii="宋体" w:hAnsi="宋体"/>
                <w:b/>
                <w:color w:val="auto"/>
                <w:kern w:val="0"/>
                <w:sz w:val="21"/>
                <w:szCs w:val="21"/>
              </w:rPr>
              <w:t>建筑物名称</w:t>
            </w:r>
          </w:p>
        </w:tc>
        <w:tc>
          <w:tcPr>
            <w:tcW w:w="937" w:type="pct"/>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建筑结构</w:t>
            </w:r>
          </w:p>
        </w:tc>
        <w:tc>
          <w:tcPr>
            <w:tcW w:w="395" w:type="pct"/>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层数</w:t>
            </w:r>
          </w:p>
        </w:tc>
        <w:tc>
          <w:tcPr>
            <w:tcW w:w="791" w:type="pct"/>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建筑面积/m</w:t>
            </w:r>
            <w:r>
              <w:rPr>
                <w:rFonts w:hint="eastAsia" w:ascii="宋体" w:hAnsi="宋体"/>
                <w:b/>
                <w:color w:val="auto"/>
                <w:kern w:val="0"/>
                <w:sz w:val="21"/>
                <w:szCs w:val="21"/>
                <w:vertAlign w:val="superscript"/>
              </w:rPr>
              <w:t>2</w:t>
            </w:r>
          </w:p>
        </w:tc>
        <w:tc>
          <w:tcPr>
            <w:tcW w:w="606" w:type="pct"/>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火灾类别</w:t>
            </w:r>
          </w:p>
        </w:tc>
        <w:tc>
          <w:tcPr>
            <w:tcW w:w="687" w:type="pct"/>
            <w:vAlign w:val="center"/>
          </w:tcPr>
          <w:p>
            <w:pPr>
              <w:spacing w:line="240" w:lineRule="auto"/>
              <w:ind w:firstLine="0" w:firstLineChars="0"/>
              <w:jc w:val="center"/>
              <w:rPr>
                <w:rFonts w:ascii="宋体" w:hAnsi="宋体"/>
                <w:b/>
                <w:color w:val="auto"/>
                <w:kern w:val="0"/>
                <w:sz w:val="21"/>
                <w:szCs w:val="21"/>
              </w:rPr>
            </w:pPr>
            <w:r>
              <w:rPr>
                <w:rFonts w:hint="eastAsia" w:ascii="宋体" w:hAnsi="宋体"/>
                <w:b/>
                <w:color w:val="auto"/>
                <w:kern w:val="0"/>
                <w:sz w:val="21"/>
                <w:szCs w:val="21"/>
              </w:rPr>
              <w:t>耐火等级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r>
              <w:rPr>
                <w:rFonts w:hint="eastAsia" w:ascii="宋体" w:hAnsi="宋体"/>
                <w:color w:val="auto"/>
                <w:kern w:val="0"/>
                <w:sz w:val="21"/>
                <w:szCs w:val="21"/>
                <w:vertAlign w:val="superscript"/>
              </w:rPr>
              <w:t>#</w:t>
            </w:r>
            <w:r>
              <w:rPr>
                <w:rFonts w:hint="eastAsia" w:ascii="宋体" w:hAnsi="宋体"/>
                <w:color w:val="auto"/>
                <w:kern w:val="0"/>
                <w:sz w:val="21"/>
                <w:szCs w:val="21"/>
              </w:rPr>
              <w:t>焙烧厂房</w:t>
            </w:r>
          </w:p>
        </w:tc>
        <w:tc>
          <w:tcPr>
            <w:tcW w:w="93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框架结构</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4</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288</w:t>
            </w:r>
          </w:p>
        </w:tc>
        <w:tc>
          <w:tcPr>
            <w:tcW w:w="606"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丁</w:t>
            </w:r>
            <w:r>
              <w:rPr>
                <w:rFonts w:ascii="宋体" w:hAnsi="宋体"/>
                <w:color w:val="auto"/>
                <w:kern w:val="0"/>
                <w:sz w:val="21"/>
                <w:szCs w:val="21"/>
              </w:rPr>
              <w:t>类</w:t>
            </w:r>
          </w:p>
        </w:tc>
        <w:tc>
          <w:tcPr>
            <w:tcW w:w="68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r>
              <w:rPr>
                <w:rFonts w:hint="eastAsia" w:ascii="宋体" w:hAnsi="宋体"/>
                <w:color w:val="auto"/>
                <w:kern w:val="0"/>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2</w:t>
            </w:r>
            <w:r>
              <w:rPr>
                <w:rFonts w:hint="eastAsia" w:ascii="宋体" w:hAnsi="宋体"/>
                <w:color w:val="auto"/>
                <w:kern w:val="0"/>
                <w:sz w:val="21"/>
                <w:szCs w:val="21"/>
                <w:vertAlign w:val="superscript"/>
              </w:rPr>
              <w:t>#</w:t>
            </w:r>
            <w:r>
              <w:rPr>
                <w:rFonts w:hint="eastAsia" w:ascii="宋体" w:hAnsi="宋体"/>
                <w:color w:val="auto"/>
                <w:kern w:val="0"/>
                <w:sz w:val="21"/>
                <w:szCs w:val="21"/>
              </w:rPr>
              <w:t>焙烧厂房</w:t>
            </w:r>
          </w:p>
        </w:tc>
        <w:tc>
          <w:tcPr>
            <w:tcW w:w="93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框架结构</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4</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3</w:t>
            </w:r>
            <w:r>
              <w:rPr>
                <w:rFonts w:ascii="宋体" w:hAnsi="宋体"/>
                <w:color w:val="auto"/>
                <w:kern w:val="0"/>
                <w:sz w:val="21"/>
                <w:szCs w:val="21"/>
              </w:rPr>
              <w:t>24</w:t>
            </w:r>
          </w:p>
        </w:tc>
        <w:tc>
          <w:tcPr>
            <w:tcW w:w="606"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丁</w:t>
            </w:r>
            <w:r>
              <w:rPr>
                <w:rFonts w:ascii="宋体" w:hAnsi="宋体"/>
                <w:color w:val="auto"/>
                <w:kern w:val="0"/>
                <w:sz w:val="21"/>
                <w:szCs w:val="21"/>
              </w:rPr>
              <w:t>类</w:t>
            </w:r>
          </w:p>
        </w:tc>
        <w:tc>
          <w:tcPr>
            <w:tcW w:w="68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r>
              <w:rPr>
                <w:rFonts w:hint="eastAsia" w:ascii="宋体" w:hAnsi="宋体"/>
                <w:color w:val="auto"/>
                <w:kern w:val="0"/>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SO</w:t>
            </w:r>
            <w:r>
              <w:rPr>
                <w:rFonts w:hint="eastAsia" w:ascii="宋体" w:hAnsi="宋体"/>
                <w:color w:val="auto"/>
                <w:kern w:val="0"/>
                <w:sz w:val="21"/>
                <w:szCs w:val="21"/>
                <w:vertAlign w:val="subscript"/>
              </w:rPr>
              <w:t>2</w:t>
            </w:r>
            <w:r>
              <w:rPr>
                <w:rFonts w:hint="eastAsia" w:ascii="宋体" w:hAnsi="宋体"/>
                <w:color w:val="auto"/>
                <w:kern w:val="0"/>
                <w:sz w:val="21"/>
                <w:szCs w:val="21"/>
              </w:rPr>
              <w:t>风机房</w:t>
            </w:r>
          </w:p>
        </w:tc>
        <w:tc>
          <w:tcPr>
            <w:tcW w:w="93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砖混</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sz w:val="21"/>
                <w:szCs w:val="21"/>
              </w:rPr>
            </w:pPr>
            <w:r>
              <w:rPr>
                <w:rFonts w:ascii="宋体" w:hAnsi="宋体"/>
                <w:color w:val="auto"/>
                <w:sz w:val="21"/>
                <w:szCs w:val="21"/>
              </w:rPr>
              <w:t>144</w:t>
            </w:r>
          </w:p>
        </w:tc>
        <w:tc>
          <w:tcPr>
            <w:tcW w:w="606"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戊类</w:t>
            </w:r>
          </w:p>
        </w:tc>
        <w:tc>
          <w:tcPr>
            <w:tcW w:w="68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r>
              <w:rPr>
                <w:rFonts w:hint="eastAsia" w:ascii="宋体" w:hAnsi="宋体"/>
                <w:color w:val="auto"/>
                <w:kern w:val="0"/>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值班室、低压高压配电室</w:t>
            </w:r>
          </w:p>
        </w:tc>
        <w:tc>
          <w:tcPr>
            <w:tcW w:w="93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框架结构</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2</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646</w:t>
            </w:r>
          </w:p>
        </w:tc>
        <w:tc>
          <w:tcPr>
            <w:tcW w:w="606"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丁类</w:t>
            </w:r>
          </w:p>
        </w:tc>
        <w:tc>
          <w:tcPr>
            <w:tcW w:w="68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r>
              <w:rPr>
                <w:rFonts w:hint="eastAsia" w:ascii="宋体" w:hAnsi="宋体"/>
                <w:color w:val="auto"/>
                <w:kern w:val="0"/>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储藏室</w:t>
            </w:r>
          </w:p>
        </w:tc>
        <w:tc>
          <w:tcPr>
            <w:tcW w:w="93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砖混</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4</w:t>
            </w:r>
            <w:r>
              <w:rPr>
                <w:rFonts w:ascii="宋体" w:hAnsi="宋体"/>
                <w:color w:val="auto"/>
                <w:kern w:val="0"/>
                <w:sz w:val="21"/>
                <w:szCs w:val="21"/>
              </w:rPr>
              <w:t>0</w:t>
            </w:r>
          </w:p>
        </w:tc>
        <w:tc>
          <w:tcPr>
            <w:tcW w:w="606"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戊类</w:t>
            </w:r>
          </w:p>
        </w:tc>
        <w:tc>
          <w:tcPr>
            <w:tcW w:w="68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r>
              <w:rPr>
                <w:rFonts w:hint="eastAsia" w:ascii="宋体" w:hAnsi="宋体"/>
                <w:color w:val="auto"/>
                <w:kern w:val="0"/>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中控室、汽机间</w:t>
            </w:r>
          </w:p>
        </w:tc>
        <w:tc>
          <w:tcPr>
            <w:tcW w:w="93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框架结构</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2</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6</w:t>
            </w:r>
            <w:r>
              <w:rPr>
                <w:rFonts w:ascii="宋体" w:hAnsi="宋体"/>
                <w:color w:val="auto"/>
                <w:kern w:val="0"/>
                <w:sz w:val="21"/>
                <w:szCs w:val="21"/>
              </w:rPr>
              <w:t>00</w:t>
            </w:r>
          </w:p>
        </w:tc>
        <w:tc>
          <w:tcPr>
            <w:tcW w:w="606"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戊类</w:t>
            </w:r>
          </w:p>
        </w:tc>
        <w:tc>
          <w:tcPr>
            <w:tcW w:w="68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r>
              <w:rPr>
                <w:rFonts w:hint="eastAsia" w:ascii="宋体" w:hAnsi="宋体"/>
                <w:color w:val="auto"/>
                <w:kern w:val="0"/>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原料仓库</w:t>
            </w:r>
          </w:p>
        </w:tc>
        <w:tc>
          <w:tcPr>
            <w:tcW w:w="937"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钢架</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2</w:t>
            </w:r>
            <w:r>
              <w:rPr>
                <w:rFonts w:ascii="宋体" w:hAnsi="宋体"/>
                <w:color w:val="auto"/>
                <w:kern w:val="0"/>
                <w:sz w:val="21"/>
                <w:szCs w:val="21"/>
              </w:rPr>
              <w:t>475</w:t>
            </w:r>
          </w:p>
        </w:tc>
        <w:tc>
          <w:tcPr>
            <w:tcW w:w="606"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戊类</w:t>
            </w:r>
          </w:p>
        </w:tc>
        <w:tc>
          <w:tcPr>
            <w:tcW w:w="68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r>
              <w:rPr>
                <w:rFonts w:hint="eastAsia" w:ascii="宋体" w:hAnsi="宋体"/>
                <w:color w:val="auto"/>
                <w:kern w:val="0"/>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小渣库</w:t>
            </w:r>
          </w:p>
        </w:tc>
        <w:tc>
          <w:tcPr>
            <w:tcW w:w="93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砖混</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r>
              <w:rPr>
                <w:rFonts w:ascii="宋体" w:hAnsi="宋体"/>
                <w:color w:val="auto"/>
                <w:kern w:val="0"/>
                <w:sz w:val="21"/>
                <w:szCs w:val="21"/>
              </w:rPr>
              <w:t>44</w:t>
            </w:r>
          </w:p>
        </w:tc>
        <w:tc>
          <w:tcPr>
            <w:tcW w:w="606"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戊类</w:t>
            </w:r>
          </w:p>
        </w:tc>
        <w:tc>
          <w:tcPr>
            <w:tcW w:w="68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r>
              <w:rPr>
                <w:rFonts w:hint="eastAsia" w:ascii="宋体" w:hAnsi="宋体"/>
                <w:color w:val="auto"/>
                <w:kern w:val="0"/>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大渣库</w:t>
            </w:r>
          </w:p>
        </w:tc>
        <w:tc>
          <w:tcPr>
            <w:tcW w:w="93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砖混</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r>
              <w:rPr>
                <w:rFonts w:ascii="宋体" w:hAnsi="宋体"/>
                <w:color w:val="auto"/>
                <w:kern w:val="0"/>
                <w:sz w:val="21"/>
                <w:szCs w:val="21"/>
              </w:rPr>
              <w:t>020</w:t>
            </w:r>
          </w:p>
        </w:tc>
        <w:tc>
          <w:tcPr>
            <w:tcW w:w="606"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戊类</w:t>
            </w:r>
          </w:p>
        </w:tc>
        <w:tc>
          <w:tcPr>
            <w:tcW w:w="68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r>
              <w:rPr>
                <w:rFonts w:hint="eastAsia" w:ascii="宋体" w:hAnsi="宋体"/>
                <w:color w:val="auto"/>
                <w:kern w:val="0"/>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办公楼</w:t>
            </w:r>
          </w:p>
        </w:tc>
        <w:tc>
          <w:tcPr>
            <w:tcW w:w="93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框架结构</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4</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2</w:t>
            </w:r>
            <w:r>
              <w:rPr>
                <w:rFonts w:ascii="宋体" w:hAnsi="宋体"/>
                <w:color w:val="auto"/>
                <w:kern w:val="0"/>
                <w:sz w:val="21"/>
                <w:szCs w:val="21"/>
              </w:rPr>
              <w:t>290</w:t>
            </w:r>
          </w:p>
        </w:tc>
        <w:tc>
          <w:tcPr>
            <w:tcW w:w="606"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民建</w:t>
            </w:r>
          </w:p>
        </w:tc>
        <w:tc>
          <w:tcPr>
            <w:tcW w:w="68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二</w:t>
            </w:r>
            <w:r>
              <w:rPr>
                <w:rFonts w:hint="eastAsia" w:ascii="宋体" w:hAnsi="宋体"/>
                <w:color w:val="auto"/>
                <w:kern w:val="0"/>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2"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职工食堂</w:t>
            </w:r>
          </w:p>
        </w:tc>
        <w:tc>
          <w:tcPr>
            <w:tcW w:w="937" w:type="pct"/>
            <w:vAlign w:val="center"/>
          </w:tcPr>
          <w:p>
            <w:pPr>
              <w:spacing w:line="240" w:lineRule="auto"/>
              <w:ind w:firstLine="0" w:firstLineChars="0"/>
              <w:jc w:val="center"/>
              <w:rPr>
                <w:rFonts w:ascii="宋体" w:hAnsi="宋体"/>
                <w:color w:val="auto"/>
                <w:kern w:val="0"/>
                <w:sz w:val="21"/>
                <w:szCs w:val="21"/>
              </w:rPr>
            </w:pPr>
            <w:r>
              <w:rPr>
                <w:rFonts w:ascii="宋体" w:hAnsi="宋体"/>
                <w:color w:val="auto"/>
                <w:kern w:val="0"/>
                <w:sz w:val="21"/>
                <w:szCs w:val="21"/>
              </w:rPr>
              <w:t>砖混</w:t>
            </w:r>
          </w:p>
        </w:tc>
        <w:tc>
          <w:tcPr>
            <w:tcW w:w="395"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r>
              <w:rPr>
                <w:rFonts w:ascii="宋体" w:hAnsi="宋体"/>
                <w:color w:val="auto"/>
                <w:kern w:val="0"/>
                <w:sz w:val="21"/>
                <w:szCs w:val="21"/>
              </w:rPr>
              <w:t>F</w:t>
            </w:r>
          </w:p>
        </w:tc>
        <w:tc>
          <w:tcPr>
            <w:tcW w:w="791"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1</w:t>
            </w:r>
            <w:r>
              <w:rPr>
                <w:rFonts w:ascii="宋体" w:hAnsi="宋体"/>
                <w:color w:val="auto"/>
                <w:kern w:val="0"/>
                <w:sz w:val="21"/>
                <w:szCs w:val="21"/>
              </w:rPr>
              <w:t>44</w:t>
            </w:r>
          </w:p>
        </w:tc>
        <w:tc>
          <w:tcPr>
            <w:tcW w:w="606" w:type="pct"/>
            <w:vAlign w:val="center"/>
          </w:tcPr>
          <w:p>
            <w:pPr>
              <w:spacing w:line="240" w:lineRule="auto"/>
              <w:ind w:firstLine="0" w:firstLineChars="0"/>
              <w:jc w:val="center"/>
              <w:rPr>
                <w:rFonts w:ascii="宋体" w:hAnsi="宋体"/>
                <w:color w:val="auto"/>
                <w:kern w:val="0"/>
                <w:sz w:val="21"/>
                <w:szCs w:val="21"/>
              </w:rPr>
            </w:pPr>
            <w:r>
              <w:rPr>
                <w:rFonts w:hint="eastAsia" w:ascii="宋体" w:hAnsi="宋体"/>
                <w:color w:val="auto"/>
                <w:kern w:val="0"/>
                <w:sz w:val="21"/>
                <w:szCs w:val="21"/>
              </w:rPr>
              <w:t>民建</w:t>
            </w:r>
          </w:p>
        </w:tc>
        <w:tc>
          <w:tcPr>
            <w:tcW w:w="687" w:type="pct"/>
            <w:vAlign w:val="center"/>
          </w:tcPr>
          <w:p>
            <w:pPr>
              <w:spacing w:line="240" w:lineRule="auto"/>
              <w:ind w:firstLine="0" w:firstLineChars="0"/>
              <w:jc w:val="center"/>
              <w:rPr>
                <w:rFonts w:ascii="宋体" w:hAnsi="宋体"/>
                <w:color w:val="auto"/>
                <w:kern w:val="0"/>
                <w:sz w:val="21"/>
                <w:szCs w:val="21"/>
              </w:rPr>
            </w:pPr>
          </w:p>
        </w:tc>
      </w:tr>
      <w:bookmarkEnd w:id="751"/>
    </w:tbl>
    <w:p>
      <w:pPr>
        <w:pStyle w:val="16"/>
        <w:ind w:firstLine="0" w:firstLineChars="0"/>
      </w:pPr>
    </w:p>
    <w:p>
      <w:pPr>
        <w:pStyle w:val="4"/>
        <w:ind w:firstLine="562"/>
      </w:pPr>
      <w:bookmarkStart w:id="752" w:name="_Toc13256"/>
      <w:bookmarkStart w:id="753" w:name="_Toc4630"/>
      <w:bookmarkStart w:id="754" w:name="_Toc4978"/>
      <w:bookmarkStart w:id="755" w:name="_Toc19612"/>
      <w:bookmarkStart w:id="756" w:name="_Toc15230"/>
      <w:bookmarkStart w:id="757" w:name="_Toc23279"/>
      <w:bookmarkStart w:id="758" w:name="_Toc12676"/>
      <w:bookmarkStart w:id="759" w:name="_Toc23845"/>
      <w:bookmarkStart w:id="760" w:name="_Toc3247"/>
      <w:bookmarkStart w:id="761" w:name="_Toc6658"/>
      <w:bookmarkStart w:id="762" w:name="_Toc5040"/>
      <w:bookmarkStart w:id="763" w:name="_Toc12982"/>
      <w:bookmarkStart w:id="764" w:name="_Toc3154"/>
      <w:bookmarkStart w:id="765" w:name="_Toc9649"/>
      <w:bookmarkStart w:id="766" w:name="_Toc2816"/>
      <w:bookmarkStart w:id="767" w:name="_Toc29551"/>
      <w:r>
        <w:rPr>
          <w:rFonts w:hint="eastAsia"/>
        </w:rPr>
        <w:t>2.7.2 主要生产设备</w:t>
      </w:r>
      <w:bookmarkEnd w:id="741"/>
      <w:bookmarkEnd w:id="742"/>
      <w:bookmarkEnd w:id="743"/>
      <w:bookmarkEnd w:id="744"/>
      <w:bookmarkEnd w:id="745"/>
      <w:bookmarkEnd w:id="746"/>
      <w:bookmarkEnd w:id="747"/>
      <w:bookmarkEnd w:id="748"/>
      <w:bookmarkEnd w:id="749"/>
      <w:bookmarkEnd w:id="750"/>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p>
    <w:p>
      <w:pPr>
        <w:pStyle w:val="76"/>
        <w:ind w:firstLine="560" w:firstLineChars="200"/>
        <w:jc w:val="both"/>
        <w:rPr>
          <w:b w:val="0"/>
          <w:bCs/>
          <w:color w:val="000000" w:themeColor="text1"/>
        </w:rPr>
      </w:pPr>
      <w:r>
        <w:rPr>
          <w:rFonts w:hint="eastAsia"/>
          <w:b w:val="0"/>
          <w:bCs/>
          <w:color w:val="000000" w:themeColor="text1"/>
          <w:lang w:val="en-GB"/>
        </w:rPr>
        <w:t>跃进化工</w:t>
      </w:r>
      <w:r>
        <w:rPr>
          <w:rFonts w:hint="eastAsia"/>
          <w:b w:val="0"/>
          <w:bCs/>
          <w:color w:val="000000" w:themeColor="text1"/>
        </w:rPr>
        <w:t>涉及的主要设备见表2.7-2、2.7－3。</w:t>
      </w:r>
    </w:p>
    <w:p>
      <w:pPr>
        <w:spacing w:line="240" w:lineRule="atLeast"/>
        <w:ind w:firstLine="0" w:firstLineChars="0"/>
        <w:jc w:val="center"/>
        <w:rPr>
          <w:rFonts w:ascii="宋体" w:hAnsi="宋体" w:cs="宋体"/>
          <w:b/>
          <w:kern w:val="0"/>
          <w:sz w:val="24"/>
        </w:rPr>
      </w:pPr>
      <w:r>
        <w:rPr>
          <w:rFonts w:hint="eastAsia" w:ascii="宋体" w:hAnsi="宋体" w:cs="宋体"/>
          <w:b/>
          <w:color w:val="000000" w:themeColor="text1"/>
          <w:sz w:val="24"/>
        </w:rPr>
        <w:t>表2.7-2</w:t>
      </w:r>
      <w:r>
        <w:rPr>
          <w:rFonts w:hint="eastAsia" w:ascii="宋体" w:hAnsi="宋体" w:cs="宋体"/>
          <w:b/>
          <w:kern w:val="0"/>
          <w:sz w:val="24"/>
        </w:rPr>
        <w:t>主要设备设施清单（一线）</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1"/>
        <w:gridCol w:w="1071"/>
        <w:gridCol w:w="1865"/>
        <w:gridCol w:w="3084"/>
        <w:gridCol w:w="710"/>
        <w:gridCol w:w="773"/>
        <w:gridCol w:w="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b/>
                <w:sz w:val="21"/>
                <w:szCs w:val="21"/>
              </w:rPr>
            </w:pPr>
            <w:r>
              <w:rPr>
                <w:rFonts w:hint="eastAsia" w:ascii="宋体" w:hAnsi="宋体" w:cs="仿宋_GB2312"/>
                <w:b/>
                <w:sz w:val="21"/>
                <w:szCs w:val="21"/>
              </w:rPr>
              <w:t>序号</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b/>
                <w:sz w:val="21"/>
                <w:szCs w:val="21"/>
              </w:rPr>
            </w:pPr>
            <w:r>
              <w:rPr>
                <w:rFonts w:hint="eastAsia" w:ascii="宋体" w:hAnsi="宋体" w:cs="仿宋_GB2312"/>
                <w:b/>
                <w:sz w:val="21"/>
                <w:szCs w:val="21"/>
              </w:rPr>
              <w:t>所在</w:t>
            </w:r>
          </w:p>
          <w:p>
            <w:pPr>
              <w:spacing w:line="240" w:lineRule="auto"/>
              <w:ind w:firstLine="0" w:firstLineChars="0"/>
              <w:jc w:val="center"/>
              <w:rPr>
                <w:rFonts w:ascii="宋体" w:hAnsi="宋体"/>
                <w:b/>
                <w:sz w:val="21"/>
                <w:szCs w:val="21"/>
              </w:rPr>
            </w:pPr>
            <w:r>
              <w:rPr>
                <w:rFonts w:hint="eastAsia" w:ascii="宋体" w:hAnsi="宋体" w:cs="仿宋_GB2312"/>
                <w:b/>
                <w:sz w:val="21"/>
                <w:szCs w:val="21"/>
              </w:rPr>
              <w:t>工序</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b/>
                <w:sz w:val="21"/>
                <w:szCs w:val="21"/>
              </w:rPr>
            </w:pPr>
            <w:r>
              <w:rPr>
                <w:rFonts w:hint="eastAsia" w:ascii="宋体" w:hAnsi="宋体" w:cs="仿宋_GB2312"/>
                <w:b/>
                <w:sz w:val="21"/>
                <w:szCs w:val="21"/>
              </w:rPr>
              <w:t>设施名称</w:t>
            </w:r>
          </w:p>
        </w:tc>
        <w:tc>
          <w:tcPr>
            <w:tcW w:w="166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b/>
                <w:sz w:val="21"/>
                <w:szCs w:val="21"/>
              </w:rPr>
            </w:pPr>
            <w:r>
              <w:rPr>
                <w:rFonts w:hint="eastAsia" w:ascii="宋体" w:hAnsi="宋体" w:cs="仿宋_GB2312"/>
                <w:b/>
                <w:sz w:val="21"/>
                <w:szCs w:val="21"/>
              </w:rPr>
              <w:t>规格</w:t>
            </w:r>
            <w:r>
              <w:rPr>
                <w:rFonts w:ascii="宋体" w:hAnsi="宋体" w:cs="仿宋_GB2312"/>
                <w:b/>
                <w:sz w:val="21"/>
                <w:szCs w:val="21"/>
              </w:rPr>
              <w:t>/</w:t>
            </w:r>
            <w:r>
              <w:rPr>
                <w:rFonts w:hint="eastAsia" w:ascii="宋体" w:hAnsi="宋体" w:cs="仿宋_GB2312"/>
                <w:b/>
                <w:sz w:val="21"/>
                <w:szCs w:val="21"/>
              </w:rPr>
              <w:t>型号</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b/>
                <w:w w:val="85"/>
                <w:sz w:val="21"/>
                <w:szCs w:val="21"/>
              </w:rPr>
            </w:pPr>
            <w:r>
              <w:rPr>
                <w:rFonts w:hint="eastAsia" w:ascii="宋体" w:hAnsi="宋体" w:cs="仿宋_GB2312"/>
                <w:b/>
                <w:w w:val="85"/>
                <w:sz w:val="21"/>
                <w:szCs w:val="21"/>
              </w:rPr>
              <w:t>单位</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b/>
                <w:w w:val="85"/>
                <w:sz w:val="21"/>
                <w:szCs w:val="21"/>
              </w:rPr>
            </w:pPr>
            <w:r>
              <w:rPr>
                <w:rFonts w:hint="eastAsia" w:ascii="宋体" w:hAnsi="宋体" w:cs="仿宋_GB2312"/>
                <w:b/>
                <w:w w:val="85"/>
                <w:sz w:val="21"/>
                <w:szCs w:val="21"/>
              </w:rPr>
              <w:t>数量</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b/>
                <w:w w:val="85"/>
                <w:sz w:val="21"/>
                <w:szCs w:val="21"/>
              </w:rPr>
            </w:pPr>
            <w:r>
              <w:rPr>
                <w:rFonts w:hint="eastAsia" w:ascii="宋体" w:hAnsi="宋体" w:cs="仿宋_GB2312"/>
                <w:b/>
                <w:w w:val="85"/>
                <w:sz w:val="21"/>
                <w:szCs w:val="21"/>
              </w:rPr>
              <w:t>使用</w:t>
            </w:r>
          </w:p>
          <w:p>
            <w:pPr>
              <w:spacing w:line="240" w:lineRule="auto"/>
              <w:ind w:firstLine="0" w:firstLineChars="0"/>
              <w:jc w:val="center"/>
              <w:rPr>
                <w:rFonts w:ascii="宋体" w:hAnsi="宋体" w:cs="仿宋_GB2312"/>
                <w:b/>
                <w:w w:val="85"/>
                <w:sz w:val="21"/>
                <w:szCs w:val="21"/>
              </w:rPr>
            </w:pPr>
            <w:r>
              <w:rPr>
                <w:rFonts w:hint="eastAsia" w:ascii="宋体" w:hAnsi="宋体" w:cs="仿宋_GB2312"/>
                <w:b/>
                <w:w w:val="85"/>
                <w:sz w:val="21"/>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77" w:type="pct"/>
            <w:tcBorders>
              <w:top w:val="single" w:color="auto" w:sz="4" w:space="0"/>
              <w:left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原料</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1</w:t>
            </w:r>
            <w:r>
              <w:rPr>
                <w:rFonts w:hint="eastAsia" w:ascii="宋体" w:hAnsi="宋体" w:cs="仿宋_GB2312"/>
                <w:sz w:val="21"/>
                <w:szCs w:val="21"/>
                <w:vertAlign w:val="superscript"/>
              </w:rPr>
              <w:t>#</w:t>
            </w:r>
            <w:r>
              <w:rPr>
                <w:rFonts w:hint="eastAsia" w:ascii="宋体" w:hAnsi="宋体" w:cs="仿宋_GB2312"/>
                <w:sz w:val="21"/>
                <w:szCs w:val="21"/>
              </w:rPr>
              <w:t>皮带输送机</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ascii="宋体" w:hAnsi="宋体" w:cs="仿宋_GB2312"/>
                <w:sz w:val="21"/>
                <w:szCs w:val="21"/>
              </w:rPr>
              <w:t>B=600mm,L=</w:t>
            </w:r>
            <w:r>
              <w:rPr>
                <w:rFonts w:hint="eastAsia" w:ascii="宋体" w:hAnsi="宋体" w:cs="仿宋_GB2312"/>
                <w:sz w:val="21"/>
                <w:szCs w:val="21"/>
              </w:rPr>
              <w:t>23.1</w:t>
            </w:r>
            <w:r>
              <w:rPr>
                <w:rFonts w:ascii="宋体" w:hAnsi="宋体" w:cs="仿宋_GB2312"/>
                <w:sz w:val="21"/>
                <w:szCs w:val="21"/>
              </w:rPr>
              <w:t>m,</w:t>
            </w:r>
          </w:p>
        </w:tc>
        <w:tc>
          <w:tcPr>
            <w:tcW w:w="382"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w:t>
            </w:r>
          </w:p>
        </w:tc>
        <w:tc>
          <w:tcPr>
            <w:tcW w:w="577" w:type="pct"/>
            <w:tcBorders>
              <w:top w:val="single" w:color="auto" w:sz="4" w:space="0"/>
              <w:left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原料</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振动筛</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SZZ-2;900×1800mm</w:t>
            </w:r>
          </w:p>
        </w:tc>
        <w:tc>
          <w:tcPr>
            <w:tcW w:w="382"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w:t>
            </w:r>
          </w:p>
        </w:tc>
        <w:tc>
          <w:tcPr>
            <w:tcW w:w="577" w:type="pct"/>
            <w:tcBorders>
              <w:left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原料</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ascii="宋体" w:hAnsi="宋体" w:cs="仿宋_GB2312"/>
                <w:sz w:val="21"/>
                <w:szCs w:val="21"/>
              </w:rPr>
              <w:t>2</w:t>
            </w:r>
            <w:r>
              <w:rPr>
                <w:rFonts w:hint="eastAsia" w:ascii="宋体" w:hAnsi="宋体" w:cs="仿宋_GB2312"/>
                <w:sz w:val="21"/>
                <w:szCs w:val="21"/>
                <w:vertAlign w:val="superscript"/>
              </w:rPr>
              <w:t>#</w:t>
            </w:r>
            <w:r>
              <w:rPr>
                <w:rFonts w:hint="eastAsia" w:ascii="宋体" w:hAnsi="宋体" w:cs="仿宋_GB2312"/>
                <w:sz w:val="21"/>
                <w:szCs w:val="21"/>
              </w:rPr>
              <w:t>皮带输送机</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B=600,L=</w:t>
            </w:r>
            <w:r>
              <w:rPr>
                <w:rFonts w:hint="eastAsia" w:ascii="宋体" w:hAnsi="宋体" w:cs="仿宋_GB2312"/>
                <w:sz w:val="21"/>
                <w:szCs w:val="21"/>
              </w:rPr>
              <w:t>67500mm</w:t>
            </w:r>
          </w:p>
        </w:tc>
        <w:tc>
          <w:tcPr>
            <w:tcW w:w="382"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4</w:t>
            </w:r>
          </w:p>
        </w:tc>
        <w:tc>
          <w:tcPr>
            <w:tcW w:w="577" w:type="pct"/>
            <w:tcBorders>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原料</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粉矿储斗</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H=3550mm,V=17m</w:t>
            </w:r>
            <w:r>
              <w:rPr>
                <w:rFonts w:ascii="宋体" w:hAnsi="宋体" w:cs="仿宋_GB2312"/>
                <w:sz w:val="21"/>
                <w:szCs w:val="21"/>
                <w:vertAlign w:val="superscript"/>
              </w:rPr>
              <w:t>3</w:t>
            </w:r>
          </w:p>
        </w:tc>
        <w:tc>
          <w:tcPr>
            <w:tcW w:w="382"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个</w:t>
            </w:r>
          </w:p>
        </w:tc>
        <w:tc>
          <w:tcPr>
            <w:tcW w:w="416"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5</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培烧</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离心鼓风机</w:t>
            </w:r>
          </w:p>
          <w:p>
            <w:pPr>
              <w:spacing w:line="240" w:lineRule="auto"/>
              <w:ind w:firstLine="0" w:firstLineChars="0"/>
              <w:jc w:val="center"/>
              <w:rPr>
                <w:rFonts w:ascii="宋体" w:hAnsi="宋体"/>
                <w:sz w:val="21"/>
                <w:szCs w:val="21"/>
              </w:rPr>
            </w:pPr>
            <w:r>
              <w:rPr>
                <w:rFonts w:hint="eastAsia" w:ascii="宋体" w:hAnsi="宋体" w:cs="仿宋_GB2312"/>
                <w:sz w:val="21"/>
                <w:szCs w:val="21"/>
              </w:rPr>
              <w:t>（炉前风机）</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型号:AI300-1.2流量:300m</w:t>
            </w:r>
            <w:r>
              <w:rPr>
                <w:rFonts w:hint="eastAsia" w:ascii="宋体" w:hAnsi="宋体" w:cs="仿宋_GB2312"/>
                <w:sz w:val="21"/>
                <w:szCs w:val="21"/>
                <w:vertAlign w:val="superscript"/>
              </w:rPr>
              <w:t>3</w:t>
            </w:r>
            <w:r>
              <w:rPr>
                <w:rFonts w:hint="eastAsia" w:ascii="宋体" w:hAnsi="宋体" w:cs="仿宋_GB2312"/>
                <w:sz w:val="21"/>
                <w:szCs w:val="21"/>
              </w:rPr>
              <w:t>/min</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6</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培烧</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沸腾炉</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396</w:t>
            </w:r>
            <w:r>
              <w:rPr>
                <w:rFonts w:hint="eastAsia" w:ascii="宋体" w:hAnsi="宋体" w:cs="仿宋_GB2312"/>
                <w:sz w:val="21"/>
                <w:szCs w:val="21"/>
              </w:rPr>
              <w:t xml:space="preserve">0, </w:t>
            </w:r>
            <w:r>
              <w:rPr>
                <w:rFonts w:ascii="宋体" w:hAnsi="宋体" w:cs="仿宋_GB2312"/>
                <w:sz w:val="21"/>
                <w:szCs w:val="21"/>
              </w:rPr>
              <w:t>S=12.3</w:t>
            </w:r>
            <w:r>
              <w:rPr>
                <w:rFonts w:hint="eastAsia" w:ascii="宋体" w:hAnsi="宋体" w:cs="仿宋_GB2312"/>
                <w:sz w:val="21"/>
                <w:szCs w:val="21"/>
              </w:rPr>
              <w:t>m</w:t>
            </w:r>
            <w:r>
              <w:rPr>
                <w:rFonts w:hint="eastAsia" w:ascii="宋体" w:hAnsi="宋体" w:cs="仿宋_GB2312"/>
                <w:sz w:val="21"/>
                <w:szCs w:val="21"/>
                <w:vertAlign w:val="superscript"/>
              </w:rPr>
              <w:t>2</w:t>
            </w:r>
            <w:r>
              <w:rPr>
                <w:rFonts w:hint="eastAsia" w:ascii="宋体" w:hAnsi="宋体" w:cs="仿宋_GB2312"/>
                <w:sz w:val="21"/>
                <w:szCs w:val="21"/>
              </w:rPr>
              <w:t xml:space="preserve"> </w:t>
            </w:r>
            <w:r>
              <w:rPr>
                <w:rFonts w:ascii="宋体" w:hAnsi="宋体" w:cs="仿宋_GB2312"/>
                <w:sz w:val="21"/>
                <w:szCs w:val="21"/>
              </w:rPr>
              <w:t>V=2</w:t>
            </w:r>
            <w:r>
              <w:rPr>
                <w:rFonts w:hint="eastAsia" w:ascii="宋体" w:hAnsi="宋体" w:cs="仿宋_GB2312"/>
                <w:sz w:val="21"/>
                <w:szCs w:val="21"/>
              </w:rPr>
              <w:t>10</w:t>
            </w:r>
            <w:r>
              <w:rPr>
                <w:rFonts w:ascii="宋体" w:hAnsi="宋体" w:cs="仿宋_GB2312"/>
                <w:sz w:val="21"/>
                <w:szCs w:val="21"/>
              </w:rPr>
              <w:t>m</w:t>
            </w:r>
            <w:r>
              <w:rPr>
                <w:rFonts w:ascii="宋体" w:hAnsi="宋体" w:cs="仿宋_GB2312"/>
                <w:sz w:val="21"/>
                <w:szCs w:val="21"/>
                <w:vertAlign w:val="superscript"/>
              </w:rPr>
              <w:t>3</w:t>
            </w:r>
            <w:r>
              <w:rPr>
                <w:rFonts w:hint="eastAsia" w:ascii="宋体" w:hAnsi="宋体" w:cs="仿宋_GB2312"/>
                <w:sz w:val="21"/>
                <w:szCs w:val="21"/>
                <w:vertAlign w:val="superscript"/>
              </w:rPr>
              <w:t xml:space="preserve"> </w:t>
            </w:r>
            <w:r>
              <w:rPr>
                <w:rFonts w:hint="eastAsia" w:ascii="宋体" w:hAnsi="宋体" w:cs="仿宋_GB2312"/>
                <w:sz w:val="21"/>
                <w:szCs w:val="21"/>
              </w:rPr>
              <w:t xml:space="preserve"> 风帽</w:t>
            </w:r>
            <w:r>
              <w:rPr>
                <w:rFonts w:ascii="宋体" w:hAnsi="宋体" w:cs="仿宋_GB2312"/>
                <w:sz w:val="21"/>
                <w:szCs w:val="21"/>
              </w:rPr>
              <w:t>931</w:t>
            </w:r>
            <w:r>
              <w:rPr>
                <w:rFonts w:hint="eastAsia" w:ascii="宋体" w:hAnsi="宋体" w:cs="仿宋_GB2312"/>
                <w:sz w:val="21"/>
                <w:szCs w:val="21"/>
              </w:rPr>
              <w:t>个</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7</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培烧</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一级旋风除尘器</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Φ</w:t>
            </w:r>
            <w:r>
              <w:rPr>
                <w:rFonts w:ascii="宋体" w:hAnsi="宋体" w:cs="仿宋_GB2312"/>
                <w:sz w:val="21"/>
                <w:szCs w:val="21"/>
              </w:rPr>
              <w:t>1</w:t>
            </w:r>
            <w:r>
              <w:rPr>
                <w:rFonts w:hint="eastAsia" w:ascii="宋体" w:hAnsi="宋体" w:cs="仿宋_GB2312"/>
                <w:sz w:val="21"/>
                <w:szCs w:val="21"/>
              </w:rPr>
              <w:t>8</w:t>
            </w:r>
            <w:r>
              <w:rPr>
                <w:rFonts w:ascii="宋体" w:hAnsi="宋体" w:cs="仿宋_GB2312"/>
                <w:sz w:val="21"/>
                <w:szCs w:val="21"/>
              </w:rPr>
              <w:t>00</w:t>
            </w:r>
            <w:r>
              <w:rPr>
                <w:rFonts w:hint="eastAsia" w:ascii="宋体" w:hAnsi="宋体" w:cs="仿宋_GB2312"/>
                <w:sz w:val="21"/>
                <w:szCs w:val="21"/>
              </w:rPr>
              <w:t>，700×</w:t>
            </w:r>
            <w:r>
              <w:rPr>
                <w:rFonts w:ascii="宋体" w:hAnsi="宋体" w:cs="仿宋_GB2312"/>
                <w:sz w:val="21"/>
                <w:szCs w:val="21"/>
              </w:rPr>
              <w:t>240</w:t>
            </w:r>
            <w:r>
              <w:rPr>
                <w:rFonts w:hint="eastAsia" w:ascii="宋体" w:hAnsi="宋体" w:cs="仿宋_GB2312"/>
                <w:sz w:val="21"/>
                <w:szCs w:val="21"/>
              </w:rPr>
              <w:t>螺旋面进气</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8</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培烧</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溢流螺旋排渣机</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Φ</w:t>
            </w:r>
            <w:r>
              <w:rPr>
                <w:rFonts w:ascii="宋体" w:hAnsi="宋体" w:cs="仿宋_GB2312"/>
                <w:sz w:val="21"/>
                <w:szCs w:val="21"/>
              </w:rPr>
              <w:t>300</w:t>
            </w:r>
            <w:r>
              <w:rPr>
                <w:rFonts w:hint="eastAsia" w:ascii="宋体" w:hAnsi="宋体" w:cs="仿宋_GB2312"/>
                <w:sz w:val="21"/>
                <w:szCs w:val="21"/>
              </w:rPr>
              <w:t>，</w:t>
            </w:r>
            <w:r>
              <w:rPr>
                <w:rFonts w:ascii="宋体" w:hAnsi="宋体" w:cs="仿宋_GB2312"/>
                <w:sz w:val="21"/>
                <w:szCs w:val="21"/>
              </w:rPr>
              <w:t>L=1000,30-50r/min</w:t>
            </w:r>
            <w:r>
              <w:rPr>
                <w:rFonts w:hint="eastAsia" w:ascii="宋体" w:hAnsi="宋体" w:cs="仿宋_GB2312"/>
                <w:sz w:val="21"/>
                <w:szCs w:val="21"/>
              </w:rPr>
              <w:t>，</w:t>
            </w:r>
            <w:r>
              <w:rPr>
                <w:rFonts w:ascii="宋体" w:hAnsi="宋体" w:cs="仿宋_GB2312"/>
                <w:sz w:val="21"/>
                <w:szCs w:val="21"/>
              </w:rPr>
              <w:t>N=1.1KW</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3</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9</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培烧</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二级旋风除尘器</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1900</w:t>
            </w:r>
            <w:r>
              <w:rPr>
                <w:rFonts w:hint="eastAsia" w:ascii="宋体" w:hAnsi="宋体" w:cs="仿宋_GB2312"/>
                <w:sz w:val="21"/>
                <w:szCs w:val="21"/>
              </w:rPr>
              <w:t>，</w:t>
            </w:r>
            <w:r>
              <w:rPr>
                <w:rFonts w:ascii="宋体" w:hAnsi="宋体" w:cs="仿宋_GB2312"/>
                <w:sz w:val="21"/>
                <w:szCs w:val="21"/>
              </w:rPr>
              <w:t>CHK-CJH_33</w:t>
            </w:r>
            <w:r>
              <w:rPr>
                <w:rFonts w:hint="eastAsia" w:ascii="宋体" w:hAnsi="宋体" w:cs="仿宋_GB2312"/>
                <w:sz w:val="21"/>
                <w:szCs w:val="21"/>
              </w:rPr>
              <w:t>展形线，</w:t>
            </w:r>
            <w:r>
              <w:rPr>
                <w:rFonts w:ascii="宋体" w:hAnsi="宋体" w:cs="仿宋_GB2312"/>
                <w:sz w:val="21"/>
                <w:szCs w:val="21"/>
              </w:rPr>
              <w:t>180</w:t>
            </w:r>
            <w:r>
              <w:rPr>
                <w:rFonts w:ascii="宋体" w:hAnsi="宋体" w:cs="仿宋_GB2312"/>
                <w:sz w:val="21"/>
                <w:szCs w:val="21"/>
                <w:vertAlign w:val="superscript"/>
              </w:rPr>
              <w:t>o</w:t>
            </w:r>
            <w:r>
              <w:rPr>
                <w:rFonts w:hint="eastAsia" w:ascii="宋体" w:hAnsi="宋体" w:cs="仿宋_GB2312"/>
                <w:sz w:val="21"/>
                <w:szCs w:val="21"/>
              </w:rPr>
              <w:t>进气，灰斗Φ</w:t>
            </w:r>
            <w:r>
              <w:rPr>
                <w:rFonts w:ascii="宋体" w:hAnsi="宋体" w:cs="仿宋_GB2312"/>
                <w:sz w:val="21"/>
                <w:szCs w:val="21"/>
              </w:rPr>
              <w:t>1800</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10</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排渣</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单（双）排链埋刮板输送机</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NJB400×13000;功率5.5kw</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XWED95-289-7.5KW</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11</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排渣</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浸没式冷却增湿滚筒(冷管机)</w:t>
            </w:r>
          </w:p>
        </w:tc>
        <w:tc>
          <w:tcPr>
            <w:tcW w:w="166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Φ820×1400×10600</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12</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排渣</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电除尘</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sz w:val="21"/>
                <w:szCs w:val="21"/>
              </w:rPr>
              <w:t>16m</w:t>
            </w:r>
            <w:r>
              <w:rPr>
                <w:rFonts w:hint="eastAsia" w:ascii="宋体" w:hAnsi="宋体"/>
                <w:sz w:val="21"/>
                <w:szCs w:val="21"/>
                <w:vertAlign w:val="superscript"/>
              </w:rPr>
              <w:t>2</w:t>
            </w:r>
            <w:r>
              <w:rPr>
                <w:rFonts w:hint="eastAsia" w:ascii="宋体" w:hAnsi="宋体"/>
                <w:sz w:val="21"/>
                <w:szCs w:val="21"/>
              </w:rPr>
              <w:t>-3-5型</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13</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排渣</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矿渣储斗</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Φ3500×3400</w:t>
            </w:r>
            <w:r>
              <w:rPr>
                <w:rFonts w:hint="eastAsia" w:ascii="宋体" w:hAnsi="宋体"/>
                <w:sz w:val="21"/>
                <w:szCs w:val="21"/>
              </w:rPr>
              <w:t>×</w:t>
            </w:r>
            <w:r>
              <w:rPr>
                <w:rFonts w:hint="eastAsia" w:ascii="宋体" w:hAnsi="宋体" w:cs="仿宋_GB2312"/>
                <w:sz w:val="21"/>
                <w:szCs w:val="21"/>
              </w:rPr>
              <w:t>10</w:t>
            </w:r>
            <w:r>
              <w:rPr>
                <w:rFonts w:ascii="宋体" w:hAnsi="宋体" w:cs="仿宋_GB2312"/>
                <w:sz w:val="21"/>
                <w:szCs w:val="21"/>
              </w:rPr>
              <w:t>,V=</w:t>
            </w:r>
            <w:r>
              <w:rPr>
                <w:rFonts w:hint="eastAsia" w:ascii="宋体" w:hAnsi="宋体" w:cs="仿宋_GB2312"/>
                <w:sz w:val="21"/>
                <w:szCs w:val="21"/>
              </w:rPr>
              <w:t>31</w:t>
            </w:r>
            <w:r>
              <w:rPr>
                <w:rFonts w:ascii="宋体" w:hAnsi="宋体" w:cs="仿宋_GB2312"/>
                <w:sz w:val="21"/>
                <w:szCs w:val="21"/>
              </w:rPr>
              <w:t>m</w:t>
            </w:r>
            <w:r>
              <w:rPr>
                <w:rFonts w:ascii="宋体" w:hAnsi="宋体" w:cs="仿宋_GB2312"/>
                <w:sz w:val="21"/>
                <w:szCs w:val="21"/>
                <w:vertAlign w:val="superscript"/>
              </w:rPr>
              <w:t>3</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14</w:t>
            </w:r>
          </w:p>
        </w:tc>
        <w:tc>
          <w:tcPr>
            <w:tcW w:w="577"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sz w:val="21"/>
                <w:szCs w:val="21"/>
              </w:rPr>
              <w:t>净化</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高位水槽</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Φ1200×200，V=1.13m</w:t>
            </w:r>
            <w:r>
              <w:rPr>
                <w:rFonts w:hint="eastAsia" w:ascii="宋体" w:hAnsi="宋体" w:cs="仿宋_GB2312"/>
                <w:sz w:val="21"/>
                <w:szCs w:val="21"/>
                <w:vertAlign w:val="superscript"/>
              </w:rPr>
              <w:t>3</w:t>
            </w:r>
          </w:p>
        </w:tc>
        <w:tc>
          <w:tcPr>
            <w:tcW w:w="382"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个</w:t>
            </w:r>
          </w:p>
        </w:tc>
        <w:tc>
          <w:tcPr>
            <w:tcW w:w="416"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15</w:t>
            </w:r>
          </w:p>
        </w:tc>
        <w:tc>
          <w:tcPr>
            <w:tcW w:w="577"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文氏管及槽</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sz w:val="21"/>
                <w:szCs w:val="21"/>
              </w:rPr>
              <w:t>Φ420×500</w:t>
            </w:r>
            <w:r>
              <w:rPr>
                <w:rFonts w:hint="eastAsia" w:ascii="宋体" w:hAnsi="宋体" w:cs="仿宋_GB2312"/>
                <w:sz w:val="21"/>
                <w:szCs w:val="21"/>
              </w:rPr>
              <w:t>，槽Φ3000</w:t>
            </w:r>
          </w:p>
        </w:tc>
        <w:tc>
          <w:tcPr>
            <w:tcW w:w="382"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16</w:t>
            </w:r>
          </w:p>
        </w:tc>
        <w:tc>
          <w:tcPr>
            <w:tcW w:w="577"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泡沫塔</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Φ2000</w:t>
            </w:r>
          </w:p>
        </w:tc>
        <w:tc>
          <w:tcPr>
            <w:tcW w:w="382"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个</w:t>
            </w:r>
          </w:p>
        </w:tc>
        <w:tc>
          <w:tcPr>
            <w:tcW w:w="416"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17</w:t>
            </w:r>
          </w:p>
        </w:tc>
        <w:tc>
          <w:tcPr>
            <w:tcW w:w="577"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斜管沉降器</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S=10.5m</w:t>
            </w:r>
            <w:r>
              <w:rPr>
                <w:rFonts w:hint="eastAsia" w:ascii="宋体" w:hAnsi="宋体" w:cs="仿宋_GB2312"/>
                <w:sz w:val="21"/>
                <w:szCs w:val="21"/>
                <w:vertAlign w:val="superscript"/>
              </w:rPr>
              <w:t>2</w:t>
            </w:r>
          </w:p>
        </w:tc>
        <w:tc>
          <w:tcPr>
            <w:tcW w:w="382"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18</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电除雾器</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ascii="宋体" w:hAnsi="宋体" w:cs="仿宋_GB2312"/>
                <w:sz w:val="21"/>
                <w:szCs w:val="21"/>
              </w:rPr>
              <w:t>17</w:t>
            </w:r>
            <w:r>
              <w:rPr>
                <w:rFonts w:hint="eastAsia" w:ascii="宋体" w:hAnsi="宋体" w:cs="仿宋_GB2312"/>
                <w:sz w:val="21"/>
                <w:szCs w:val="21"/>
              </w:rPr>
              <w:t>6管</w:t>
            </w:r>
          </w:p>
        </w:tc>
        <w:tc>
          <w:tcPr>
            <w:tcW w:w="382"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19</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文氏管循环槽</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Φ2500</w:t>
            </w:r>
            <w:r>
              <w:rPr>
                <w:rFonts w:hint="eastAsia" w:ascii="宋体" w:hAnsi="宋体"/>
                <w:sz w:val="21"/>
                <w:szCs w:val="21"/>
              </w:rPr>
              <w:t>×</w:t>
            </w:r>
            <w:r>
              <w:rPr>
                <w:rFonts w:hint="eastAsia" w:ascii="宋体" w:hAnsi="宋体" w:cs="仿宋_GB2312"/>
                <w:sz w:val="21"/>
                <w:szCs w:val="21"/>
              </w:rPr>
              <w:t>2000</w:t>
            </w:r>
          </w:p>
        </w:tc>
        <w:tc>
          <w:tcPr>
            <w:tcW w:w="382"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w:t>
            </w:r>
          </w:p>
        </w:tc>
        <w:tc>
          <w:tcPr>
            <w:tcW w:w="481"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20</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文氏管循环泵</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Q=50m</w:t>
            </w:r>
            <w:r>
              <w:rPr>
                <w:rFonts w:hint="eastAsia" w:ascii="宋体" w:hAnsi="宋体" w:cs="仿宋_GB2312"/>
                <w:sz w:val="21"/>
                <w:szCs w:val="21"/>
                <w:vertAlign w:val="superscript"/>
              </w:rPr>
              <w:t>3</w:t>
            </w:r>
            <w:r>
              <w:rPr>
                <w:rFonts w:hint="eastAsia" w:ascii="宋体" w:hAnsi="宋体" w:cs="仿宋_GB2312"/>
                <w:sz w:val="21"/>
                <w:szCs w:val="21"/>
              </w:rPr>
              <w:t>/h,H=50m,N=15KW-2</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21</w:t>
            </w:r>
          </w:p>
        </w:tc>
        <w:tc>
          <w:tcPr>
            <w:tcW w:w="57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泡沫塔循环泵</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Q=100m</w:t>
            </w:r>
            <w:r>
              <w:rPr>
                <w:rFonts w:hint="eastAsia" w:ascii="宋体" w:hAnsi="宋体" w:cs="仿宋_GB2312"/>
                <w:sz w:val="21"/>
                <w:szCs w:val="21"/>
                <w:vertAlign w:val="superscript"/>
              </w:rPr>
              <w:t>3</w:t>
            </w:r>
            <w:r>
              <w:rPr>
                <w:rFonts w:hint="eastAsia" w:ascii="宋体" w:hAnsi="宋体" w:cs="仿宋_GB2312"/>
                <w:sz w:val="21"/>
                <w:szCs w:val="21"/>
              </w:rPr>
              <w:t>/h,H=32m,N=22KW-4</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22</w:t>
            </w:r>
          </w:p>
        </w:tc>
        <w:tc>
          <w:tcPr>
            <w:tcW w:w="577"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脱气塔</w:t>
            </w:r>
          </w:p>
        </w:tc>
        <w:tc>
          <w:tcPr>
            <w:tcW w:w="1660"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ascii="宋体" w:hAnsi="宋体"/>
                <w:sz w:val="21"/>
                <w:szCs w:val="21"/>
              </w:rPr>
            </w:pPr>
            <w:r>
              <w:rPr>
                <w:rFonts w:hint="eastAsia" w:ascii="宋体" w:hAnsi="宋体" w:cs="仿宋_GB2312"/>
                <w:sz w:val="21"/>
                <w:szCs w:val="21"/>
              </w:rPr>
              <w:t>Φ500</w:t>
            </w:r>
            <w:r>
              <w:rPr>
                <w:rFonts w:hint="eastAsia" w:ascii="宋体" w:hAnsi="宋体"/>
                <w:sz w:val="21"/>
                <w:szCs w:val="21"/>
              </w:rPr>
              <w:t>×</w:t>
            </w:r>
            <w:r>
              <w:rPr>
                <w:rFonts w:hint="eastAsia" w:ascii="宋体" w:hAnsi="宋体" w:cs="仿宋_GB2312"/>
                <w:sz w:val="21"/>
                <w:szCs w:val="21"/>
              </w:rPr>
              <w:t>3905</w:t>
            </w:r>
          </w:p>
        </w:tc>
        <w:tc>
          <w:tcPr>
            <w:tcW w:w="3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23</w:t>
            </w:r>
          </w:p>
        </w:tc>
        <w:tc>
          <w:tcPr>
            <w:tcW w:w="577" w:type="pct"/>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稀酸槽</w:t>
            </w:r>
          </w:p>
        </w:tc>
        <w:tc>
          <w:tcPr>
            <w:tcW w:w="1660" w:type="pct"/>
          </w:tcPr>
          <w:p>
            <w:pPr>
              <w:spacing w:line="240" w:lineRule="auto"/>
              <w:ind w:firstLine="0" w:firstLineChars="0"/>
              <w:jc w:val="center"/>
              <w:rPr>
                <w:rFonts w:ascii="宋体" w:hAnsi="宋体"/>
                <w:sz w:val="21"/>
                <w:szCs w:val="21"/>
              </w:rPr>
            </w:pPr>
            <w:r>
              <w:rPr>
                <w:rFonts w:hint="eastAsia" w:ascii="宋体" w:hAnsi="宋体" w:cs="仿宋_GB2312"/>
                <w:sz w:val="21"/>
                <w:szCs w:val="21"/>
              </w:rPr>
              <w:t>Φ2500</w:t>
            </w:r>
            <w:r>
              <w:rPr>
                <w:rFonts w:hint="eastAsia" w:ascii="宋体" w:hAnsi="宋体"/>
                <w:sz w:val="21"/>
                <w:szCs w:val="21"/>
              </w:rPr>
              <w:t>×</w:t>
            </w:r>
            <w:r>
              <w:rPr>
                <w:rFonts w:hint="eastAsia" w:ascii="宋体" w:hAnsi="宋体" w:cs="仿宋_GB2312"/>
                <w:sz w:val="21"/>
                <w:szCs w:val="21"/>
              </w:rPr>
              <w:t>2000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24</w:t>
            </w:r>
          </w:p>
        </w:tc>
        <w:tc>
          <w:tcPr>
            <w:tcW w:w="577" w:type="pct"/>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水封</w:t>
            </w:r>
          </w:p>
        </w:tc>
        <w:tc>
          <w:tcPr>
            <w:tcW w:w="1660" w:type="pct"/>
          </w:tcPr>
          <w:p>
            <w:pPr>
              <w:spacing w:line="240" w:lineRule="auto"/>
              <w:ind w:firstLine="0" w:firstLineChars="0"/>
              <w:jc w:val="center"/>
              <w:rPr>
                <w:rFonts w:ascii="宋体" w:hAnsi="宋体"/>
                <w:sz w:val="21"/>
                <w:szCs w:val="21"/>
              </w:rPr>
            </w:pPr>
            <w:r>
              <w:rPr>
                <w:rFonts w:hint="eastAsia" w:ascii="宋体" w:hAnsi="宋体" w:cs="仿宋_GB2312"/>
                <w:sz w:val="21"/>
                <w:szCs w:val="21"/>
              </w:rPr>
              <w:t>Φ1000</w:t>
            </w:r>
            <w:r>
              <w:rPr>
                <w:rFonts w:hint="eastAsia" w:ascii="宋体" w:hAnsi="宋体"/>
                <w:sz w:val="21"/>
                <w:szCs w:val="21"/>
              </w:rPr>
              <w:t>×</w:t>
            </w:r>
            <w:r>
              <w:rPr>
                <w:rFonts w:hint="eastAsia" w:ascii="宋体" w:hAnsi="宋体" w:cs="仿宋_GB2312"/>
                <w:sz w:val="21"/>
                <w:szCs w:val="21"/>
              </w:rPr>
              <w:t>2000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25</w:t>
            </w:r>
          </w:p>
        </w:tc>
        <w:tc>
          <w:tcPr>
            <w:tcW w:w="577" w:type="pct"/>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高位水槽</w:t>
            </w:r>
          </w:p>
        </w:tc>
        <w:tc>
          <w:tcPr>
            <w:tcW w:w="1660" w:type="pct"/>
          </w:tcPr>
          <w:p>
            <w:pPr>
              <w:spacing w:line="240" w:lineRule="auto"/>
              <w:ind w:firstLine="0" w:firstLineChars="0"/>
              <w:jc w:val="center"/>
              <w:rPr>
                <w:rFonts w:ascii="宋体" w:hAnsi="宋体"/>
                <w:sz w:val="21"/>
                <w:szCs w:val="21"/>
              </w:rPr>
            </w:pPr>
            <w:r>
              <w:rPr>
                <w:rFonts w:hint="eastAsia" w:ascii="宋体" w:hAnsi="宋体" w:cs="仿宋_GB2312"/>
                <w:sz w:val="21"/>
                <w:szCs w:val="21"/>
              </w:rPr>
              <w:t>Φ2500</w:t>
            </w:r>
            <w:r>
              <w:rPr>
                <w:rFonts w:hint="eastAsia" w:ascii="宋体" w:hAnsi="宋体"/>
                <w:sz w:val="21"/>
                <w:szCs w:val="21"/>
              </w:rPr>
              <w:t>×</w:t>
            </w:r>
            <w:r>
              <w:rPr>
                <w:rFonts w:hint="eastAsia" w:ascii="宋体" w:hAnsi="宋体" w:cs="仿宋_GB2312"/>
                <w:sz w:val="21"/>
                <w:szCs w:val="21"/>
              </w:rPr>
              <w:t>5663</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26</w:t>
            </w:r>
          </w:p>
        </w:tc>
        <w:tc>
          <w:tcPr>
            <w:tcW w:w="577" w:type="pct"/>
          </w:tcPr>
          <w:p>
            <w:pPr>
              <w:spacing w:line="240" w:lineRule="auto"/>
              <w:ind w:firstLine="0" w:firstLineChars="0"/>
              <w:jc w:val="center"/>
              <w:rPr>
                <w:rFonts w:ascii="宋体" w:hAnsi="宋体"/>
                <w:sz w:val="21"/>
                <w:szCs w:val="21"/>
              </w:rPr>
            </w:pPr>
            <w:r>
              <w:rPr>
                <w:rFonts w:hint="eastAsia" w:ascii="宋体" w:hAnsi="宋体"/>
                <w:sz w:val="21"/>
                <w:szCs w:val="21"/>
              </w:rPr>
              <w:t>净化</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絮凝剂槽</w:t>
            </w:r>
          </w:p>
        </w:tc>
        <w:tc>
          <w:tcPr>
            <w:tcW w:w="1660" w:type="pct"/>
          </w:tcPr>
          <w:p>
            <w:pPr>
              <w:spacing w:line="240" w:lineRule="auto"/>
              <w:ind w:firstLine="0" w:firstLineChars="0"/>
              <w:jc w:val="center"/>
              <w:rPr>
                <w:rFonts w:ascii="宋体" w:hAnsi="宋体"/>
                <w:sz w:val="21"/>
                <w:szCs w:val="21"/>
              </w:rPr>
            </w:pPr>
            <w:r>
              <w:rPr>
                <w:rFonts w:hint="eastAsia" w:ascii="宋体" w:hAnsi="宋体" w:cs="仿宋_GB2312"/>
                <w:sz w:val="21"/>
                <w:szCs w:val="21"/>
              </w:rPr>
              <w:t>Φ1000</w:t>
            </w:r>
            <w:r>
              <w:rPr>
                <w:rFonts w:hint="eastAsia" w:ascii="宋体" w:hAnsi="宋体"/>
                <w:sz w:val="21"/>
                <w:szCs w:val="21"/>
              </w:rPr>
              <w:t>×</w:t>
            </w:r>
            <w:r>
              <w:rPr>
                <w:rFonts w:hint="eastAsia" w:ascii="宋体" w:hAnsi="宋体" w:cs="仿宋_GB2312"/>
                <w:sz w:val="21"/>
                <w:szCs w:val="21"/>
              </w:rPr>
              <w:t>1000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27</w:t>
            </w:r>
          </w:p>
        </w:tc>
        <w:tc>
          <w:tcPr>
            <w:tcW w:w="577" w:type="pct"/>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干燥塔</w:t>
            </w:r>
          </w:p>
        </w:tc>
        <w:tc>
          <w:tcPr>
            <w:tcW w:w="1660" w:type="pct"/>
          </w:tcPr>
          <w:p>
            <w:pPr>
              <w:spacing w:line="240" w:lineRule="auto"/>
              <w:ind w:firstLine="0" w:firstLineChars="0"/>
              <w:jc w:val="center"/>
              <w:rPr>
                <w:rFonts w:ascii="宋体" w:hAnsi="宋体"/>
                <w:sz w:val="21"/>
                <w:szCs w:val="21"/>
              </w:rPr>
            </w:pPr>
            <w:r>
              <w:rPr>
                <w:rFonts w:hint="eastAsia" w:ascii="宋体" w:hAnsi="宋体" w:cs="仿宋_GB2312"/>
                <w:sz w:val="21"/>
                <w:szCs w:val="21"/>
              </w:rPr>
              <w:t>Φ2800</w:t>
            </w:r>
            <w:r>
              <w:rPr>
                <w:rFonts w:hint="eastAsia" w:ascii="宋体" w:hAnsi="宋体"/>
                <w:sz w:val="21"/>
                <w:szCs w:val="21"/>
              </w:rPr>
              <w:t xml:space="preserve">  H=</w:t>
            </w:r>
            <w:r>
              <w:rPr>
                <w:rFonts w:hint="eastAsia" w:ascii="宋体" w:hAnsi="宋体" w:cs="仿宋_GB2312"/>
                <w:sz w:val="21"/>
                <w:szCs w:val="21"/>
              </w:rPr>
              <w:t>9930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28</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干燥酸冷器</w:t>
            </w:r>
          </w:p>
        </w:tc>
        <w:tc>
          <w:tcPr>
            <w:tcW w:w="1660" w:type="pct"/>
          </w:tcPr>
          <w:p>
            <w:pPr>
              <w:spacing w:line="240" w:lineRule="auto"/>
              <w:ind w:firstLine="0" w:firstLineChars="0"/>
              <w:jc w:val="center"/>
              <w:rPr>
                <w:rFonts w:ascii="宋体" w:hAnsi="宋体"/>
                <w:sz w:val="21"/>
                <w:szCs w:val="21"/>
              </w:rPr>
            </w:pPr>
            <w:r>
              <w:rPr>
                <w:rFonts w:hint="eastAsia" w:ascii="宋体" w:hAnsi="宋体" w:cs="仿宋_GB2312"/>
                <w:sz w:val="21"/>
                <w:szCs w:val="21"/>
              </w:rPr>
              <w:t>Φ500，S=70m</w:t>
            </w:r>
            <w:r>
              <w:rPr>
                <w:rFonts w:hint="eastAsia" w:ascii="宋体" w:hAnsi="宋体" w:cs="仿宋_GB2312"/>
                <w:sz w:val="21"/>
                <w:szCs w:val="21"/>
                <w:vertAlign w:val="superscript"/>
              </w:rPr>
              <w:t>2</w:t>
            </w:r>
            <w:r>
              <w:rPr>
                <w:rFonts w:hint="eastAsia" w:ascii="宋体" w:hAnsi="宋体" w:cs="仿宋_GB2312"/>
                <w:sz w:val="21"/>
                <w:szCs w:val="21"/>
              </w:rPr>
              <w:t>，</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台</w:t>
            </w:r>
          </w:p>
        </w:tc>
        <w:tc>
          <w:tcPr>
            <w:tcW w:w="41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29</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干燥循环槽</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Φ4000×1800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30</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干燥循环泵</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Q=114m3/h,H=23.5m,N=30-4</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31</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一吸塔</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Φ2800   H=</w:t>
            </w:r>
            <w:r>
              <w:rPr>
                <w:rFonts w:hint="eastAsia" w:ascii="宋体" w:hAnsi="宋体" w:cs="仿宋_GB2312"/>
                <w:sz w:val="21"/>
                <w:szCs w:val="21"/>
              </w:rPr>
              <w:t>9930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32</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一吸酸冷器</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Φ500，S=80m</w:t>
            </w:r>
            <w:r>
              <w:rPr>
                <w:rFonts w:hint="eastAsia" w:ascii="宋体" w:hAnsi="宋体"/>
                <w:sz w:val="21"/>
                <w:szCs w:val="21"/>
                <w:vertAlign w:val="superscript"/>
              </w:rPr>
              <w:t>2</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个</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33</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一吸循环槽</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Φ4000×1800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34</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一吸循环泵</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Q=114m3/h,H=23.5m,N=30-4</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35</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二吸塔</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Φ2800   H=</w:t>
            </w:r>
            <w:r>
              <w:rPr>
                <w:rFonts w:hint="eastAsia" w:ascii="宋体" w:hAnsi="宋体" w:cs="仿宋_GB2312"/>
                <w:sz w:val="21"/>
                <w:szCs w:val="21"/>
              </w:rPr>
              <w:t>9930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36</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二吸酸冷器</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Φ500 ，S=60m</w:t>
            </w:r>
            <w:r>
              <w:rPr>
                <w:rFonts w:hint="eastAsia" w:ascii="宋体" w:hAnsi="宋体"/>
                <w:sz w:val="21"/>
                <w:szCs w:val="21"/>
                <w:vertAlign w:val="superscript"/>
              </w:rPr>
              <w:t>2</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37</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二吸循环泵</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Q=114m3/h,H=23.5m,N=30-4</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38</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二吸循环槽</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Φ4000×1800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39</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成品酸计量槽</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Φ4500×2000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40</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成品酸泵</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Q=140m</w:t>
            </w:r>
            <w:r>
              <w:rPr>
                <w:rFonts w:hint="eastAsia" w:ascii="宋体" w:hAnsi="宋体"/>
                <w:sz w:val="21"/>
                <w:szCs w:val="21"/>
                <w:vertAlign w:val="superscript"/>
              </w:rPr>
              <w:t>3</w:t>
            </w:r>
            <w:r>
              <w:rPr>
                <w:rFonts w:hint="eastAsia" w:ascii="宋体" w:hAnsi="宋体"/>
                <w:sz w:val="21"/>
                <w:szCs w:val="21"/>
              </w:rPr>
              <w:t>/h,H=24m,N=11KW-4</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41</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复喷管</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Φ650×12，喷头5个</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根</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42</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复档除沫器</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Φ1500，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43</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尾气烟囱</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Φ650×12，H=50m</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根</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44</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尾气循环槽</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Φ1600×1800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45</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干吸</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尾气循环泵</w:t>
            </w:r>
          </w:p>
        </w:tc>
        <w:tc>
          <w:tcPr>
            <w:tcW w:w="1660" w:type="pct"/>
          </w:tcPr>
          <w:p>
            <w:pPr>
              <w:spacing w:line="240" w:lineRule="auto"/>
              <w:ind w:firstLine="0" w:firstLineChars="0"/>
              <w:rPr>
                <w:rFonts w:ascii="宋体" w:hAnsi="宋体"/>
                <w:sz w:val="21"/>
                <w:szCs w:val="21"/>
              </w:rPr>
            </w:pPr>
            <w:r>
              <w:rPr>
                <w:rFonts w:hint="eastAsia" w:ascii="宋体" w:hAnsi="宋体"/>
                <w:sz w:val="21"/>
                <w:szCs w:val="21"/>
              </w:rPr>
              <w:t>Q=50m</w:t>
            </w:r>
            <w:r>
              <w:rPr>
                <w:rFonts w:hint="eastAsia" w:ascii="宋体" w:hAnsi="宋体"/>
                <w:sz w:val="21"/>
                <w:szCs w:val="21"/>
                <w:vertAlign w:val="superscript"/>
              </w:rPr>
              <w:t>3</w:t>
            </w:r>
            <w:r>
              <w:rPr>
                <w:rFonts w:hint="eastAsia" w:ascii="宋体" w:hAnsi="宋体"/>
                <w:sz w:val="21"/>
                <w:szCs w:val="21"/>
              </w:rPr>
              <w:t>/h,H=50m   N=15KW-2</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46</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转化</w:t>
            </w:r>
          </w:p>
        </w:tc>
        <w:tc>
          <w:tcPr>
            <w:tcW w:w="1004"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SO</w:t>
            </w:r>
            <w:r>
              <w:rPr>
                <w:rFonts w:hint="eastAsia" w:ascii="宋体" w:hAnsi="宋体" w:cs="仿宋_GB2312"/>
                <w:sz w:val="21"/>
                <w:szCs w:val="21"/>
                <w:vertAlign w:val="subscript"/>
              </w:rPr>
              <w:t>2</w:t>
            </w:r>
            <w:r>
              <w:rPr>
                <w:rFonts w:hint="eastAsia" w:ascii="宋体" w:hAnsi="宋体" w:cs="仿宋_GB2312"/>
                <w:sz w:val="21"/>
                <w:szCs w:val="21"/>
              </w:rPr>
              <w:t>风机</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叶轮</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66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AI</w:t>
            </w:r>
            <w:r>
              <w:rPr>
                <w:rFonts w:hint="eastAsia" w:ascii="宋体" w:hAnsi="宋体" w:cs="仿宋_GB2312"/>
                <w:sz w:val="21"/>
                <w:szCs w:val="21"/>
              </w:rPr>
              <w:t>450</w:t>
            </w:r>
            <w:r>
              <w:rPr>
                <w:rFonts w:ascii="宋体" w:hAnsi="宋体" w:cs="仿宋_GB2312"/>
                <w:sz w:val="21"/>
                <w:szCs w:val="21"/>
              </w:rPr>
              <w:t>-1.</w:t>
            </w:r>
            <w:r>
              <w:rPr>
                <w:rFonts w:hint="eastAsia" w:ascii="宋体" w:hAnsi="宋体" w:cs="仿宋_GB2312"/>
                <w:sz w:val="21"/>
                <w:szCs w:val="21"/>
              </w:rPr>
              <w:t>35  45m</w:t>
            </w:r>
            <w:r>
              <w:rPr>
                <w:rFonts w:hint="eastAsia" w:ascii="宋体" w:hAnsi="宋体"/>
                <w:sz w:val="21"/>
                <w:szCs w:val="21"/>
                <w:vertAlign w:val="superscript"/>
              </w:rPr>
              <w:t>3</w:t>
            </w:r>
            <w:r>
              <w:rPr>
                <w:rFonts w:hint="eastAsia" w:ascii="宋体" w:hAnsi="宋体" w:cs="仿宋_GB2312"/>
                <w:sz w:val="21"/>
                <w:szCs w:val="21"/>
              </w:rPr>
              <w:t>/min</w:t>
            </w:r>
          </w:p>
          <w:p>
            <w:pPr>
              <w:spacing w:line="240" w:lineRule="auto"/>
              <w:ind w:firstLine="0" w:firstLineChars="0"/>
              <w:jc w:val="center"/>
              <w:rPr>
                <w:rFonts w:ascii="宋体" w:hAnsi="宋体" w:cs="仿宋_GB2312"/>
                <w:sz w:val="21"/>
                <w:szCs w:val="21"/>
              </w:rPr>
            </w:pPr>
          </w:p>
          <w:p>
            <w:pPr>
              <w:spacing w:line="240" w:lineRule="auto"/>
              <w:ind w:firstLine="0" w:firstLineChars="0"/>
              <w:jc w:val="center"/>
              <w:rPr>
                <w:rFonts w:ascii="宋体" w:hAnsi="宋体" w:cs="仿宋_GB2312"/>
                <w:sz w:val="21"/>
                <w:szCs w:val="21"/>
              </w:rPr>
            </w:pPr>
            <w:r>
              <w:rPr>
                <w:rFonts w:ascii="宋体" w:hAnsi="宋体" w:cs="仿宋_GB2312"/>
                <w:sz w:val="21"/>
                <w:szCs w:val="21"/>
              </w:rPr>
              <w:t>JK630-2 630KW</w:t>
            </w:r>
          </w:p>
        </w:tc>
        <w:tc>
          <w:tcPr>
            <w:tcW w:w="382"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个</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16"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481"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47</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转化</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转化器</w:t>
            </w:r>
          </w:p>
        </w:tc>
        <w:tc>
          <w:tcPr>
            <w:tcW w:w="1660" w:type="pct"/>
          </w:tcPr>
          <w:p>
            <w:pPr>
              <w:spacing w:line="240" w:lineRule="auto"/>
              <w:ind w:firstLine="0" w:firstLineChars="0"/>
              <w:jc w:val="center"/>
              <w:rPr>
                <w:rFonts w:ascii="宋体" w:hAnsi="宋体"/>
                <w:sz w:val="21"/>
                <w:szCs w:val="21"/>
              </w:rPr>
            </w:pPr>
            <w:r>
              <w:rPr>
                <w:rFonts w:hint="eastAsia" w:ascii="宋体" w:hAnsi="宋体"/>
                <w:sz w:val="21"/>
                <w:szCs w:val="21"/>
              </w:rPr>
              <w:t>Φ4860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48</w:t>
            </w:r>
          </w:p>
        </w:tc>
        <w:tc>
          <w:tcPr>
            <w:tcW w:w="577" w:type="pct"/>
            <w:vMerge w:val="restart"/>
            <w:vAlign w:val="center"/>
          </w:tcPr>
          <w:p>
            <w:pPr>
              <w:spacing w:line="240" w:lineRule="auto"/>
              <w:ind w:firstLine="0" w:firstLineChars="0"/>
              <w:jc w:val="center"/>
              <w:rPr>
                <w:rFonts w:ascii="宋体" w:hAnsi="宋体"/>
                <w:sz w:val="21"/>
                <w:szCs w:val="21"/>
              </w:rPr>
            </w:pPr>
            <w:r>
              <w:rPr>
                <w:rFonts w:hint="eastAsia" w:ascii="宋体" w:hAnsi="宋体"/>
                <w:sz w:val="21"/>
                <w:szCs w:val="21"/>
              </w:rPr>
              <w:t>转化</w:t>
            </w:r>
          </w:p>
        </w:tc>
        <w:tc>
          <w:tcPr>
            <w:tcW w:w="1004"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Ⅰ换热器</w:t>
            </w:r>
          </w:p>
        </w:tc>
        <w:tc>
          <w:tcPr>
            <w:tcW w:w="166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φ1700×5530mm；F=179m</w:t>
            </w:r>
            <w:r>
              <w:rPr>
                <w:rFonts w:hint="eastAsia" w:ascii="宋体" w:hAnsi="宋体" w:cs="仿宋_GB2312"/>
                <w:sz w:val="21"/>
                <w:szCs w:val="21"/>
                <w:vertAlign w:val="superscript"/>
              </w:rPr>
              <w:t>2</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Merge w:val="continue"/>
            <w:vAlign w:val="center"/>
          </w:tcPr>
          <w:p>
            <w:pPr>
              <w:spacing w:line="240" w:lineRule="auto"/>
              <w:ind w:firstLine="0" w:firstLineChars="0"/>
              <w:jc w:val="center"/>
              <w:rPr>
                <w:rFonts w:ascii="宋体" w:hAnsi="宋体" w:cs="仿宋_GB2312"/>
                <w:sz w:val="21"/>
                <w:szCs w:val="21"/>
              </w:rPr>
            </w:pPr>
          </w:p>
        </w:tc>
        <w:tc>
          <w:tcPr>
            <w:tcW w:w="577" w:type="pct"/>
            <w:vMerge w:val="continue"/>
            <w:vAlign w:val="center"/>
          </w:tcPr>
          <w:p>
            <w:pPr>
              <w:spacing w:line="240" w:lineRule="auto"/>
              <w:ind w:firstLine="0" w:firstLineChars="0"/>
              <w:jc w:val="center"/>
              <w:rPr>
                <w:rFonts w:ascii="宋体" w:hAnsi="宋体"/>
                <w:sz w:val="21"/>
                <w:szCs w:val="21"/>
              </w:rPr>
            </w:pPr>
          </w:p>
        </w:tc>
        <w:tc>
          <w:tcPr>
            <w:tcW w:w="1004"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Ⅱ换热器</w:t>
            </w:r>
          </w:p>
        </w:tc>
        <w:tc>
          <w:tcPr>
            <w:tcW w:w="166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φ1700×5080mm；F=152m</w:t>
            </w:r>
            <w:r>
              <w:rPr>
                <w:rFonts w:hint="eastAsia" w:ascii="宋体" w:hAnsi="宋体" w:cs="仿宋_GB2312"/>
                <w:sz w:val="21"/>
                <w:szCs w:val="21"/>
                <w:vertAlign w:val="superscript"/>
              </w:rPr>
              <w:t>2</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Merge w:val="continue"/>
            <w:vAlign w:val="center"/>
          </w:tcPr>
          <w:p>
            <w:pPr>
              <w:spacing w:line="240" w:lineRule="auto"/>
              <w:ind w:firstLine="0" w:firstLineChars="0"/>
              <w:jc w:val="center"/>
              <w:rPr>
                <w:rFonts w:ascii="宋体" w:hAnsi="宋体" w:cs="仿宋_GB2312"/>
                <w:sz w:val="21"/>
                <w:szCs w:val="21"/>
              </w:rPr>
            </w:pPr>
          </w:p>
        </w:tc>
        <w:tc>
          <w:tcPr>
            <w:tcW w:w="577" w:type="pct"/>
            <w:vMerge w:val="continue"/>
            <w:vAlign w:val="center"/>
          </w:tcPr>
          <w:p>
            <w:pPr>
              <w:spacing w:line="240" w:lineRule="auto"/>
              <w:ind w:firstLine="0" w:firstLineChars="0"/>
              <w:jc w:val="center"/>
              <w:rPr>
                <w:rFonts w:ascii="宋体" w:hAnsi="宋体"/>
                <w:sz w:val="21"/>
                <w:szCs w:val="21"/>
              </w:rPr>
            </w:pPr>
          </w:p>
        </w:tc>
        <w:tc>
          <w:tcPr>
            <w:tcW w:w="1004"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Ⅲ换热器</w:t>
            </w:r>
          </w:p>
        </w:tc>
        <w:tc>
          <w:tcPr>
            <w:tcW w:w="166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φ1700×10300mm；F=550m</w:t>
            </w:r>
            <w:r>
              <w:rPr>
                <w:rFonts w:hint="eastAsia" w:ascii="宋体" w:hAnsi="宋体" w:cs="仿宋_GB2312"/>
                <w:sz w:val="21"/>
                <w:szCs w:val="21"/>
                <w:vertAlign w:val="superscript"/>
              </w:rPr>
              <w:t>2</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Merge w:val="continue"/>
            <w:vAlign w:val="center"/>
          </w:tcPr>
          <w:p>
            <w:pPr>
              <w:spacing w:line="240" w:lineRule="auto"/>
              <w:ind w:firstLine="0" w:firstLineChars="0"/>
              <w:jc w:val="center"/>
              <w:rPr>
                <w:rFonts w:ascii="宋体" w:hAnsi="宋体" w:cs="仿宋_GB2312"/>
                <w:sz w:val="21"/>
                <w:szCs w:val="21"/>
              </w:rPr>
            </w:pPr>
          </w:p>
        </w:tc>
        <w:tc>
          <w:tcPr>
            <w:tcW w:w="577" w:type="pct"/>
            <w:vMerge w:val="continue"/>
            <w:vAlign w:val="center"/>
          </w:tcPr>
          <w:p>
            <w:pPr>
              <w:spacing w:line="240" w:lineRule="auto"/>
              <w:ind w:firstLine="0" w:firstLineChars="0"/>
              <w:jc w:val="center"/>
              <w:rPr>
                <w:rFonts w:ascii="宋体" w:hAnsi="宋体"/>
                <w:sz w:val="21"/>
                <w:szCs w:val="21"/>
              </w:rPr>
            </w:pPr>
          </w:p>
        </w:tc>
        <w:tc>
          <w:tcPr>
            <w:tcW w:w="1004"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Ⅳ换热器</w:t>
            </w:r>
          </w:p>
        </w:tc>
        <w:tc>
          <w:tcPr>
            <w:tcW w:w="166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φ1600×3300mm；F=47m</w:t>
            </w:r>
            <w:r>
              <w:rPr>
                <w:rFonts w:hint="eastAsia" w:ascii="宋体" w:hAnsi="宋体" w:cs="仿宋_GB2312"/>
                <w:sz w:val="21"/>
                <w:szCs w:val="21"/>
                <w:vertAlign w:val="superscript"/>
              </w:rPr>
              <w:t>2</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Merge w:val="continue"/>
            <w:vAlign w:val="center"/>
          </w:tcPr>
          <w:p>
            <w:pPr>
              <w:spacing w:line="240" w:lineRule="auto"/>
              <w:ind w:firstLine="0" w:firstLineChars="0"/>
              <w:jc w:val="center"/>
              <w:rPr>
                <w:rFonts w:ascii="宋体" w:hAnsi="宋体" w:cs="仿宋_GB2312"/>
                <w:sz w:val="21"/>
                <w:szCs w:val="21"/>
              </w:rPr>
            </w:pPr>
          </w:p>
        </w:tc>
        <w:tc>
          <w:tcPr>
            <w:tcW w:w="577" w:type="pct"/>
            <w:vMerge w:val="continue"/>
            <w:vAlign w:val="center"/>
          </w:tcPr>
          <w:p>
            <w:pPr>
              <w:spacing w:line="240" w:lineRule="auto"/>
              <w:ind w:firstLine="0" w:firstLineChars="0"/>
              <w:jc w:val="center"/>
              <w:rPr>
                <w:rFonts w:ascii="宋体" w:hAnsi="宋体"/>
                <w:sz w:val="21"/>
                <w:szCs w:val="21"/>
              </w:rPr>
            </w:pPr>
          </w:p>
        </w:tc>
        <w:tc>
          <w:tcPr>
            <w:tcW w:w="1004"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Ⅴ换热器</w:t>
            </w:r>
          </w:p>
        </w:tc>
        <w:tc>
          <w:tcPr>
            <w:tcW w:w="166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φ1570×4550mm；F=150m</w:t>
            </w:r>
            <w:r>
              <w:rPr>
                <w:rFonts w:hint="eastAsia" w:ascii="宋体" w:hAnsi="宋体" w:cs="仿宋_GB2312"/>
                <w:sz w:val="21"/>
                <w:szCs w:val="21"/>
                <w:vertAlign w:val="superscript"/>
              </w:rPr>
              <w:t>2</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台</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1</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49</w:t>
            </w:r>
          </w:p>
        </w:tc>
        <w:tc>
          <w:tcPr>
            <w:tcW w:w="577"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酸库</w:t>
            </w:r>
          </w:p>
        </w:tc>
        <w:tc>
          <w:tcPr>
            <w:tcW w:w="100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硫酸储罐</w:t>
            </w:r>
          </w:p>
        </w:tc>
        <w:tc>
          <w:tcPr>
            <w:tcW w:w="1660" w:type="pct"/>
          </w:tcPr>
          <w:p>
            <w:pPr>
              <w:spacing w:line="240" w:lineRule="auto"/>
              <w:ind w:firstLine="0" w:firstLineChars="0"/>
              <w:jc w:val="center"/>
              <w:rPr>
                <w:rFonts w:ascii="宋体" w:hAnsi="宋体"/>
                <w:sz w:val="21"/>
                <w:szCs w:val="21"/>
              </w:rPr>
            </w:pPr>
            <w:r>
              <w:rPr>
                <w:rFonts w:hint="eastAsia" w:ascii="宋体" w:hAnsi="宋体" w:cs="仿宋_GB2312"/>
                <w:sz w:val="21"/>
                <w:szCs w:val="21"/>
              </w:rPr>
              <w:t>φ10000×8000</w:t>
            </w:r>
          </w:p>
        </w:tc>
        <w:tc>
          <w:tcPr>
            <w:tcW w:w="38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个</w:t>
            </w:r>
          </w:p>
        </w:tc>
        <w:tc>
          <w:tcPr>
            <w:tcW w:w="416"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3</w:t>
            </w:r>
          </w:p>
        </w:tc>
        <w:tc>
          <w:tcPr>
            <w:tcW w:w="481"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bl>
    <w:p>
      <w:pPr>
        <w:spacing w:line="240" w:lineRule="atLeast"/>
        <w:ind w:firstLine="482"/>
        <w:jc w:val="center"/>
        <w:rPr>
          <w:rFonts w:ascii="宋体" w:hAnsi="宋体" w:cs="宋体"/>
          <w:b/>
          <w:kern w:val="0"/>
          <w:sz w:val="24"/>
        </w:rPr>
      </w:pPr>
      <w:r>
        <w:rPr>
          <w:rFonts w:hint="eastAsia" w:ascii="宋体" w:hAnsi="宋体" w:cs="宋体"/>
          <w:b/>
          <w:color w:val="000000" w:themeColor="text1"/>
          <w:sz w:val="24"/>
        </w:rPr>
        <w:t>表2.7-3</w:t>
      </w:r>
      <w:r>
        <w:rPr>
          <w:rFonts w:hint="eastAsia" w:ascii="宋体" w:hAnsi="宋体" w:cs="宋体"/>
          <w:b/>
          <w:kern w:val="0"/>
          <w:sz w:val="24"/>
        </w:rPr>
        <w:t>主要设备设施清单（二线）</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828"/>
        <w:gridCol w:w="2488"/>
        <w:gridCol w:w="2323"/>
        <w:gridCol w:w="996"/>
        <w:gridCol w:w="814"/>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b/>
                <w:sz w:val="21"/>
                <w:szCs w:val="21"/>
              </w:rPr>
            </w:pPr>
            <w:r>
              <w:rPr>
                <w:rFonts w:hint="eastAsia" w:ascii="宋体" w:hAnsi="宋体" w:cs="仿宋_GB2312"/>
                <w:b/>
                <w:sz w:val="21"/>
                <w:szCs w:val="21"/>
              </w:rPr>
              <w:t>序号</w:t>
            </w:r>
          </w:p>
        </w:tc>
        <w:tc>
          <w:tcPr>
            <w:tcW w:w="446" w:type="pct"/>
            <w:vAlign w:val="center"/>
          </w:tcPr>
          <w:p>
            <w:pPr>
              <w:spacing w:line="240" w:lineRule="auto"/>
              <w:ind w:firstLine="0" w:firstLineChars="0"/>
              <w:jc w:val="center"/>
              <w:rPr>
                <w:rFonts w:ascii="宋体" w:hAnsi="宋体" w:cs="仿宋_GB2312"/>
                <w:b/>
                <w:sz w:val="21"/>
                <w:szCs w:val="21"/>
              </w:rPr>
            </w:pPr>
            <w:r>
              <w:rPr>
                <w:rFonts w:hint="eastAsia" w:ascii="宋体" w:hAnsi="宋体" w:cs="仿宋_GB2312"/>
                <w:b/>
                <w:sz w:val="21"/>
                <w:szCs w:val="21"/>
              </w:rPr>
              <w:t>所在</w:t>
            </w:r>
          </w:p>
          <w:p>
            <w:pPr>
              <w:spacing w:line="240" w:lineRule="auto"/>
              <w:ind w:firstLine="0" w:firstLineChars="0"/>
              <w:jc w:val="center"/>
              <w:rPr>
                <w:rFonts w:ascii="宋体" w:hAnsi="宋体" w:cs="仿宋_GB2312"/>
                <w:b/>
                <w:sz w:val="21"/>
                <w:szCs w:val="21"/>
              </w:rPr>
            </w:pPr>
            <w:r>
              <w:rPr>
                <w:rFonts w:hint="eastAsia" w:ascii="宋体" w:hAnsi="宋体" w:cs="仿宋_GB2312"/>
                <w:b/>
                <w:sz w:val="21"/>
                <w:szCs w:val="21"/>
              </w:rPr>
              <w:t>工序</w:t>
            </w:r>
          </w:p>
        </w:tc>
        <w:tc>
          <w:tcPr>
            <w:tcW w:w="1339" w:type="pct"/>
            <w:vAlign w:val="center"/>
          </w:tcPr>
          <w:p>
            <w:pPr>
              <w:spacing w:line="240" w:lineRule="auto"/>
              <w:ind w:firstLine="0" w:firstLineChars="0"/>
              <w:jc w:val="center"/>
              <w:rPr>
                <w:rFonts w:ascii="宋体" w:hAnsi="宋体" w:cs="仿宋_GB2312"/>
                <w:b/>
                <w:sz w:val="21"/>
                <w:szCs w:val="21"/>
              </w:rPr>
            </w:pPr>
            <w:r>
              <w:rPr>
                <w:rFonts w:hint="eastAsia" w:ascii="宋体" w:hAnsi="宋体" w:cs="仿宋_GB2312"/>
                <w:b/>
                <w:sz w:val="21"/>
                <w:szCs w:val="21"/>
              </w:rPr>
              <w:t>设施名称</w:t>
            </w:r>
          </w:p>
        </w:tc>
        <w:tc>
          <w:tcPr>
            <w:tcW w:w="1250" w:type="pct"/>
            <w:vAlign w:val="center"/>
          </w:tcPr>
          <w:p>
            <w:pPr>
              <w:spacing w:line="240" w:lineRule="auto"/>
              <w:ind w:firstLine="0" w:firstLineChars="0"/>
              <w:jc w:val="center"/>
              <w:rPr>
                <w:rFonts w:ascii="宋体" w:hAnsi="宋体" w:cs="仿宋_GB2312"/>
                <w:b/>
                <w:sz w:val="21"/>
                <w:szCs w:val="21"/>
              </w:rPr>
            </w:pPr>
            <w:r>
              <w:rPr>
                <w:rFonts w:hint="eastAsia" w:ascii="宋体" w:hAnsi="宋体" w:cs="仿宋_GB2312"/>
                <w:b/>
                <w:sz w:val="21"/>
                <w:szCs w:val="21"/>
              </w:rPr>
              <w:t>规格/型号</w:t>
            </w:r>
          </w:p>
        </w:tc>
        <w:tc>
          <w:tcPr>
            <w:tcW w:w="536" w:type="pct"/>
            <w:vAlign w:val="center"/>
          </w:tcPr>
          <w:p>
            <w:pPr>
              <w:spacing w:line="240" w:lineRule="auto"/>
              <w:ind w:firstLine="0" w:firstLineChars="0"/>
              <w:jc w:val="center"/>
              <w:rPr>
                <w:rFonts w:ascii="宋体" w:hAnsi="宋体" w:cs="仿宋_GB2312"/>
                <w:b/>
                <w:sz w:val="21"/>
                <w:szCs w:val="21"/>
              </w:rPr>
            </w:pPr>
            <w:r>
              <w:rPr>
                <w:rFonts w:hint="eastAsia" w:ascii="宋体" w:hAnsi="宋体" w:cs="仿宋_GB2312"/>
                <w:b/>
                <w:sz w:val="21"/>
                <w:szCs w:val="21"/>
              </w:rPr>
              <w:t>单位</w:t>
            </w:r>
          </w:p>
        </w:tc>
        <w:tc>
          <w:tcPr>
            <w:tcW w:w="438" w:type="pct"/>
            <w:vAlign w:val="center"/>
          </w:tcPr>
          <w:p>
            <w:pPr>
              <w:spacing w:line="240" w:lineRule="auto"/>
              <w:ind w:firstLine="0" w:firstLineChars="0"/>
              <w:jc w:val="center"/>
              <w:rPr>
                <w:rFonts w:ascii="宋体" w:hAnsi="宋体" w:cs="仿宋_GB2312"/>
                <w:b/>
                <w:sz w:val="21"/>
                <w:szCs w:val="21"/>
              </w:rPr>
            </w:pPr>
            <w:r>
              <w:rPr>
                <w:rFonts w:hint="eastAsia" w:ascii="宋体" w:hAnsi="宋体" w:cs="仿宋_GB2312"/>
                <w:b/>
                <w:sz w:val="21"/>
                <w:szCs w:val="21"/>
              </w:rPr>
              <w:t>数量</w:t>
            </w:r>
          </w:p>
        </w:tc>
        <w:tc>
          <w:tcPr>
            <w:tcW w:w="544" w:type="pct"/>
            <w:vAlign w:val="center"/>
          </w:tcPr>
          <w:p>
            <w:pPr>
              <w:spacing w:line="240" w:lineRule="auto"/>
              <w:ind w:firstLine="0" w:firstLineChars="0"/>
              <w:jc w:val="center"/>
              <w:rPr>
                <w:rFonts w:ascii="宋体" w:hAnsi="宋体" w:cs="仿宋_GB2312"/>
                <w:b/>
                <w:sz w:val="21"/>
                <w:szCs w:val="21"/>
              </w:rPr>
            </w:pPr>
            <w:r>
              <w:rPr>
                <w:rFonts w:hint="eastAsia" w:ascii="宋体" w:hAnsi="宋体" w:cs="仿宋_GB2312"/>
                <w:b/>
                <w:sz w:val="21"/>
                <w:szCs w:val="21"/>
              </w:rPr>
              <w:t>使用</w:t>
            </w:r>
          </w:p>
          <w:p>
            <w:pPr>
              <w:spacing w:line="240" w:lineRule="auto"/>
              <w:ind w:firstLine="0" w:firstLineChars="0"/>
              <w:jc w:val="center"/>
              <w:rPr>
                <w:rFonts w:ascii="宋体" w:hAnsi="宋体" w:cs="仿宋_GB2312"/>
                <w:b/>
                <w:sz w:val="21"/>
                <w:szCs w:val="21"/>
              </w:rPr>
            </w:pPr>
            <w:r>
              <w:rPr>
                <w:rFonts w:hint="eastAsia" w:ascii="宋体" w:hAnsi="宋体" w:cs="仿宋_GB2312"/>
                <w:b/>
                <w:sz w:val="21"/>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原料</w:t>
            </w:r>
          </w:p>
        </w:tc>
        <w:tc>
          <w:tcPr>
            <w:tcW w:w="1339" w:type="pct"/>
            <w:vAlign w:val="center"/>
          </w:tcPr>
          <w:p>
            <w:pPr>
              <w:spacing w:line="240" w:lineRule="auto"/>
              <w:ind w:firstLine="0" w:firstLineChars="0"/>
              <w:jc w:val="center"/>
              <w:rPr>
                <w:rFonts w:ascii="宋体" w:hAnsi="宋体" w:cs="宋体"/>
                <w:sz w:val="21"/>
                <w:szCs w:val="21"/>
              </w:rPr>
            </w:pPr>
            <w:r>
              <w:rPr>
                <w:rFonts w:hint="eastAsia" w:ascii="宋体" w:hAnsi="宋体" w:cs="仿宋_GB2312"/>
                <w:sz w:val="21"/>
                <w:szCs w:val="21"/>
              </w:rPr>
              <w:t>1</w:t>
            </w:r>
            <w:r>
              <w:rPr>
                <w:rFonts w:hint="eastAsia" w:ascii="宋体" w:hAnsi="宋体" w:cs="仿宋_GB2312"/>
                <w:sz w:val="21"/>
                <w:szCs w:val="21"/>
                <w:vertAlign w:val="superscript"/>
              </w:rPr>
              <w:t>#</w:t>
            </w:r>
            <w:r>
              <w:rPr>
                <w:rFonts w:hint="eastAsia" w:ascii="宋体" w:hAnsi="宋体" w:cs="仿宋_GB2312"/>
                <w:sz w:val="21"/>
                <w:szCs w:val="21"/>
              </w:rPr>
              <w:t>皮带输送机</w:t>
            </w:r>
          </w:p>
        </w:tc>
        <w:tc>
          <w:tcPr>
            <w:tcW w:w="1250" w:type="pct"/>
          </w:tcPr>
          <w:p>
            <w:pPr>
              <w:spacing w:line="240" w:lineRule="auto"/>
              <w:ind w:firstLine="0" w:firstLineChars="0"/>
              <w:jc w:val="center"/>
              <w:rPr>
                <w:rFonts w:ascii="宋体" w:hAnsi="宋体"/>
                <w:sz w:val="21"/>
                <w:szCs w:val="21"/>
              </w:rPr>
            </w:pPr>
            <w:r>
              <w:rPr>
                <w:rFonts w:ascii="宋体" w:hAnsi="宋体" w:cs="仿宋_GB2312"/>
                <w:sz w:val="21"/>
                <w:szCs w:val="21"/>
              </w:rPr>
              <w:t>B=600mm,L=</w:t>
            </w:r>
            <w:r>
              <w:rPr>
                <w:rFonts w:hint="eastAsia" w:ascii="宋体" w:hAnsi="宋体" w:cs="仿宋_GB2312"/>
                <w:sz w:val="21"/>
                <w:szCs w:val="21"/>
              </w:rPr>
              <w:t>22000m</w:t>
            </w:r>
            <w:r>
              <w:rPr>
                <w:rFonts w:ascii="宋体" w:hAnsi="宋体" w:cs="仿宋_GB2312"/>
                <w:sz w:val="21"/>
                <w:szCs w:val="21"/>
              </w:rPr>
              <w:t>m,</w:t>
            </w:r>
          </w:p>
          <w:p>
            <w:pPr>
              <w:spacing w:line="240" w:lineRule="auto"/>
              <w:ind w:firstLine="0" w:firstLineChars="0"/>
              <w:jc w:val="center"/>
              <w:rPr>
                <w:rFonts w:ascii="宋体" w:hAnsi="宋体"/>
                <w:sz w:val="21"/>
                <w:szCs w:val="21"/>
              </w:rPr>
            </w:pPr>
            <w:r>
              <w:rPr>
                <w:rFonts w:hint="eastAsia" w:ascii="宋体" w:hAnsi="宋体" w:cs="仿宋_GB2312"/>
                <w:sz w:val="21"/>
                <w:szCs w:val="21"/>
              </w:rPr>
              <w:t>SBWED42-121-4KW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vAlign w:val="center"/>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原料</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振动筛</w:t>
            </w:r>
          </w:p>
        </w:tc>
        <w:tc>
          <w:tcPr>
            <w:tcW w:w="1250"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2SZZ;</w:t>
            </w:r>
            <w:r>
              <w:rPr>
                <w:rFonts w:hint="eastAsia" w:ascii="宋体" w:hAnsi="宋体"/>
                <w:sz w:val="21"/>
                <w:szCs w:val="21"/>
              </w:rPr>
              <w:t xml:space="preserve"> </w:t>
            </w:r>
            <w:r>
              <w:rPr>
                <w:rFonts w:hint="eastAsia" w:ascii="宋体" w:hAnsi="宋体" w:cs="仿宋_GB2312"/>
                <w:sz w:val="21"/>
                <w:szCs w:val="21"/>
              </w:rPr>
              <w:t>900 ×1800mm</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vAlign w:val="center"/>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原料</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w:t>
            </w:r>
            <w:r>
              <w:rPr>
                <w:rFonts w:hint="eastAsia" w:ascii="宋体" w:hAnsi="宋体" w:cs="仿宋_GB2312"/>
                <w:sz w:val="21"/>
                <w:szCs w:val="21"/>
                <w:vertAlign w:val="superscript"/>
              </w:rPr>
              <w:t>#</w:t>
            </w:r>
            <w:r>
              <w:rPr>
                <w:rFonts w:hint="eastAsia" w:ascii="宋体" w:hAnsi="宋体" w:cs="仿宋_GB2312"/>
                <w:sz w:val="21"/>
                <w:szCs w:val="21"/>
              </w:rPr>
              <w:t>皮带输送机</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B=600mm；L=65000mm</w:t>
            </w:r>
          </w:p>
          <w:p>
            <w:pPr>
              <w:spacing w:line="240" w:lineRule="auto"/>
              <w:ind w:firstLine="0" w:firstLineChars="0"/>
              <w:jc w:val="center"/>
              <w:rPr>
                <w:rFonts w:ascii="宋体" w:hAnsi="宋体"/>
                <w:sz w:val="21"/>
                <w:szCs w:val="21"/>
              </w:rPr>
            </w:pPr>
            <w:r>
              <w:rPr>
                <w:rFonts w:hint="eastAsia" w:ascii="宋体" w:hAnsi="宋体" w:cs="仿宋_GB2312"/>
                <w:sz w:val="21"/>
                <w:szCs w:val="21"/>
              </w:rPr>
              <w:t>BWD33-87-7.5KW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vAlign w:val="center"/>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原料</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进料皮带</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sz w:val="21"/>
                <w:szCs w:val="21"/>
              </w:rPr>
              <w:t>B</w:t>
            </w:r>
            <w:r>
              <w:rPr>
                <w:rFonts w:hint="eastAsia" w:ascii="宋体" w:hAnsi="宋体" w:cs="仿宋_GB2312"/>
                <w:sz w:val="21"/>
                <w:szCs w:val="21"/>
              </w:rPr>
              <w:t>=600mm；L=13000mm</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SBWET52-187-4KW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vAlign w:val="center"/>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5</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原料</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矿渣储斗</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4000</w:t>
            </w:r>
            <w:r>
              <w:rPr>
                <w:rFonts w:hint="eastAsia" w:ascii="宋体" w:hAnsi="宋体" w:cs="仿宋_GB2312"/>
                <w:sz w:val="21"/>
                <w:szCs w:val="21"/>
              </w:rPr>
              <w:t>×</w:t>
            </w:r>
            <w:r>
              <w:rPr>
                <w:rFonts w:ascii="宋体" w:hAnsi="宋体" w:cs="仿宋_GB2312"/>
                <w:sz w:val="21"/>
                <w:szCs w:val="21"/>
              </w:rPr>
              <w:t>4800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6</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焙烧</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离心鼓风机(炉前风机)</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AI450-1.2;</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流量:450m</w:t>
            </w:r>
            <w:r>
              <w:rPr>
                <w:rFonts w:hint="eastAsia" w:ascii="宋体" w:hAnsi="宋体" w:cs="仿宋_GB2312"/>
                <w:sz w:val="21"/>
                <w:szCs w:val="21"/>
                <w:vertAlign w:val="superscript"/>
              </w:rPr>
              <w:t>3</w:t>
            </w:r>
            <w:r>
              <w:rPr>
                <w:rFonts w:hint="eastAsia" w:ascii="宋体" w:hAnsi="宋体" w:cs="仿宋_GB2312"/>
                <w:sz w:val="21"/>
                <w:szCs w:val="21"/>
              </w:rPr>
              <w:t>/min;</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7</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焙烧</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沸腾炉</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沸腾段</w:t>
            </w:r>
            <w:r>
              <w:rPr>
                <w:rFonts w:hint="eastAsia" w:ascii="宋体" w:hAnsi="宋体"/>
                <w:sz w:val="21"/>
                <w:szCs w:val="21"/>
              </w:rPr>
              <w:t>:</w:t>
            </w:r>
            <w:r>
              <w:rPr>
                <w:rFonts w:hint="eastAsia" w:ascii="宋体" w:hAnsi="宋体" w:cs="仿宋_GB2312"/>
                <w:sz w:val="21"/>
                <w:szCs w:val="21"/>
              </w:rPr>
              <w:t>φ5646  S=18m</w:t>
            </w:r>
            <w:r>
              <w:rPr>
                <w:rFonts w:hint="eastAsia" w:ascii="宋体" w:hAnsi="宋体"/>
                <w:sz w:val="21"/>
                <w:szCs w:val="21"/>
                <w:vertAlign w:val="superscript"/>
              </w:rPr>
              <w:t>2</w:t>
            </w:r>
            <w:r>
              <w:rPr>
                <w:rFonts w:hint="eastAsia" w:ascii="宋体" w:hAnsi="宋体" w:cs="仿宋_GB2312"/>
                <w:sz w:val="21"/>
                <w:szCs w:val="21"/>
              </w:rPr>
              <w:t xml:space="preserve"> V=290m</w:t>
            </w:r>
            <w:r>
              <w:rPr>
                <w:rFonts w:hint="eastAsia" w:ascii="宋体" w:hAnsi="宋体"/>
                <w:sz w:val="21"/>
                <w:szCs w:val="21"/>
                <w:vertAlign w:val="superscript"/>
              </w:rPr>
              <w:t>3</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8</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焙烧</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一级旋风</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LIH24;总高：7670mm</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9</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焙烧</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二级旋风</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LIH15;总高：7000mm</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10</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排渣</w:t>
            </w:r>
          </w:p>
        </w:tc>
        <w:tc>
          <w:tcPr>
            <w:tcW w:w="1339"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NJB</w:t>
            </w:r>
            <w:r>
              <w:rPr>
                <w:rFonts w:hint="eastAsia" w:ascii="宋体" w:hAnsi="宋体" w:cs="仿宋_GB2312"/>
                <w:sz w:val="21"/>
                <w:szCs w:val="21"/>
              </w:rPr>
              <w:t>埋刮板输送机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B400</w:t>
            </w:r>
            <w:r>
              <w:rPr>
                <w:rFonts w:hint="eastAsia" w:ascii="宋体" w:hAnsi="宋体" w:cs="仿宋_GB2312"/>
                <w:sz w:val="21"/>
                <w:szCs w:val="21"/>
              </w:rPr>
              <w:t>×</w:t>
            </w:r>
            <w:r>
              <w:rPr>
                <w:rFonts w:ascii="宋体" w:hAnsi="宋体" w:cs="仿宋_GB2312"/>
                <w:sz w:val="21"/>
                <w:szCs w:val="21"/>
              </w:rPr>
              <w:t>37000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6"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11</w:t>
            </w:r>
          </w:p>
        </w:tc>
        <w:tc>
          <w:tcPr>
            <w:tcW w:w="446" w:type="pct"/>
            <w:vMerge w:val="restar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排渣</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摆线针轮减速器</w:t>
            </w:r>
          </w:p>
        </w:tc>
        <w:tc>
          <w:tcPr>
            <w:tcW w:w="1250" w:type="pct"/>
          </w:tcPr>
          <w:p>
            <w:pPr>
              <w:spacing w:line="240" w:lineRule="auto"/>
              <w:ind w:firstLine="0" w:firstLineChars="0"/>
              <w:jc w:val="center"/>
              <w:textAlignment w:val="baseline"/>
              <w:rPr>
                <w:rFonts w:ascii="宋体" w:hAnsi="宋体" w:cs="仿宋_GB2312"/>
                <w:sz w:val="21"/>
                <w:szCs w:val="21"/>
              </w:rPr>
            </w:pPr>
            <w:r>
              <w:rPr>
                <w:rFonts w:ascii="宋体" w:hAnsi="宋体" w:cs="仿宋_GB2312"/>
                <w:sz w:val="21"/>
                <w:szCs w:val="21"/>
              </w:rPr>
              <w:t>XWED106-289-11KW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Merge w:val="continue"/>
          </w:tcPr>
          <w:p>
            <w:pPr>
              <w:spacing w:line="240" w:lineRule="auto"/>
              <w:ind w:firstLine="0" w:firstLineChars="0"/>
              <w:jc w:val="center"/>
              <w:rPr>
                <w:rFonts w:ascii="宋体" w:hAnsi="宋体" w:cs="仿宋_GB2312"/>
                <w:sz w:val="21"/>
                <w:szCs w:val="21"/>
              </w:rPr>
            </w:pPr>
          </w:p>
        </w:tc>
        <w:tc>
          <w:tcPr>
            <w:tcW w:w="446" w:type="pct"/>
            <w:vMerge w:val="continue"/>
            <w:vAlign w:val="center"/>
          </w:tcPr>
          <w:p>
            <w:pPr>
              <w:spacing w:line="240" w:lineRule="auto"/>
              <w:ind w:firstLine="0" w:firstLineChars="0"/>
              <w:jc w:val="center"/>
              <w:rPr>
                <w:rFonts w:ascii="宋体" w:hAnsi="宋体" w:cs="仿宋_GB2312"/>
                <w:sz w:val="21"/>
                <w:szCs w:val="21"/>
              </w:rPr>
            </w:pP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Y106M-4  11KW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12</w:t>
            </w:r>
          </w:p>
        </w:tc>
        <w:tc>
          <w:tcPr>
            <w:tcW w:w="446"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排渣</w:t>
            </w:r>
          </w:p>
        </w:tc>
        <w:tc>
          <w:tcPr>
            <w:tcW w:w="1339"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NCK</w:t>
            </w:r>
            <w:r>
              <w:rPr>
                <w:rFonts w:hint="eastAsia" w:ascii="宋体" w:hAnsi="宋体" w:cs="仿宋_GB2312"/>
                <w:sz w:val="21"/>
                <w:szCs w:val="21"/>
              </w:rPr>
              <w:t>浸没式冷却滚筒</w:t>
            </w:r>
          </w:p>
          <w:p>
            <w:pPr>
              <w:spacing w:line="240" w:lineRule="auto"/>
              <w:ind w:firstLine="0" w:firstLineChars="0"/>
              <w:jc w:val="center"/>
              <w:rPr>
                <w:rFonts w:ascii="宋体" w:hAnsi="宋体" w:cs="仿宋_GB2312"/>
                <w:sz w:val="21"/>
                <w:szCs w:val="21"/>
              </w:rPr>
            </w:pPr>
            <w:r>
              <w:rPr>
                <w:rFonts w:ascii="宋体" w:hAnsi="宋体" w:cs="仿宋_GB2312"/>
                <w:sz w:val="21"/>
                <w:szCs w:val="21"/>
              </w:rPr>
              <w:t>JZQ</w:t>
            </w:r>
            <w:r>
              <w:rPr>
                <w:rFonts w:hint="eastAsia" w:ascii="宋体" w:hAnsi="宋体" w:cs="仿宋_GB2312"/>
                <w:sz w:val="21"/>
                <w:szCs w:val="21"/>
              </w:rPr>
              <w:t>减速器</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1020/1800</w:t>
            </w:r>
            <w:r>
              <w:rPr>
                <w:rFonts w:hint="eastAsia" w:ascii="宋体" w:hAnsi="宋体" w:cs="仿宋_GB2312"/>
                <w:sz w:val="21"/>
                <w:szCs w:val="21"/>
              </w:rPr>
              <w:t>×</w:t>
            </w:r>
            <w:r>
              <w:rPr>
                <w:rFonts w:ascii="宋体" w:hAnsi="宋体" w:cs="仿宋_GB2312"/>
                <w:sz w:val="21"/>
                <w:szCs w:val="21"/>
              </w:rPr>
              <w:t>1000</w:t>
            </w:r>
          </w:p>
          <w:p>
            <w:pPr>
              <w:spacing w:line="240" w:lineRule="auto"/>
              <w:ind w:firstLine="0" w:firstLineChars="0"/>
              <w:jc w:val="center"/>
              <w:rPr>
                <w:rFonts w:ascii="宋体" w:hAnsi="宋体" w:cs="仿宋_GB2312"/>
                <w:sz w:val="21"/>
                <w:szCs w:val="21"/>
              </w:rPr>
            </w:pPr>
            <w:r>
              <w:rPr>
                <w:rFonts w:ascii="宋体" w:hAnsi="宋体" w:cs="仿宋_GB2312"/>
                <w:sz w:val="21"/>
                <w:szCs w:val="21"/>
              </w:rPr>
              <w:t>500</w:t>
            </w:r>
          </w:p>
          <w:p>
            <w:pPr>
              <w:spacing w:line="240" w:lineRule="auto"/>
              <w:ind w:firstLine="0" w:firstLineChars="0"/>
              <w:jc w:val="center"/>
              <w:rPr>
                <w:rFonts w:ascii="宋体" w:hAnsi="宋体" w:cs="仿宋_GB2312"/>
                <w:sz w:val="21"/>
                <w:szCs w:val="21"/>
              </w:rPr>
            </w:pPr>
            <w:r>
              <w:rPr>
                <w:rFonts w:ascii="宋体" w:hAnsi="宋体" w:cs="仿宋_GB2312"/>
                <w:sz w:val="21"/>
                <w:szCs w:val="21"/>
              </w:rPr>
              <w:t>Y180M-4  18.5KW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r>
              <w:rPr>
                <w:rFonts w:hint="eastAsia" w:ascii="宋体" w:hAnsi="宋体" w:cs="仿宋_GB2312"/>
                <w:sz w:val="21"/>
                <w:szCs w:val="21"/>
              </w:rPr>
              <w:t>3</w:t>
            </w:r>
          </w:p>
        </w:tc>
        <w:tc>
          <w:tcPr>
            <w:tcW w:w="446"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排渣</w:t>
            </w:r>
          </w:p>
        </w:tc>
        <w:tc>
          <w:tcPr>
            <w:tcW w:w="1339"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r>
              <w:rPr>
                <w:rFonts w:ascii="宋体" w:hAnsi="宋体" w:cs="仿宋_GB2312"/>
                <w:sz w:val="21"/>
                <w:szCs w:val="21"/>
                <w:vertAlign w:val="superscript"/>
              </w:rPr>
              <w:t>#</w:t>
            </w:r>
            <w:r>
              <w:rPr>
                <w:rFonts w:hint="eastAsia" w:ascii="宋体" w:hAnsi="宋体" w:cs="仿宋_GB2312"/>
                <w:sz w:val="21"/>
                <w:szCs w:val="21"/>
              </w:rPr>
              <w:t>皮带运渣机</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摆线针轮减速器</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B600  L=9000</w:t>
            </w:r>
          </w:p>
          <w:p>
            <w:pPr>
              <w:spacing w:line="240" w:lineRule="auto"/>
              <w:ind w:firstLine="0" w:firstLineChars="0"/>
              <w:jc w:val="center"/>
              <w:rPr>
                <w:rFonts w:ascii="宋体" w:hAnsi="宋体" w:cs="仿宋_GB2312"/>
                <w:sz w:val="21"/>
                <w:szCs w:val="21"/>
              </w:rPr>
            </w:pPr>
            <w:r>
              <w:rPr>
                <w:rFonts w:ascii="宋体" w:hAnsi="宋体" w:cs="仿宋_GB2312"/>
                <w:sz w:val="21"/>
                <w:szCs w:val="21"/>
              </w:rPr>
              <w:t>SBWED42-121-4KW</w:t>
            </w:r>
          </w:p>
          <w:p>
            <w:pPr>
              <w:spacing w:line="240" w:lineRule="auto"/>
              <w:ind w:firstLine="0" w:firstLineChars="0"/>
              <w:jc w:val="center"/>
              <w:rPr>
                <w:rFonts w:ascii="宋体" w:hAnsi="宋体" w:cs="仿宋_GB2312"/>
                <w:sz w:val="21"/>
                <w:szCs w:val="21"/>
              </w:rPr>
            </w:pPr>
            <w:r>
              <w:rPr>
                <w:rFonts w:ascii="宋体" w:hAnsi="宋体" w:cs="仿宋_GB2312"/>
                <w:sz w:val="21"/>
                <w:szCs w:val="21"/>
              </w:rPr>
              <w:t>Y112M-4  B5</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44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r>
              <w:rPr>
                <w:rFonts w:hint="eastAsia" w:ascii="宋体" w:hAnsi="宋体" w:cs="仿宋_GB2312"/>
                <w:sz w:val="21"/>
                <w:szCs w:val="21"/>
              </w:rPr>
              <w:t>4</w:t>
            </w:r>
          </w:p>
        </w:tc>
        <w:tc>
          <w:tcPr>
            <w:tcW w:w="446" w:type="pct"/>
            <w:vAlign w:val="center"/>
          </w:tcPr>
          <w:p>
            <w:pPr>
              <w:spacing w:line="240" w:lineRule="auto"/>
              <w:ind w:firstLine="0" w:firstLineChars="0"/>
              <w:jc w:val="center"/>
              <w:rPr>
                <w:rFonts w:ascii="宋体" w:hAnsi="宋体"/>
                <w:sz w:val="21"/>
                <w:szCs w:val="21"/>
              </w:rPr>
            </w:pPr>
            <w:r>
              <w:rPr>
                <w:rFonts w:hint="eastAsia" w:ascii="宋体" w:hAnsi="宋体" w:cs="仿宋_GB2312"/>
                <w:sz w:val="21"/>
                <w:szCs w:val="21"/>
              </w:rPr>
              <w:t>排渣</w:t>
            </w:r>
          </w:p>
        </w:tc>
        <w:tc>
          <w:tcPr>
            <w:tcW w:w="1339"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2</w:t>
            </w:r>
            <w:r>
              <w:rPr>
                <w:rFonts w:ascii="宋体" w:hAnsi="宋体" w:cs="仿宋_GB2312"/>
                <w:sz w:val="21"/>
                <w:szCs w:val="21"/>
                <w:vertAlign w:val="superscript"/>
              </w:rPr>
              <w:t>#</w:t>
            </w:r>
            <w:r>
              <w:rPr>
                <w:rFonts w:hint="eastAsia" w:ascii="宋体" w:hAnsi="宋体" w:cs="仿宋_GB2312"/>
                <w:sz w:val="21"/>
                <w:szCs w:val="21"/>
              </w:rPr>
              <w:t>皮带运渣机</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摆线针轮减速器</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B600  L=23000</w:t>
            </w:r>
          </w:p>
          <w:p>
            <w:pPr>
              <w:spacing w:line="240" w:lineRule="auto"/>
              <w:ind w:firstLine="0" w:firstLineChars="0"/>
              <w:jc w:val="center"/>
              <w:rPr>
                <w:rFonts w:ascii="宋体" w:hAnsi="宋体" w:cs="仿宋_GB2312"/>
                <w:sz w:val="21"/>
                <w:szCs w:val="21"/>
              </w:rPr>
            </w:pPr>
            <w:r>
              <w:rPr>
                <w:rFonts w:ascii="宋体" w:hAnsi="宋体" w:cs="仿宋_GB2312"/>
                <w:sz w:val="21"/>
                <w:szCs w:val="21"/>
              </w:rPr>
              <w:t>SBWED42-121-4KW</w:t>
            </w:r>
          </w:p>
          <w:p>
            <w:pPr>
              <w:spacing w:line="240" w:lineRule="auto"/>
              <w:ind w:firstLine="0" w:firstLineChars="0"/>
              <w:jc w:val="center"/>
              <w:rPr>
                <w:rFonts w:ascii="宋体" w:hAnsi="宋体" w:cs="仿宋_GB2312"/>
                <w:sz w:val="21"/>
                <w:szCs w:val="21"/>
              </w:rPr>
            </w:pPr>
            <w:r>
              <w:rPr>
                <w:rFonts w:ascii="宋体" w:hAnsi="宋体" w:cs="仿宋_GB2312"/>
                <w:sz w:val="21"/>
                <w:szCs w:val="21"/>
              </w:rPr>
              <w:t>Y112M-4  B5</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vAlign w:val="center"/>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15</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排渣</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电除尘器</w:t>
            </w:r>
          </w:p>
        </w:tc>
        <w:tc>
          <w:tcPr>
            <w:tcW w:w="1250"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25m</w:t>
            </w:r>
            <w:r>
              <w:rPr>
                <w:rFonts w:ascii="宋体" w:hAnsi="宋体" w:cs="仿宋_GB2312"/>
                <w:sz w:val="21"/>
                <w:szCs w:val="21"/>
                <w:vertAlign w:val="superscript"/>
              </w:rPr>
              <w:t>2</w:t>
            </w:r>
            <w:r>
              <w:rPr>
                <w:rFonts w:ascii="宋体" w:hAnsi="宋体" w:cs="仿宋_GB2312"/>
                <w:sz w:val="21"/>
                <w:szCs w:val="21"/>
              </w:rPr>
              <w:t>-3-6</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16</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文氏管</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500</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17</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文氏管底槽</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3000</w:t>
            </w:r>
            <w:r>
              <w:rPr>
                <w:rFonts w:hint="eastAsia" w:ascii="宋体" w:hAnsi="宋体" w:cs="仿宋_GB2312"/>
                <w:sz w:val="21"/>
                <w:szCs w:val="21"/>
              </w:rPr>
              <w:t>×</w:t>
            </w:r>
            <w:r>
              <w:rPr>
                <w:rFonts w:ascii="宋体" w:hAnsi="宋体" w:cs="仿宋_GB2312"/>
                <w:sz w:val="21"/>
                <w:szCs w:val="21"/>
              </w:rPr>
              <w:t>2000</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个</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18</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泡沫塔</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2200</w:t>
            </w:r>
            <w:r>
              <w:rPr>
                <w:rFonts w:hint="eastAsia" w:ascii="宋体" w:hAnsi="宋体" w:cs="仿宋_GB2312"/>
                <w:sz w:val="21"/>
                <w:szCs w:val="21"/>
              </w:rPr>
              <w:t>×</w:t>
            </w:r>
            <w:r>
              <w:rPr>
                <w:rFonts w:ascii="宋体" w:hAnsi="宋体" w:cs="仿宋_GB2312"/>
                <w:sz w:val="21"/>
                <w:szCs w:val="21"/>
              </w:rPr>
              <w:t>7800</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19</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电除雾器</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273</w:t>
            </w:r>
            <w:r>
              <w:rPr>
                <w:rFonts w:hint="eastAsia" w:ascii="宋体" w:hAnsi="宋体" w:cs="仿宋_GB2312"/>
                <w:sz w:val="21"/>
                <w:szCs w:val="21"/>
              </w:rPr>
              <w:t>×</w:t>
            </w:r>
            <w:r>
              <w:rPr>
                <w:rFonts w:ascii="宋体" w:hAnsi="宋体" w:cs="仿宋_GB2312"/>
                <w:sz w:val="21"/>
                <w:szCs w:val="21"/>
              </w:rPr>
              <w:t>216</w:t>
            </w:r>
            <w:r>
              <w:rPr>
                <w:rFonts w:hint="eastAsia" w:ascii="宋体" w:hAnsi="宋体" w:cs="仿宋_GB2312"/>
                <w:sz w:val="21"/>
                <w:szCs w:val="21"/>
              </w:rPr>
              <w:t>管</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20</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文氏管泵</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100KEM-55-50FL</w:t>
            </w:r>
          </w:p>
          <w:p>
            <w:pPr>
              <w:spacing w:line="240" w:lineRule="auto"/>
              <w:ind w:firstLine="0" w:firstLineChars="0"/>
              <w:jc w:val="center"/>
              <w:rPr>
                <w:rFonts w:ascii="宋体" w:hAnsi="宋体" w:cs="仿宋_GB2312"/>
                <w:sz w:val="21"/>
                <w:szCs w:val="21"/>
              </w:rPr>
            </w:pPr>
            <w:r>
              <w:rPr>
                <w:rFonts w:ascii="宋体" w:hAnsi="宋体" w:cs="仿宋_GB2312"/>
                <w:sz w:val="21"/>
                <w:szCs w:val="21"/>
              </w:rPr>
              <w:t>H=55m  Q=50m3/h</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2</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2</w:t>
            </w:r>
            <w:r>
              <w:rPr>
                <w:rFonts w:hint="eastAsia" w:ascii="宋体" w:hAnsi="宋体" w:cs="仿宋_GB2312"/>
                <w:sz w:val="21"/>
                <w:szCs w:val="21"/>
              </w:rPr>
              <w:t>1</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Y180M-2   22KW</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2</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22</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脱气器</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500</w:t>
            </w:r>
            <w:r>
              <w:rPr>
                <w:rFonts w:hint="eastAsia" w:ascii="宋体" w:hAnsi="宋体" w:cs="仿宋_GB2312"/>
                <w:sz w:val="21"/>
                <w:szCs w:val="21"/>
              </w:rPr>
              <w:t>×</w:t>
            </w:r>
            <w:r>
              <w:rPr>
                <w:rFonts w:ascii="宋体" w:hAnsi="宋体" w:cs="仿宋_GB2312"/>
                <w:sz w:val="21"/>
                <w:szCs w:val="21"/>
              </w:rPr>
              <w:t>3900</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23</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脱气器槽</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3000</w:t>
            </w:r>
            <w:r>
              <w:rPr>
                <w:rFonts w:hint="eastAsia" w:ascii="宋体" w:hAnsi="宋体" w:cs="仿宋_GB2312"/>
                <w:sz w:val="21"/>
                <w:szCs w:val="21"/>
              </w:rPr>
              <w:t>×</w:t>
            </w:r>
            <w:r>
              <w:rPr>
                <w:rFonts w:ascii="宋体" w:hAnsi="宋体" w:cs="仿宋_GB2312"/>
                <w:sz w:val="21"/>
                <w:szCs w:val="21"/>
              </w:rPr>
              <w:t>2000</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24</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斜管沉降器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3000</w:t>
            </w:r>
            <w:r>
              <w:rPr>
                <w:rFonts w:hint="eastAsia" w:ascii="宋体" w:hAnsi="宋体" w:cs="仿宋_GB2312"/>
                <w:sz w:val="21"/>
                <w:szCs w:val="21"/>
              </w:rPr>
              <w:t>×</w:t>
            </w:r>
            <w:r>
              <w:rPr>
                <w:rFonts w:ascii="宋体" w:hAnsi="宋体" w:cs="仿宋_GB2312"/>
                <w:sz w:val="21"/>
                <w:szCs w:val="21"/>
              </w:rPr>
              <w:t>3000  10.5m</w:t>
            </w:r>
            <w:r>
              <w:rPr>
                <w:rFonts w:ascii="宋体" w:hAnsi="宋体" w:cs="仿宋_GB2312"/>
                <w:sz w:val="21"/>
                <w:szCs w:val="21"/>
                <w:vertAlign w:val="superscript"/>
              </w:rPr>
              <w:t>2</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25</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泡沫塔循环槽</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2500</w:t>
            </w:r>
            <w:r>
              <w:rPr>
                <w:rFonts w:hint="eastAsia" w:ascii="宋体" w:hAnsi="宋体" w:cs="仿宋_GB2312"/>
                <w:sz w:val="21"/>
                <w:szCs w:val="21"/>
              </w:rPr>
              <w:t>×</w:t>
            </w:r>
            <w:r>
              <w:rPr>
                <w:rFonts w:ascii="宋体" w:hAnsi="宋体" w:cs="仿宋_GB2312"/>
                <w:sz w:val="21"/>
                <w:szCs w:val="21"/>
              </w:rPr>
              <w:t>2000</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26</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泡沫塔泵</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100KEM-35-100FL</w:t>
            </w:r>
          </w:p>
          <w:p>
            <w:pPr>
              <w:spacing w:line="240" w:lineRule="auto"/>
              <w:ind w:firstLine="0" w:firstLineChars="0"/>
              <w:jc w:val="center"/>
              <w:rPr>
                <w:rFonts w:ascii="宋体" w:hAnsi="宋体" w:cs="仿宋_GB2312"/>
                <w:sz w:val="21"/>
                <w:szCs w:val="21"/>
              </w:rPr>
            </w:pPr>
            <w:r>
              <w:rPr>
                <w:rFonts w:ascii="宋体" w:hAnsi="宋体" w:cs="仿宋_GB2312"/>
                <w:sz w:val="21"/>
                <w:szCs w:val="21"/>
              </w:rPr>
              <w:t>H=35m  Q=100m3/h</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2</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27</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Y160M-2   18.5KW</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2</w:t>
            </w:r>
          </w:p>
        </w:tc>
        <w:tc>
          <w:tcPr>
            <w:tcW w:w="544" w:type="pct"/>
          </w:tcPr>
          <w:p>
            <w:pPr>
              <w:spacing w:line="240" w:lineRule="auto"/>
              <w:ind w:firstLine="0" w:firstLineChars="0"/>
              <w:jc w:val="center"/>
              <w:rPr>
                <w:rFonts w:ascii="宋体" w:hAnsi="宋体" w:cs="仿宋_GB2312"/>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28</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高位水槽</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 xml:space="preserve">φ2600×3000 15.9m3 </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29</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板式换热器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BR36</w:t>
            </w:r>
          </w:p>
        </w:tc>
        <w:tc>
          <w:tcPr>
            <w:tcW w:w="53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30</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管道离心泵</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1RG-80-125</w:t>
            </w:r>
          </w:p>
          <w:p>
            <w:pPr>
              <w:spacing w:line="240" w:lineRule="auto"/>
              <w:ind w:firstLine="0" w:firstLineChars="0"/>
              <w:jc w:val="center"/>
              <w:rPr>
                <w:rFonts w:ascii="宋体" w:hAnsi="宋体" w:cs="仿宋_GB2312"/>
                <w:sz w:val="21"/>
                <w:szCs w:val="21"/>
              </w:rPr>
            </w:pPr>
            <w:r>
              <w:rPr>
                <w:rFonts w:ascii="宋体" w:hAnsi="宋体" w:cs="仿宋_GB2312"/>
                <w:sz w:val="21"/>
                <w:szCs w:val="21"/>
              </w:rPr>
              <w:t>Y132S1-2  5.5KW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31</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净化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管道离心泵</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1RG-50-200A</w:t>
            </w:r>
          </w:p>
          <w:p>
            <w:pPr>
              <w:spacing w:line="240" w:lineRule="auto"/>
              <w:ind w:firstLine="0" w:firstLineChars="0"/>
              <w:jc w:val="center"/>
              <w:rPr>
                <w:rFonts w:ascii="宋体" w:hAnsi="宋体" w:cs="仿宋_GB2312"/>
                <w:sz w:val="21"/>
                <w:szCs w:val="21"/>
              </w:rPr>
            </w:pPr>
            <w:r>
              <w:rPr>
                <w:rFonts w:ascii="宋体" w:hAnsi="宋体" w:cs="仿宋_GB2312"/>
                <w:sz w:val="21"/>
                <w:szCs w:val="21"/>
              </w:rPr>
              <w:t>Y132S1-2  5.5KW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7" w:hRule="atLeast"/>
        </w:trPr>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32</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干燥塔</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3200  H=13850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33</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管式分酸器</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3100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组</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44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3</w:t>
            </w:r>
            <w:r>
              <w:rPr>
                <w:rFonts w:hint="eastAsia" w:ascii="宋体" w:hAnsi="宋体" w:cs="仿宋_GB2312"/>
                <w:sz w:val="21"/>
                <w:szCs w:val="21"/>
              </w:rPr>
              <w:t>4</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丝网除沫器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Dg2000  H</w:t>
            </w:r>
            <w:r>
              <w:rPr>
                <w:rFonts w:hint="eastAsia" w:ascii="宋体" w:hAnsi="宋体" w:cs="仿宋_GB2312"/>
                <w:sz w:val="21"/>
                <w:szCs w:val="21"/>
              </w:rPr>
              <w:fldChar w:fldCharType="begin"/>
            </w:r>
            <w:r>
              <w:rPr>
                <w:rFonts w:hint="eastAsia" w:ascii="宋体" w:hAnsi="宋体" w:cs="仿宋_GB2312"/>
                <w:sz w:val="21"/>
                <w:szCs w:val="21"/>
              </w:rPr>
              <w:instrText xml:space="preserve"> EQ \o(\s\up 7(100),\s\do 3(150)) </w:instrText>
            </w:r>
            <w:r>
              <w:rPr>
                <w:rFonts w:hint="eastAsia" w:ascii="宋体" w:hAnsi="宋体" w:cs="仿宋_GB2312"/>
                <w:sz w:val="21"/>
                <w:szCs w:val="21"/>
              </w:rPr>
              <w:fldChar w:fldCharType="end"/>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组</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2</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35</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干燥酸冷器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100m</w:t>
            </w:r>
            <w:r>
              <w:rPr>
                <w:rFonts w:ascii="宋体" w:hAnsi="宋体" w:cs="仿宋_GB2312"/>
                <w:sz w:val="21"/>
                <w:szCs w:val="21"/>
                <w:vertAlign w:val="superscript"/>
              </w:rPr>
              <w:t>2</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36</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酸浓检测器</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干燥酸浓表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WDD-</w:t>
            </w:r>
            <w:r>
              <w:rPr>
                <w:rFonts w:hint="eastAsia" w:ascii="宋体" w:hAnsi="宋体" w:cs="仿宋_GB2312"/>
                <w:sz w:val="21"/>
                <w:szCs w:val="21"/>
              </w:rPr>
              <w:t>Ⅲ</w:t>
            </w:r>
          </w:p>
          <w:p>
            <w:pPr>
              <w:spacing w:line="240" w:lineRule="auto"/>
              <w:ind w:firstLine="0" w:firstLineChars="0"/>
              <w:jc w:val="center"/>
              <w:rPr>
                <w:rFonts w:ascii="宋体" w:hAnsi="宋体" w:cs="仿宋_GB2312"/>
                <w:sz w:val="21"/>
                <w:szCs w:val="21"/>
              </w:rPr>
            </w:pPr>
            <w:r>
              <w:rPr>
                <w:rFonts w:ascii="宋体" w:hAnsi="宋体" w:cs="仿宋_GB2312"/>
                <w:sz w:val="21"/>
                <w:szCs w:val="21"/>
              </w:rPr>
              <w:t>WDD-</w:t>
            </w:r>
            <w:r>
              <w:rPr>
                <w:rFonts w:hint="eastAsia" w:ascii="宋体" w:hAnsi="宋体" w:cs="仿宋_GB2312"/>
                <w:sz w:val="21"/>
                <w:szCs w:val="21"/>
              </w:rPr>
              <w:t>Ⅲ</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37</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循环酸槽</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4000</w:t>
            </w:r>
            <w:r>
              <w:rPr>
                <w:rFonts w:hint="eastAsia" w:ascii="宋体" w:hAnsi="宋体" w:cs="仿宋_GB2312"/>
                <w:sz w:val="21"/>
                <w:szCs w:val="21"/>
              </w:rPr>
              <w:t>×</w:t>
            </w:r>
            <w:r>
              <w:rPr>
                <w:rFonts w:ascii="宋体" w:hAnsi="宋体" w:cs="仿宋_GB2312"/>
                <w:sz w:val="21"/>
                <w:szCs w:val="21"/>
              </w:rPr>
              <w:t>2000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38</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干燥酸泵</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JHB120-26</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Y225S-4  37KW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39</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一吸收塔</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3200  H=13850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40</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管式分酸器</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 xml:space="preserve">3100 </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组</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41</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丝网除沫器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Dg2000  H</w:t>
            </w:r>
            <w:r>
              <w:rPr>
                <w:rFonts w:hint="eastAsia" w:ascii="宋体" w:hAnsi="宋体" w:cs="仿宋_GB2312"/>
                <w:sz w:val="21"/>
                <w:szCs w:val="21"/>
              </w:rPr>
              <w:fldChar w:fldCharType="begin"/>
            </w:r>
            <w:r>
              <w:rPr>
                <w:rFonts w:hint="eastAsia" w:ascii="宋体" w:hAnsi="宋体" w:cs="仿宋_GB2312"/>
                <w:sz w:val="21"/>
                <w:szCs w:val="21"/>
              </w:rPr>
              <w:instrText xml:space="preserve"> EQ \o(\s\up 7(100),\s\do 3(150)) </w:instrText>
            </w:r>
            <w:r>
              <w:rPr>
                <w:rFonts w:hint="eastAsia" w:ascii="宋体" w:hAnsi="宋体" w:cs="仿宋_GB2312"/>
                <w:sz w:val="21"/>
                <w:szCs w:val="21"/>
              </w:rPr>
              <w:fldChar w:fldCharType="end"/>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组</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2</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42</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一吸酸冷器</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恒电位仪</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110m</w:t>
            </w:r>
            <w:r>
              <w:rPr>
                <w:rFonts w:ascii="宋体" w:hAnsi="宋体" w:cs="仿宋_GB2312"/>
                <w:sz w:val="21"/>
                <w:szCs w:val="21"/>
                <w:vertAlign w:val="superscript"/>
              </w:rPr>
              <w:t>2</w:t>
            </w:r>
          </w:p>
          <w:p>
            <w:pPr>
              <w:spacing w:line="240" w:lineRule="auto"/>
              <w:ind w:firstLine="0" w:firstLineChars="0"/>
              <w:jc w:val="center"/>
              <w:rPr>
                <w:rFonts w:ascii="宋体" w:hAnsi="宋体" w:cs="仿宋_GB2312"/>
                <w:sz w:val="21"/>
                <w:szCs w:val="21"/>
              </w:rPr>
            </w:pPr>
            <w:r>
              <w:rPr>
                <w:rFonts w:ascii="宋体" w:hAnsi="宋体" w:cs="仿宋_GB2312"/>
                <w:sz w:val="21"/>
                <w:szCs w:val="21"/>
              </w:rPr>
              <w:t>HD-A</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4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4</w:t>
            </w:r>
            <w:r>
              <w:rPr>
                <w:rFonts w:hint="eastAsia" w:ascii="宋体" w:hAnsi="宋体" w:cs="仿宋_GB2312"/>
                <w:sz w:val="21"/>
                <w:szCs w:val="21"/>
              </w:rPr>
              <w:t>3</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微机化酸浓检测器</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一吸酸浓表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WDD-</w:t>
            </w:r>
            <w:r>
              <w:rPr>
                <w:rFonts w:hint="eastAsia" w:ascii="宋体" w:hAnsi="宋体" w:cs="仿宋_GB2312"/>
                <w:sz w:val="21"/>
                <w:szCs w:val="21"/>
              </w:rPr>
              <w:t>Ⅲ</w:t>
            </w:r>
          </w:p>
          <w:p>
            <w:pPr>
              <w:spacing w:line="240" w:lineRule="auto"/>
              <w:ind w:firstLine="0" w:firstLineChars="0"/>
              <w:jc w:val="center"/>
              <w:rPr>
                <w:rFonts w:ascii="宋体" w:hAnsi="宋体" w:cs="仿宋_GB2312"/>
                <w:sz w:val="21"/>
                <w:szCs w:val="21"/>
              </w:rPr>
            </w:pPr>
            <w:r>
              <w:rPr>
                <w:rFonts w:ascii="宋体" w:hAnsi="宋体" w:cs="仿宋_GB2312"/>
                <w:sz w:val="21"/>
                <w:szCs w:val="21"/>
              </w:rPr>
              <w:t>WDD-</w:t>
            </w:r>
            <w:r>
              <w:rPr>
                <w:rFonts w:hint="eastAsia" w:ascii="宋体" w:hAnsi="宋体" w:cs="仿宋_GB2312"/>
                <w:sz w:val="21"/>
                <w:szCs w:val="21"/>
              </w:rPr>
              <w:t>Ⅲ</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4</w:t>
            </w:r>
            <w:r>
              <w:rPr>
                <w:rFonts w:hint="eastAsia" w:ascii="宋体" w:hAnsi="宋体" w:cs="仿宋_GB2312"/>
                <w:sz w:val="21"/>
                <w:szCs w:val="21"/>
              </w:rPr>
              <w:t>4</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循环酸浓</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4000</w:t>
            </w:r>
            <w:r>
              <w:rPr>
                <w:rFonts w:hint="eastAsia" w:ascii="宋体" w:hAnsi="宋体" w:cs="仿宋_GB2312"/>
                <w:sz w:val="21"/>
                <w:szCs w:val="21"/>
              </w:rPr>
              <w:t>×</w:t>
            </w:r>
            <w:r>
              <w:rPr>
                <w:rFonts w:ascii="宋体" w:hAnsi="宋体" w:cs="仿宋_GB2312"/>
                <w:sz w:val="21"/>
                <w:szCs w:val="21"/>
              </w:rPr>
              <w:t>2000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45</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一吸酸泵</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JHB120-26</w:t>
            </w:r>
          </w:p>
          <w:p>
            <w:pPr>
              <w:spacing w:line="240" w:lineRule="auto"/>
              <w:ind w:firstLine="0" w:firstLineChars="0"/>
              <w:jc w:val="center"/>
              <w:rPr>
                <w:rFonts w:ascii="宋体" w:hAnsi="宋体" w:cs="仿宋_GB2312"/>
                <w:sz w:val="21"/>
                <w:szCs w:val="21"/>
              </w:rPr>
            </w:pPr>
            <w:r>
              <w:rPr>
                <w:rFonts w:ascii="宋体" w:hAnsi="宋体" w:cs="仿宋_GB2312"/>
                <w:sz w:val="21"/>
                <w:szCs w:val="21"/>
              </w:rPr>
              <w:t>Y225S-4  37KW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46</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二吸收塔</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3200  H=13850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47</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管式分酸器</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 xml:space="preserve">3100 </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组</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48</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丝网除沫器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Dg2000  H</w:t>
            </w:r>
            <w:r>
              <w:rPr>
                <w:rFonts w:hint="eastAsia" w:ascii="宋体" w:hAnsi="宋体" w:cs="仿宋_GB2312"/>
                <w:sz w:val="21"/>
                <w:szCs w:val="21"/>
              </w:rPr>
              <w:fldChar w:fldCharType="begin"/>
            </w:r>
            <w:r>
              <w:rPr>
                <w:rFonts w:hint="eastAsia" w:ascii="宋体" w:hAnsi="宋体" w:cs="仿宋_GB2312"/>
                <w:sz w:val="21"/>
                <w:szCs w:val="21"/>
              </w:rPr>
              <w:instrText xml:space="preserve"> EQ \o(\s\up 7(100),\s\do 3(150)) </w:instrText>
            </w:r>
            <w:r>
              <w:rPr>
                <w:rFonts w:hint="eastAsia" w:ascii="宋体" w:hAnsi="宋体" w:cs="仿宋_GB2312"/>
                <w:sz w:val="21"/>
                <w:szCs w:val="21"/>
              </w:rPr>
              <w:fldChar w:fldCharType="end"/>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组</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2</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49</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二吸酸冷器</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恒电位仪</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80m</w:t>
            </w:r>
            <w:r>
              <w:rPr>
                <w:rFonts w:ascii="宋体" w:hAnsi="宋体" w:cs="仿宋_GB2312"/>
                <w:sz w:val="21"/>
                <w:szCs w:val="21"/>
                <w:vertAlign w:val="superscript"/>
              </w:rPr>
              <w:t>2</w:t>
            </w:r>
          </w:p>
          <w:p>
            <w:pPr>
              <w:spacing w:line="240" w:lineRule="auto"/>
              <w:ind w:firstLine="0" w:firstLineChars="0"/>
              <w:jc w:val="center"/>
              <w:rPr>
                <w:rFonts w:ascii="宋体" w:hAnsi="宋体" w:cs="仿宋_GB2312"/>
                <w:sz w:val="21"/>
                <w:szCs w:val="21"/>
              </w:rPr>
            </w:pPr>
            <w:r>
              <w:rPr>
                <w:rFonts w:ascii="宋体" w:hAnsi="宋体" w:cs="仿宋_GB2312"/>
                <w:sz w:val="21"/>
                <w:szCs w:val="21"/>
              </w:rPr>
              <w:t>HD-A</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50</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微机化酸浓表</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酸浓检测器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WDD-</w:t>
            </w:r>
            <w:r>
              <w:rPr>
                <w:rFonts w:hint="eastAsia" w:ascii="宋体" w:hAnsi="宋体" w:cs="仿宋_GB2312"/>
                <w:sz w:val="21"/>
                <w:szCs w:val="21"/>
              </w:rPr>
              <w:t>Ⅲ</w:t>
            </w:r>
          </w:p>
          <w:p>
            <w:pPr>
              <w:spacing w:line="240" w:lineRule="auto"/>
              <w:ind w:firstLine="0" w:firstLineChars="0"/>
              <w:jc w:val="center"/>
              <w:rPr>
                <w:rFonts w:ascii="宋体" w:hAnsi="宋体" w:cs="仿宋_GB2312"/>
                <w:sz w:val="21"/>
                <w:szCs w:val="21"/>
              </w:rPr>
            </w:pPr>
            <w:r>
              <w:rPr>
                <w:rFonts w:ascii="宋体" w:hAnsi="宋体" w:cs="仿宋_GB2312"/>
                <w:sz w:val="21"/>
                <w:szCs w:val="21"/>
              </w:rPr>
              <w:t>WDD-</w:t>
            </w:r>
            <w:r>
              <w:rPr>
                <w:rFonts w:hint="eastAsia" w:ascii="宋体" w:hAnsi="宋体" w:cs="仿宋_GB2312"/>
                <w:sz w:val="21"/>
                <w:szCs w:val="21"/>
              </w:rPr>
              <w:t>Ⅲ</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5</w:t>
            </w:r>
            <w:r>
              <w:rPr>
                <w:rFonts w:hint="eastAsia" w:ascii="宋体" w:hAnsi="宋体" w:cs="仿宋_GB2312"/>
                <w:sz w:val="21"/>
                <w:szCs w:val="21"/>
              </w:rPr>
              <w:t>1</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循环酸浓</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4000</w:t>
            </w:r>
            <w:r>
              <w:rPr>
                <w:rFonts w:hint="eastAsia" w:ascii="宋体" w:hAnsi="宋体" w:cs="仿宋_GB2312"/>
                <w:sz w:val="21"/>
                <w:szCs w:val="21"/>
              </w:rPr>
              <w:t>×</w:t>
            </w:r>
            <w:r>
              <w:rPr>
                <w:rFonts w:ascii="宋体" w:hAnsi="宋体" w:cs="仿宋_GB2312"/>
                <w:sz w:val="21"/>
                <w:szCs w:val="21"/>
              </w:rPr>
              <w:t>2000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5</w:t>
            </w:r>
            <w:r>
              <w:rPr>
                <w:rFonts w:hint="eastAsia" w:ascii="宋体" w:hAnsi="宋体" w:cs="仿宋_GB2312"/>
                <w:sz w:val="21"/>
                <w:szCs w:val="21"/>
              </w:rPr>
              <w:t>2</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二吸酸泵</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JHB120-26</w:t>
            </w:r>
          </w:p>
          <w:p>
            <w:pPr>
              <w:spacing w:line="240" w:lineRule="auto"/>
              <w:ind w:firstLine="0" w:firstLineChars="0"/>
              <w:jc w:val="center"/>
              <w:rPr>
                <w:rFonts w:ascii="宋体" w:hAnsi="宋体" w:cs="仿宋_GB2312"/>
                <w:sz w:val="21"/>
                <w:szCs w:val="21"/>
              </w:rPr>
            </w:pPr>
            <w:r>
              <w:rPr>
                <w:rFonts w:ascii="宋体" w:hAnsi="宋体" w:cs="仿宋_GB2312"/>
                <w:sz w:val="21"/>
                <w:szCs w:val="21"/>
              </w:rPr>
              <w:t>Y225S-4  37KW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5</w:t>
            </w:r>
            <w:r>
              <w:rPr>
                <w:rFonts w:hint="eastAsia" w:ascii="宋体" w:hAnsi="宋体" w:cs="仿宋_GB2312"/>
                <w:sz w:val="21"/>
                <w:szCs w:val="21"/>
              </w:rPr>
              <w:t>3</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复挡排沫器</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1800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Merge w:val="restar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5</w:t>
            </w:r>
            <w:r>
              <w:rPr>
                <w:rFonts w:hint="eastAsia" w:ascii="宋体" w:hAnsi="宋体" w:cs="仿宋_GB2312"/>
                <w:sz w:val="21"/>
                <w:szCs w:val="21"/>
              </w:rPr>
              <w:t>4</w:t>
            </w:r>
          </w:p>
        </w:tc>
        <w:tc>
          <w:tcPr>
            <w:tcW w:w="446"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vMerge w:val="restar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尾气烟囱</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烟囱井架</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820</w:t>
            </w:r>
            <w:r>
              <w:rPr>
                <w:rFonts w:hint="eastAsia" w:ascii="宋体" w:hAnsi="宋体" w:cs="仿宋_GB2312"/>
                <w:sz w:val="21"/>
                <w:szCs w:val="21"/>
              </w:rPr>
              <w:t>×</w:t>
            </w:r>
            <w:r>
              <w:rPr>
                <w:rFonts w:ascii="宋体" w:hAnsi="宋体" w:cs="仿宋_GB2312"/>
                <w:sz w:val="21"/>
                <w:szCs w:val="21"/>
              </w:rPr>
              <w:t>12</w:t>
            </w:r>
          </w:p>
        </w:tc>
        <w:tc>
          <w:tcPr>
            <w:tcW w:w="536"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根</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Merge w:val="restar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Merge w:val="restar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Merge w:val="continue"/>
          </w:tcPr>
          <w:p>
            <w:pPr>
              <w:spacing w:line="240" w:lineRule="auto"/>
              <w:ind w:firstLine="0" w:firstLineChars="0"/>
              <w:jc w:val="center"/>
              <w:rPr>
                <w:rFonts w:ascii="宋体" w:hAnsi="宋体" w:cs="仿宋_GB2312"/>
                <w:sz w:val="21"/>
                <w:szCs w:val="21"/>
              </w:rPr>
            </w:pPr>
          </w:p>
        </w:tc>
        <w:tc>
          <w:tcPr>
            <w:tcW w:w="446" w:type="pct"/>
            <w:vMerge w:val="continue"/>
          </w:tcPr>
          <w:p>
            <w:pPr>
              <w:spacing w:line="240" w:lineRule="auto"/>
              <w:ind w:firstLine="0" w:firstLineChars="0"/>
              <w:jc w:val="center"/>
              <w:rPr>
                <w:rFonts w:ascii="宋体" w:hAnsi="宋体" w:cs="仿宋_GB2312"/>
                <w:sz w:val="21"/>
                <w:szCs w:val="21"/>
              </w:rPr>
            </w:pPr>
          </w:p>
        </w:tc>
        <w:tc>
          <w:tcPr>
            <w:tcW w:w="1339" w:type="pct"/>
            <w:vMerge w:val="continue"/>
          </w:tcPr>
          <w:p>
            <w:pPr>
              <w:spacing w:line="240" w:lineRule="auto"/>
              <w:ind w:firstLine="0" w:firstLineChars="0"/>
              <w:jc w:val="center"/>
              <w:rPr>
                <w:rFonts w:ascii="宋体" w:hAnsi="宋体" w:cs="仿宋_GB2312"/>
                <w:sz w:val="21"/>
                <w:szCs w:val="21"/>
              </w:rPr>
            </w:pP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1000</w:t>
            </w:r>
            <w:r>
              <w:rPr>
                <w:rFonts w:hint="eastAsia" w:ascii="宋体" w:hAnsi="宋体" w:cs="仿宋_GB2312"/>
                <w:sz w:val="21"/>
                <w:szCs w:val="21"/>
              </w:rPr>
              <w:t>×</w:t>
            </w:r>
            <w:r>
              <w:rPr>
                <w:rFonts w:ascii="宋体" w:hAnsi="宋体" w:cs="仿宋_GB2312"/>
                <w:sz w:val="21"/>
                <w:szCs w:val="21"/>
              </w:rPr>
              <w:t>1000</w:t>
            </w:r>
            <w:r>
              <w:rPr>
                <w:rFonts w:hint="eastAsia" w:ascii="宋体" w:hAnsi="宋体" w:cs="仿宋_GB2312"/>
                <w:sz w:val="21"/>
                <w:szCs w:val="21"/>
              </w:rPr>
              <w:t>×</w:t>
            </w:r>
            <w:r>
              <w:rPr>
                <w:rFonts w:ascii="宋体" w:hAnsi="宋体" w:cs="仿宋_GB2312"/>
                <w:sz w:val="21"/>
                <w:szCs w:val="21"/>
              </w:rPr>
              <w:t>1000</w:t>
            </w:r>
          </w:p>
        </w:tc>
        <w:tc>
          <w:tcPr>
            <w:tcW w:w="536" w:type="pct"/>
            <w:vMerge w:val="continue"/>
            <w:vAlign w:val="center"/>
          </w:tcPr>
          <w:p>
            <w:pPr>
              <w:spacing w:line="240" w:lineRule="auto"/>
              <w:ind w:firstLine="0" w:firstLineChars="0"/>
              <w:jc w:val="center"/>
              <w:rPr>
                <w:rFonts w:ascii="宋体" w:hAnsi="宋体" w:cs="仿宋_GB2312"/>
                <w:sz w:val="21"/>
                <w:szCs w:val="21"/>
              </w:rPr>
            </w:pPr>
          </w:p>
        </w:tc>
        <w:tc>
          <w:tcPr>
            <w:tcW w:w="438" w:type="pct"/>
            <w:vMerge w:val="continue"/>
            <w:vAlign w:val="center"/>
          </w:tcPr>
          <w:p>
            <w:pPr>
              <w:spacing w:line="240" w:lineRule="auto"/>
              <w:ind w:firstLine="0" w:firstLineChars="0"/>
              <w:jc w:val="center"/>
              <w:rPr>
                <w:rFonts w:ascii="宋体" w:hAnsi="宋体" w:cs="仿宋_GB2312"/>
                <w:sz w:val="21"/>
                <w:szCs w:val="21"/>
              </w:rPr>
            </w:pPr>
          </w:p>
        </w:tc>
        <w:tc>
          <w:tcPr>
            <w:tcW w:w="544" w:type="pct"/>
            <w:vMerge w:val="continue"/>
            <w:vAlign w:val="center"/>
          </w:tcPr>
          <w:p>
            <w:pPr>
              <w:spacing w:line="240" w:lineRule="auto"/>
              <w:ind w:firstLine="0" w:firstLineChars="0"/>
              <w:jc w:val="center"/>
              <w:rPr>
                <w:rFonts w:ascii="宋体" w:hAnsi="宋体"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55</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尾吸循环槽</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1600</w:t>
            </w:r>
            <w:r>
              <w:rPr>
                <w:rFonts w:hint="eastAsia" w:ascii="宋体" w:hAnsi="宋体" w:cs="仿宋_GB2312"/>
                <w:sz w:val="21"/>
                <w:szCs w:val="21"/>
              </w:rPr>
              <w:t>×</w:t>
            </w:r>
            <w:r>
              <w:rPr>
                <w:rFonts w:ascii="宋体" w:hAnsi="宋体" w:cs="仿宋_GB2312"/>
                <w:sz w:val="21"/>
                <w:szCs w:val="21"/>
              </w:rPr>
              <w:t>1800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0" w:hRule="atLeast"/>
        </w:trPr>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56</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干吸</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尾吸泵</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100KFM-55K-50F</w:t>
            </w:r>
          </w:p>
          <w:p>
            <w:pPr>
              <w:spacing w:line="240" w:lineRule="auto"/>
              <w:ind w:firstLine="0" w:firstLineChars="0"/>
              <w:jc w:val="center"/>
              <w:rPr>
                <w:rFonts w:ascii="宋体" w:hAnsi="宋体" w:cs="仿宋_GB2312"/>
                <w:sz w:val="21"/>
                <w:szCs w:val="21"/>
              </w:rPr>
            </w:pPr>
            <w:r>
              <w:rPr>
                <w:rFonts w:ascii="宋体" w:hAnsi="宋体" w:cs="仿宋_GB2312"/>
                <w:sz w:val="21"/>
                <w:szCs w:val="21"/>
              </w:rPr>
              <w:t>Y180M-2  22KW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57</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转化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SO</w:t>
            </w:r>
            <w:r>
              <w:rPr>
                <w:rFonts w:hint="eastAsia" w:ascii="宋体" w:hAnsi="宋体" w:cs="仿宋_GB2312"/>
                <w:sz w:val="21"/>
                <w:szCs w:val="21"/>
                <w:vertAlign w:val="subscript"/>
              </w:rPr>
              <w:t>2</w:t>
            </w:r>
            <w:r>
              <w:rPr>
                <w:rFonts w:hint="eastAsia" w:ascii="宋体" w:hAnsi="宋体" w:cs="仿宋_GB2312"/>
                <w:sz w:val="21"/>
                <w:szCs w:val="21"/>
              </w:rPr>
              <w:t>风机</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叶轮</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AI700-1.784/0.784</w:t>
            </w:r>
          </w:p>
          <w:p>
            <w:pPr>
              <w:spacing w:line="240" w:lineRule="auto"/>
              <w:ind w:firstLine="0" w:firstLineChars="0"/>
              <w:jc w:val="center"/>
              <w:rPr>
                <w:rFonts w:ascii="宋体" w:hAnsi="宋体" w:cs="仿宋_GB2312"/>
                <w:sz w:val="21"/>
                <w:szCs w:val="21"/>
              </w:rPr>
            </w:pPr>
          </w:p>
          <w:p>
            <w:pPr>
              <w:spacing w:line="240" w:lineRule="auto"/>
              <w:ind w:firstLine="0" w:firstLineChars="0"/>
              <w:jc w:val="center"/>
              <w:rPr>
                <w:rFonts w:ascii="宋体" w:hAnsi="宋体" w:cs="仿宋_GB2312"/>
                <w:sz w:val="21"/>
                <w:szCs w:val="21"/>
              </w:rPr>
            </w:pPr>
            <w:r>
              <w:rPr>
                <w:rFonts w:ascii="宋体" w:hAnsi="宋体" w:cs="仿宋_GB2312"/>
                <w:sz w:val="21"/>
                <w:szCs w:val="21"/>
              </w:rPr>
              <w:t>JK630-2 630KW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个</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58</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转化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转化器</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5400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59</w:t>
            </w:r>
          </w:p>
        </w:tc>
        <w:tc>
          <w:tcPr>
            <w:tcW w:w="446"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转化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Ⅰ换热器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274m</w:t>
            </w:r>
            <w:r>
              <w:rPr>
                <w:rFonts w:ascii="宋体" w:hAnsi="宋体" w:cs="仿宋_GB2312"/>
                <w:sz w:val="21"/>
                <w:szCs w:val="21"/>
                <w:vertAlign w:val="superscript"/>
              </w:rPr>
              <w:t>2</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6" w:type="pct"/>
            <w:vMerge w:val="continue"/>
          </w:tcPr>
          <w:p>
            <w:pPr>
              <w:spacing w:line="240" w:lineRule="auto"/>
              <w:ind w:firstLine="0" w:firstLineChars="0"/>
              <w:jc w:val="center"/>
              <w:rPr>
                <w:rFonts w:ascii="宋体" w:hAnsi="宋体" w:cs="仿宋_GB2312"/>
                <w:sz w:val="21"/>
                <w:szCs w:val="21"/>
              </w:rPr>
            </w:pPr>
          </w:p>
        </w:tc>
        <w:tc>
          <w:tcPr>
            <w:tcW w:w="446" w:type="pct"/>
            <w:vMerge w:val="continue"/>
          </w:tcPr>
          <w:p>
            <w:pPr>
              <w:spacing w:line="240" w:lineRule="auto"/>
              <w:ind w:firstLine="0" w:firstLineChars="0"/>
              <w:jc w:val="center"/>
              <w:rPr>
                <w:rFonts w:ascii="宋体" w:hAnsi="宋体" w:cs="仿宋_GB2312"/>
                <w:sz w:val="21"/>
                <w:szCs w:val="21"/>
              </w:rPr>
            </w:pP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Ⅱ换热器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210m</w:t>
            </w:r>
            <w:r>
              <w:rPr>
                <w:rFonts w:ascii="宋体" w:hAnsi="宋体" w:cs="仿宋_GB2312"/>
                <w:sz w:val="21"/>
                <w:szCs w:val="21"/>
                <w:vertAlign w:val="superscript"/>
              </w:rPr>
              <w:t>2</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Merge w:val="continue"/>
          </w:tcPr>
          <w:p>
            <w:pPr>
              <w:spacing w:line="240" w:lineRule="auto"/>
              <w:ind w:firstLine="0" w:firstLineChars="0"/>
              <w:jc w:val="center"/>
              <w:rPr>
                <w:rFonts w:ascii="宋体" w:hAnsi="宋体" w:cs="仿宋_GB2312"/>
                <w:sz w:val="21"/>
                <w:szCs w:val="21"/>
              </w:rPr>
            </w:pPr>
          </w:p>
        </w:tc>
        <w:tc>
          <w:tcPr>
            <w:tcW w:w="446" w:type="pct"/>
            <w:vMerge w:val="continue"/>
          </w:tcPr>
          <w:p>
            <w:pPr>
              <w:spacing w:line="240" w:lineRule="auto"/>
              <w:ind w:firstLine="0" w:firstLineChars="0"/>
              <w:jc w:val="center"/>
              <w:rPr>
                <w:rFonts w:ascii="宋体" w:hAnsi="宋体" w:cs="仿宋_GB2312"/>
                <w:sz w:val="21"/>
                <w:szCs w:val="21"/>
              </w:rPr>
            </w:pP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Ⅲ换热器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712m</w:t>
            </w:r>
            <w:r>
              <w:rPr>
                <w:rFonts w:ascii="宋体" w:hAnsi="宋体" w:cs="仿宋_GB2312"/>
                <w:sz w:val="21"/>
                <w:szCs w:val="21"/>
                <w:vertAlign w:val="superscript"/>
              </w:rPr>
              <w:t>2</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6" w:type="pct"/>
            <w:vMerge w:val="continue"/>
          </w:tcPr>
          <w:p>
            <w:pPr>
              <w:spacing w:line="240" w:lineRule="auto"/>
              <w:ind w:firstLine="0" w:firstLineChars="0"/>
              <w:jc w:val="center"/>
              <w:rPr>
                <w:rFonts w:ascii="宋体" w:hAnsi="宋体" w:cs="仿宋_GB2312"/>
                <w:sz w:val="21"/>
                <w:szCs w:val="21"/>
              </w:rPr>
            </w:pPr>
          </w:p>
        </w:tc>
        <w:tc>
          <w:tcPr>
            <w:tcW w:w="446" w:type="pct"/>
            <w:vMerge w:val="continue"/>
          </w:tcPr>
          <w:p>
            <w:pPr>
              <w:spacing w:line="240" w:lineRule="auto"/>
              <w:ind w:firstLine="0" w:firstLineChars="0"/>
              <w:jc w:val="center"/>
              <w:rPr>
                <w:rFonts w:ascii="宋体" w:hAnsi="宋体" w:cs="仿宋_GB2312"/>
                <w:sz w:val="21"/>
                <w:szCs w:val="21"/>
              </w:rPr>
            </w:pP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Ⅳ换热器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95m</w:t>
            </w:r>
            <w:r>
              <w:rPr>
                <w:rFonts w:ascii="宋体" w:hAnsi="宋体" w:cs="仿宋_GB2312"/>
                <w:sz w:val="21"/>
                <w:szCs w:val="21"/>
                <w:vertAlign w:val="superscript"/>
              </w:rPr>
              <w:t>2</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Merge w:val="continue"/>
          </w:tcPr>
          <w:p>
            <w:pPr>
              <w:spacing w:line="240" w:lineRule="auto"/>
              <w:ind w:firstLine="0" w:firstLineChars="0"/>
              <w:jc w:val="center"/>
              <w:rPr>
                <w:rFonts w:ascii="宋体" w:hAnsi="宋体" w:cs="仿宋_GB2312"/>
                <w:sz w:val="21"/>
                <w:szCs w:val="21"/>
              </w:rPr>
            </w:pPr>
          </w:p>
        </w:tc>
        <w:tc>
          <w:tcPr>
            <w:tcW w:w="446" w:type="pct"/>
            <w:vMerge w:val="continue"/>
          </w:tcPr>
          <w:p>
            <w:pPr>
              <w:spacing w:line="240" w:lineRule="auto"/>
              <w:ind w:firstLine="0" w:firstLineChars="0"/>
              <w:jc w:val="center"/>
              <w:rPr>
                <w:rFonts w:ascii="宋体" w:hAnsi="宋体" w:cs="仿宋_GB2312"/>
                <w:sz w:val="21"/>
                <w:szCs w:val="21"/>
              </w:rPr>
            </w:pP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Ⅴ换热器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1224m</w:t>
            </w:r>
            <w:r>
              <w:rPr>
                <w:rFonts w:ascii="宋体" w:hAnsi="宋体" w:cs="仿宋_GB2312"/>
                <w:sz w:val="21"/>
                <w:szCs w:val="21"/>
                <w:vertAlign w:val="superscript"/>
              </w:rPr>
              <w:t>2</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60</w:t>
            </w:r>
          </w:p>
        </w:tc>
        <w:tc>
          <w:tcPr>
            <w:tcW w:w="446"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转化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一转电炉</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 xml:space="preserve">600KW </w:t>
            </w:r>
          </w:p>
        </w:tc>
        <w:tc>
          <w:tcPr>
            <w:tcW w:w="536"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Merge w:val="restar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Merge w:val="restar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Merge w:val="continue"/>
          </w:tcPr>
          <w:p>
            <w:pPr>
              <w:spacing w:line="240" w:lineRule="auto"/>
              <w:ind w:firstLine="0" w:firstLineChars="0"/>
              <w:jc w:val="center"/>
              <w:rPr>
                <w:rFonts w:ascii="宋体" w:hAnsi="宋体" w:cs="仿宋_GB2312"/>
                <w:sz w:val="21"/>
                <w:szCs w:val="21"/>
              </w:rPr>
            </w:pPr>
          </w:p>
        </w:tc>
        <w:tc>
          <w:tcPr>
            <w:tcW w:w="446" w:type="pct"/>
            <w:vMerge w:val="continue"/>
          </w:tcPr>
          <w:p>
            <w:pPr>
              <w:spacing w:line="240" w:lineRule="auto"/>
              <w:ind w:firstLine="0" w:firstLineChars="0"/>
              <w:jc w:val="center"/>
              <w:rPr>
                <w:rFonts w:ascii="宋体" w:hAnsi="宋体" w:cs="仿宋_GB2312"/>
                <w:sz w:val="21"/>
                <w:szCs w:val="21"/>
              </w:rPr>
            </w:pP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二转电炉</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600KW</w:t>
            </w:r>
          </w:p>
        </w:tc>
        <w:tc>
          <w:tcPr>
            <w:tcW w:w="536" w:type="pct"/>
            <w:vMerge w:val="continue"/>
            <w:vAlign w:val="center"/>
          </w:tcPr>
          <w:p>
            <w:pPr>
              <w:spacing w:line="240" w:lineRule="auto"/>
              <w:ind w:firstLine="0" w:firstLineChars="0"/>
              <w:jc w:val="center"/>
              <w:rPr>
                <w:rFonts w:ascii="宋体" w:hAnsi="宋体" w:cs="仿宋_GB2312"/>
                <w:sz w:val="21"/>
                <w:szCs w:val="21"/>
              </w:rPr>
            </w:pPr>
          </w:p>
        </w:tc>
        <w:tc>
          <w:tcPr>
            <w:tcW w:w="438" w:type="pct"/>
            <w:vMerge w:val="continue"/>
            <w:vAlign w:val="center"/>
          </w:tcPr>
          <w:p>
            <w:pPr>
              <w:spacing w:line="240" w:lineRule="auto"/>
              <w:ind w:firstLine="0" w:firstLineChars="0"/>
              <w:jc w:val="center"/>
              <w:rPr>
                <w:rFonts w:ascii="宋体" w:hAnsi="宋体" w:cs="仿宋_GB2312"/>
                <w:sz w:val="21"/>
                <w:szCs w:val="21"/>
              </w:rPr>
            </w:pPr>
          </w:p>
        </w:tc>
        <w:tc>
          <w:tcPr>
            <w:tcW w:w="544" w:type="pct"/>
            <w:vMerge w:val="continue"/>
            <w:vAlign w:val="center"/>
          </w:tcPr>
          <w:p>
            <w:pPr>
              <w:spacing w:line="240" w:lineRule="auto"/>
              <w:ind w:firstLine="0" w:firstLineChars="0"/>
              <w:jc w:val="center"/>
              <w:rPr>
                <w:rFonts w:ascii="宋体" w:hAnsi="宋体"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3" w:hRule="atLeast"/>
        </w:trPr>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61</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转化</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稀油站</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电控箱</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YZ-63AHB</w:t>
            </w:r>
          </w:p>
          <w:p>
            <w:pPr>
              <w:spacing w:line="240" w:lineRule="auto"/>
              <w:ind w:firstLine="0" w:firstLineChars="0"/>
              <w:jc w:val="center"/>
              <w:rPr>
                <w:rFonts w:ascii="宋体" w:hAnsi="宋体" w:cs="仿宋_GB2312"/>
                <w:sz w:val="21"/>
                <w:szCs w:val="21"/>
              </w:rPr>
            </w:pPr>
            <w:r>
              <w:rPr>
                <w:rFonts w:ascii="宋体" w:hAnsi="宋体" w:cs="仿宋_GB2312"/>
                <w:sz w:val="21"/>
                <w:szCs w:val="21"/>
              </w:rPr>
              <w:t>Y100L1-4  2.2KW</w:t>
            </w:r>
          </w:p>
          <w:p>
            <w:pPr>
              <w:spacing w:line="240" w:lineRule="auto"/>
              <w:ind w:firstLine="0" w:firstLineChars="0"/>
              <w:jc w:val="center"/>
              <w:rPr>
                <w:rFonts w:ascii="宋体" w:hAnsi="宋体" w:cs="仿宋_GB2312"/>
                <w:sz w:val="21"/>
                <w:szCs w:val="21"/>
              </w:rPr>
            </w:pPr>
            <w:r>
              <w:rPr>
                <w:rFonts w:ascii="宋体" w:hAnsi="宋体" w:cs="仿宋_GB2312"/>
                <w:sz w:val="21"/>
                <w:szCs w:val="21"/>
              </w:rPr>
              <w:t>XDX-63AHB</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6</w:t>
            </w:r>
            <w:r>
              <w:rPr>
                <w:rFonts w:hint="eastAsia" w:ascii="宋体" w:hAnsi="宋体" w:cs="仿宋_GB2312"/>
                <w:sz w:val="21"/>
                <w:szCs w:val="21"/>
              </w:rPr>
              <w:t>1</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转化</w:t>
            </w:r>
          </w:p>
        </w:tc>
        <w:tc>
          <w:tcPr>
            <w:tcW w:w="1339"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SR</w:t>
            </w:r>
            <w:r>
              <w:rPr>
                <w:rFonts w:hint="eastAsia" w:ascii="宋体" w:hAnsi="宋体" w:cs="仿宋_GB2312"/>
                <w:sz w:val="21"/>
                <w:szCs w:val="21"/>
              </w:rPr>
              <w:t>热变电阻启动器</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10000V   630KW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62</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转化</w:t>
            </w:r>
          </w:p>
        </w:tc>
        <w:tc>
          <w:tcPr>
            <w:tcW w:w="1339"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GGIA</w:t>
            </w:r>
            <w:r>
              <w:rPr>
                <w:rFonts w:hint="eastAsia" w:ascii="宋体" w:hAnsi="宋体" w:cs="仿宋_GB2312"/>
                <w:sz w:val="21"/>
                <w:szCs w:val="21"/>
              </w:rPr>
              <w:t>高压开关柜</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10000V  100A</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63</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污水</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石灰搅拌槽</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摆线针轮减速器</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1400</w:t>
            </w:r>
            <w:r>
              <w:rPr>
                <w:rFonts w:hint="eastAsia" w:ascii="宋体" w:hAnsi="宋体" w:cs="仿宋_GB2312"/>
                <w:sz w:val="21"/>
                <w:szCs w:val="21"/>
              </w:rPr>
              <w:t>×</w:t>
            </w:r>
            <w:r>
              <w:rPr>
                <w:rFonts w:ascii="宋体" w:hAnsi="宋体" w:cs="仿宋_GB2312"/>
                <w:sz w:val="21"/>
                <w:szCs w:val="21"/>
              </w:rPr>
              <w:t>1400</w:t>
            </w:r>
          </w:p>
          <w:p>
            <w:pPr>
              <w:spacing w:line="240" w:lineRule="auto"/>
              <w:ind w:firstLine="0" w:firstLineChars="0"/>
              <w:jc w:val="center"/>
              <w:rPr>
                <w:rFonts w:ascii="宋体" w:hAnsi="宋体" w:cs="仿宋_GB2312"/>
                <w:sz w:val="21"/>
                <w:szCs w:val="21"/>
              </w:rPr>
            </w:pPr>
            <w:r>
              <w:rPr>
                <w:rFonts w:ascii="宋体" w:hAnsi="宋体" w:cs="仿宋_GB2312"/>
                <w:sz w:val="21"/>
                <w:szCs w:val="21"/>
              </w:rPr>
              <w:t>XLD5-59-5.5KW</w:t>
            </w:r>
          </w:p>
          <w:p>
            <w:pPr>
              <w:spacing w:line="240" w:lineRule="auto"/>
              <w:ind w:firstLine="0" w:firstLineChars="0"/>
              <w:jc w:val="center"/>
              <w:rPr>
                <w:rFonts w:ascii="宋体" w:hAnsi="宋体" w:cs="仿宋_GB2312"/>
                <w:sz w:val="21"/>
                <w:szCs w:val="21"/>
              </w:rPr>
            </w:pPr>
            <w:r>
              <w:rPr>
                <w:rFonts w:ascii="宋体" w:hAnsi="宋体" w:cs="仿宋_GB2312"/>
                <w:sz w:val="21"/>
                <w:szCs w:val="21"/>
              </w:rPr>
              <w:t>Y90L-4  1.5KW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64</w:t>
            </w:r>
          </w:p>
        </w:tc>
        <w:tc>
          <w:tcPr>
            <w:tcW w:w="44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污水</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污水中和槽</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摆线针轮减速器</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5600</w:t>
            </w:r>
            <w:r>
              <w:rPr>
                <w:rFonts w:hint="eastAsia" w:ascii="宋体" w:hAnsi="宋体" w:cs="仿宋_GB2312"/>
                <w:sz w:val="21"/>
                <w:szCs w:val="21"/>
              </w:rPr>
              <w:t>×</w:t>
            </w:r>
            <w:r>
              <w:rPr>
                <w:rFonts w:ascii="宋体" w:hAnsi="宋体" w:cs="仿宋_GB2312"/>
                <w:sz w:val="21"/>
                <w:szCs w:val="21"/>
              </w:rPr>
              <w:t>3000</w:t>
            </w:r>
          </w:p>
          <w:p>
            <w:pPr>
              <w:spacing w:line="240" w:lineRule="auto"/>
              <w:ind w:firstLine="0" w:firstLineChars="0"/>
              <w:jc w:val="center"/>
              <w:rPr>
                <w:rFonts w:ascii="宋体" w:hAnsi="宋体" w:cs="仿宋_GB2312"/>
                <w:sz w:val="21"/>
                <w:szCs w:val="21"/>
              </w:rPr>
            </w:pPr>
            <w:r>
              <w:rPr>
                <w:rFonts w:ascii="宋体" w:hAnsi="宋体" w:cs="仿宋_GB2312"/>
                <w:sz w:val="21"/>
                <w:szCs w:val="21"/>
              </w:rPr>
              <w:t>XLD7-59-5.5KW</w:t>
            </w:r>
          </w:p>
          <w:p>
            <w:pPr>
              <w:spacing w:line="240" w:lineRule="auto"/>
              <w:ind w:firstLine="0" w:firstLineChars="0"/>
              <w:jc w:val="center"/>
              <w:rPr>
                <w:rFonts w:ascii="宋体" w:hAnsi="宋体" w:cs="仿宋_GB2312"/>
                <w:sz w:val="21"/>
                <w:szCs w:val="21"/>
              </w:rPr>
            </w:pPr>
            <w:r>
              <w:rPr>
                <w:rFonts w:ascii="宋体" w:hAnsi="宋体" w:cs="仿宋_GB2312"/>
                <w:sz w:val="21"/>
                <w:szCs w:val="21"/>
              </w:rPr>
              <w:t>Y132L-4 5.5KW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个</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65</w:t>
            </w:r>
          </w:p>
        </w:tc>
        <w:tc>
          <w:tcPr>
            <w:tcW w:w="446" w:type="pct"/>
            <w:vMerge w:val="restar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污水</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排污泵</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IHS80-50-200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Merge w:val="restar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Merge w:val="continue"/>
          </w:tcPr>
          <w:p>
            <w:pPr>
              <w:spacing w:line="240" w:lineRule="auto"/>
              <w:ind w:firstLine="0" w:firstLineChars="0"/>
              <w:jc w:val="center"/>
              <w:rPr>
                <w:rFonts w:ascii="宋体" w:hAnsi="宋体" w:cs="仿宋_GB2312"/>
                <w:sz w:val="21"/>
                <w:szCs w:val="21"/>
              </w:rPr>
            </w:pPr>
          </w:p>
        </w:tc>
        <w:tc>
          <w:tcPr>
            <w:tcW w:w="446" w:type="pct"/>
            <w:vMerge w:val="continue"/>
          </w:tcPr>
          <w:p>
            <w:pPr>
              <w:spacing w:line="240" w:lineRule="auto"/>
              <w:ind w:firstLine="0" w:firstLineChars="0"/>
              <w:jc w:val="center"/>
              <w:rPr>
                <w:rFonts w:ascii="宋体" w:hAnsi="宋体" w:cs="仿宋_GB2312"/>
                <w:sz w:val="21"/>
                <w:szCs w:val="21"/>
              </w:rPr>
            </w:pP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异步电动机</w:t>
            </w:r>
          </w:p>
        </w:tc>
        <w:tc>
          <w:tcPr>
            <w:tcW w:w="1250" w:type="pct"/>
          </w:tcPr>
          <w:p>
            <w:pPr>
              <w:spacing w:line="240" w:lineRule="auto"/>
              <w:ind w:firstLine="0" w:firstLineChars="0"/>
              <w:jc w:val="center"/>
              <w:rPr>
                <w:rFonts w:ascii="宋体" w:hAnsi="宋体" w:cs="仿宋_GB2312"/>
                <w:sz w:val="21"/>
                <w:szCs w:val="21"/>
              </w:rPr>
            </w:pPr>
            <w:r>
              <w:rPr>
                <w:rFonts w:ascii="宋体" w:hAnsi="宋体" w:cs="仿宋_GB2312"/>
                <w:sz w:val="21"/>
                <w:szCs w:val="21"/>
              </w:rPr>
              <w:t>Y160M1-2  11KW</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台</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1</w:t>
            </w:r>
          </w:p>
        </w:tc>
        <w:tc>
          <w:tcPr>
            <w:tcW w:w="544" w:type="pct"/>
            <w:vMerge w:val="continue"/>
            <w:vAlign w:val="center"/>
          </w:tcPr>
          <w:p>
            <w:pPr>
              <w:spacing w:line="240" w:lineRule="auto"/>
              <w:ind w:firstLine="0" w:firstLineChars="0"/>
              <w:jc w:val="center"/>
              <w:rPr>
                <w:rFonts w:ascii="宋体" w:hAnsi="宋体"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66</w:t>
            </w:r>
          </w:p>
        </w:tc>
        <w:tc>
          <w:tcPr>
            <w:tcW w:w="446"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酸库</w:t>
            </w:r>
          </w:p>
        </w:tc>
        <w:tc>
          <w:tcPr>
            <w:tcW w:w="1339"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硫酸储罐</w:t>
            </w:r>
          </w:p>
        </w:tc>
        <w:tc>
          <w:tcPr>
            <w:tcW w:w="1250" w:type="pct"/>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φ</w:t>
            </w:r>
            <w:r>
              <w:rPr>
                <w:rFonts w:ascii="宋体" w:hAnsi="宋体" w:cs="仿宋_GB2312"/>
                <w:sz w:val="21"/>
                <w:szCs w:val="21"/>
              </w:rPr>
              <w:t>1600</w:t>
            </w:r>
            <w:r>
              <w:rPr>
                <w:rFonts w:hint="eastAsia" w:ascii="宋体" w:hAnsi="宋体" w:cs="仿宋_GB2312"/>
                <w:sz w:val="21"/>
                <w:szCs w:val="21"/>
              </w:rPr>
              <w:t>0×</w:t>
            </w:r>
            <w:r>
              <w:rPr>
                <w:rFonts w:ascii="宋体" w:hAnsi="宋体" w:cs="仿宋_GB2312"/>
                <w:sz w:val="21"/>
                <w:szCs w:val="21"/>
              </w:rPr>
              <w:t>9000</w:t>
            </w:r>
          </w:p>
        </w:tc>
        <w:tc>
          <w:tcPr>
            <w:tcW w:w="536" w:type="pct"/>
            <w:vAlign w:val="center"/>
          </w:tcPr>
          <w:p>
            <w:pPr>
              <w:spacing w:line="240" w:lineRule="auto"/>
              <w:ind w:firstLine="0" w:firstLineChars="0"/>
              <w:jc w:val="center"/>
              <w:rPr>
                <w:rFonts w:ascii="宋体" w:hAnsi="宋体" w:cs="仿宋_GB2312"/>
                <w:sz w:val="21"/>
                <w:szCs w:val="21"/>
              </w:rPr>
            </w:pPr>
            <w:r>
              <w:rPr>
                <w:rFonts w:hint="eastAsia" w:ascii="宋体" w:hAnsi="宋体" w:cs="仿宋_GB2312"/>
                <w:sz w:val="21"/>
                <w:szCs w:val="21"/>
              </w:rPr>
              <w:t>个</w:t>
            </w:r>
          </w:p>
        </w:tc>
        <w:tc>
          <w:tcPr>
            <w:tcW w:w="438" w:type="pct"/>
            <w:vAlign w:val="center"/>
          </w:tcPr>
          <w:p>
            <w:pPr>
              <w:spacing w:line="240" w:lineRule="auto"/>
              <w:ind w:firstLine="0" w:firstLineChars="0"/>
              <w:jc w:val="center"/>
              <w:rPr>
                <w:rFonts w:ascii="宋体" w:hAnsi="宋体" w:cs="仿宋_GB2312"/>
                <w:sz w:val="21"/>
                <w:szCs w:val="21"/>
              </w:rPr>
            </w:pPr>
            <w:r>
              <w:rPr>
                <w:rFonts w:ascii="宋体" w:hAnsi="宋体" w:cs="仿宋_GB2312"/>
                <w:sz w:val="21"/>
                <w:szCs w:val="21"/>
              </w:rPr>
              <w:t>3</w:t>
            </w:r>
          </w:p>
        </w:tc>
        <w:tc>
          <w:tcPr>
            <w:tcW w:w="5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正常</w:t>
            </w:r>
          </w:p>
        </w:tc>
      </w:tr>
    </w:tbl>
    <w:p>
      <w:pPr>
        <w:ind w:firstLine="0" w:firstLineChars="0"/>
      </w:pPr>
    </w:p>
    <w:p>
      <w:pPr>
        <w:pStyle w:val="4"/>
        <w:ind w:firstLine="562"/>
      </w:pPr>
      <w:bookmarkStart w:id="768" w:name="_Toc3648"/>
      <w:bookmarkStart w:id="769" w:name="_Toc31412"/>
      <w:bookmarkStart w:id="770" w:name="_Toc19587"/>
      <w:bookmarkStart w:id="771" w:name="_Toc22827"/>
      <w:bookmarkStart w:id="772" w:name="_Toc19404"/>
      <w:bookmarkStart w:id="773" w:name="_Toc828"/>
      <w:bookmarkStart w:id="774" w:name="_Toc21063"/>
      <w:bookmarkStart w:id="775" w:name="_Toc27491"/>
      <w:bookmarkStart w:id="776" w:name="_Toc17196"/>
      <w:bookmarkStart w:id="777" w:name="_Toc9642"/>
      <w:bookmarkStart w:id="778" w:name="_Toc22333"/>
      <w:bookmarkStart w:id="779" w:name="_Toc12379"/>
      <w:bookmarkStart w:id="780" w:name="_Toc12103"/>
      <w:bookmarkStart w:id="781" w:name="_Toc11185"/>
      <w:bookmarkStart w:id="782" w:name="_Toc42724620"/>
      <w:bookmarkStart w:id="783" w:name="_Toc17379"/>
      <w:bookmarkStart w:id="784" w:name="_Toc2434"/>
      <w:bookmarkStart w:id="785" w:name="_Toc10932"/>
      <w:bookmarkStart w:id="786" w:name="_Toc6308"/>
      <w:bookmarkStart w:id="787" w:name="_Toc15321"/>
      <w:bookmarkStart w:id="788" w:name="_Toc19827"/>
      <w:bookmarkStart w:id="789" w:name="_Toc3753"/>
      <w:bookmarkStart w:id="790" w:name="_Toc4847"/>
      <w:bookmarkStart w:id="791" w:name="_Toc5389"/>
      <w:bookmarkStart w:id="792" w:name="_Toc128056393"/>
      <w:bookmarkStart w:id="793" w:name="_Toc23394"/>
      <w:bookmarkStart w:id="794" w:name="_Toc25061"/>
      <w:bookmarkStart w:id="795" w:name="_Toc128056384"/>
      <w:bookmarkStart w:id="796" w:name="_Toc16589"/>
      <w:bookmarkStart w:id="797" w:name="_Toc22971"/>
      <w:bookmarkStart w:id="798" w:name="_Toc17368"/>
      <w:r>
        <w:rPr>
          <w:rFonts w:hint="eastAsia"/>
        </w:rPr>
        <w:t>2.7.3 特种设备与强制检测设施</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pPr>
        <w:widowControl/>
        <w:tabs>
          <w:tab w:val="left" w:pos="7755"/>
        </w:tabs>
        <w:ind w:firstLine="686" w:firstLineChars="245"/>
        <w:jc w:val="left"/>
        <w:rPr>
          <w:rFonts w:ascii="宋体" w:hAnsi="宋体"/>
          <w:color w:val="auto"/>
          <w:szCs w:val="28"/>
        </w:rPr>
      </w:pPr>
      <w:r>
        <w:rPr>
          <w:rFonts w:hint="eastAsia" w:ascii="宋体" w:hAnsi="宋体"/>
          <w:color w:val="auto"/>
          <w:szCs w:val="28"/>
        </w:rPr>
        <w:t>跃进化工特种设备及强制检测设施有：</w:t>
      </w:r>
    </w:p>
    <w:p>
      <w:pPr>
        <w:widowControl/>
        <w:tabs>
          <w:tab w:val="left" w:pos="7755"/>
        </w:tabs>
        <w:ind w:firstLine="686" w:firstLineChars="245"/>
        <w:jc w:val="left"/>
        <w:rPr>
          <w:rFonts w:ascii="宋体" w:hAnsi="宋体"/>
          <w:color w:val="auto"/>
          <w:szCs w:val="28"/>
        </w:rPr>
      </w:pPr>
      <w:r>
        <w:rPr>
          <w:rFonts w:hint="eastAsia" w:ascii="宋体" w:hAnsi="宋体"/>
          <w:color w:val="auto"/>
          <w:szCs w:val="28"/>
        </w:rPr>
        <w:t>（1）叉车（厂内运输用），叉车于2023年6月28日进行了检验，有效期至2025年6月。叉车定期检验报告详见报告F6.30。</w:t>
      </w:r>
    </w:p>
    <w:p>
      <w:pPr>
        <w:widowControl/>
        <w:tabs>
          <w:tab w:val="left" w:pos="7755"/>
        </w:tabs>
        <w:ind w:firstLine="686" w:firstLineChars="245"/>
        <w:jc w:val="left"/>
        <w:rPr>
          <w:rFonts w:ascii="宋体" w:hAnsi="宋体"/>
          <w:color w:val="auto"/>
          <w:szCs w:val="28"/>
        </w:rPr>
      </w:pPr>
      <w:r>
        <w:rPr>
          <w:rFonts w:hint="eastAsia" w:ascii="宋体" w:hAnsi="宋体"/>
          <w:color w:val="auto"/>
          <w:szCs w:val="28"/>
        </w:rPr>
        <w:t>（2）起重机一台，起重机于2023年7月13日进行了检验，有效期至2025年5月。起重机定期检验报告详见报告F6.33。</w:t>
      </w:r>
    </w:p>
    <w:p>
      <w:pPr>
        <w:widowControl/>
        <w:tabs>
          <w:tab w:val="left" w:pos="7755"/>
        </w:tabs>
        <w:adjustRightInd/>
        <w:snapToGrid/>
        <w:ind w:firstLine="560"/>
        <w:jc w:val="left"/>
        <w:rPr>
          <w:rFonts w:ascii="宋体" w:hAnsi="宋体"/>
          <w:color w:val="auto"/>
          <w:szCs w:val="28"/>
        </w:rPr>
      </w:pPr>
      <w:r>
        <w:rPr>
          <w:rFonts w:hint="eastAsia" w:ascii="宋体" w:hAnsi="宋体"/>
          <w:color w:val="auto"/>
          <w:szCs w:val="28"/>
        </w:rPr>
        <w:t>（3）锅炉二台，一线锅炉于2022年7月12日进行了内检，有效期至2024年7月12日，2023年4月11日进行了外检，有效期至2024年4月10日。二线锅炉于2023年3月24日进行了内检，有效期至2025年3月23日，2023年4月11日进行了外检，有效期至2024年4月10日。锅炉内、外检报告详见报告F6.31、6.32。</w:t>
      </w:r>
    </w:p>
    <w:p>
      <w:pPr>
        <w:widowControl/>
        <w:tabs>
          <w:tab w:val="left" w:pos="7755"/>
        </w:tabs>
        <w:ind w:firstLine="686" w:firstLineChars="245"/>
        <w:jc w:val="left"/>
        <w:rPr>
          <w:rFonts w:ascii="宋体" w:hAnsi="宋体"/>
          <w:color w:val="auto"/>
          <w:szCs w:val="28"/>
        </w:rPr>
      </w:pPr>
      <w:r>
        <w:rPr>
          <w:rFonts w:hint="eastAsia" w:ascii="宋体" w:hAnsi="宋体"/>
          <w:color w:val="auto"/>
          <w:szCs w:val="28"/>
        </w:rPr>
        <w:t>（4）压力表九块，于2023年10月20日进行了校验，有效期至2024年4月19日。压力表检定证书详见报告F6.29。</w:t>
      </w:r>
    </w:p>
    <w:p>
      <w:pPr>
        <w:widowControl/>
        <w:tabs>
          <w:tab w:val="left" w:pos="7755"/>
        </w:tabs>
        <w:ind w:firstLine="686" w:firstLineChars="245"/>
        <w:jc w:val="left"/>
        <w:rPr>
          <w:rFonts w:ascii="宋体" w:hAnsi="宋体"/>
          <w:color w:val="auto"/>
          <w:szCs w:val="28"/>
        </w:rPr>
      </w:pPr>
      <w:r>
        <w:rPr>
          <w:rFonts w:hint="eastAsia" w:ascii="宋体" w:hAnsi="宋体"/>
          <w:color w:val="auto"/>
          <w:szCs w:val="28"/>
        </w:rPr>
        <w:t xml:space="preserve">（5）安全阀三只，于2023年6月6日进行了校验，有效期至2024年6月5日。安全阀校验报告详见报告F6.28。         </w:t>
      </w:r>
    </w:p>
    <w:p>
      <w:pPr>
        <w:widowControl/>
        <w:tabs>
          <w:tab w:val="left" w:pos="7755"/>
        </w:tabs>
        <w:ind w:firstLine="686" w:firstLineChars="245"/>
        <w:jc w:val="left"/>
        <w:rPr>
          <w:rFonts w:ascii="宋体" w:hAnsi="宋体"/>
          <w:color w:val="auto"/>
          <w:szCs w:val="28"/>
        </w:rPr>
      </w:pPr>
      <w:r>
        <w:rPr>
          <w:rFonts w:hint="eastAsia" w:ascii="宋体" w:hAnsi="宋体"/>
          <w:color w:val="auto"/>
          <w:szCs w:val="28"/>
        </w:rPr>
        <w:t>（6）有毒气体浓度检测仪于2024年3月5日进行检验。校验报告详见报告F的6.34。</w:t>
      </w:r>
    </w:p>
    <w:p>
      <w:pPr>
        <w:widowControl/>
        <w:tabs>
          <w:tab w:val="left" w:pos="7755"/>
        </w:tabs>
        <w:ind w:firstLine="0" w:firstLineChars="0"/>
        <w:jc w:val="center"/>
        <w:rPr>
          <w:rFonts w:ascii="宋体" w:hAnsi="宋体"/>
          <w:b/>
          <w:bCs/>
          <w:color w:val="auto"/>
          <w:sz w:val="24"/>
        </w:rPr>
      </w:pPr>
      <w:r>
        <w:rPr>
          <w:rFonts w:hint="eastAsia" w:ascii="宋体" w:hAnsi="宋体"/>
          <w:b/>
          <w:bCs/>
          <w:color w:val="auto"/>
          <w:sz w:val="24"/>
        </w:rPr>
        <w:t>表2.7-3 特种设备、强检设备和定检设备一览表</w:t>
      </w:r>
    </w:p>
    <w:tbl>
      <w:tblPr>
        <w:tblStyle w:val="38"/>
        <w:tblW w:w="501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1"/>
        <w:gridCol w:w="2084"/>
        <w:gridCol w:w="1678"/>
        <w:gridCol w:w="835"/>
        <w:gridCol w:w="1666"/>
        <w:gridCol w:w="2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名  称</w:t>
            </w:r>
          </w:p>
        </w:tc>
        <w:tc>
          <w:tcPr>
            <w:tcW w:w="1118"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使用（登记证）编号</w:t>
            </w:r>
          </w:p>
        </w:tc>
        <w:tc>
          <w:tcPr>
            <w:tcW w:w="900"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使 用 位 置</w:t>
            </w:r>
          </w:p>
        </w:tc>
        <w:tc>
          <w:tcPr>
            <w:tcW w:w="448"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检验结论</w:t>
            </w:r>
          </w:p>
        </w:tc>
        <w:tc>
          <w:tcPr>
            <w:tcW w:w="894"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检验有效期至</w:t>
            </w:r>
          </w:p>
        </w:tc>
        <w:tc>
          <w:tcPr>
            <w:tcW w:w="1121" w:type="pct"/>
            <w:vAlign w:val="center"/>
          </w:tcPr>
          <w:p>
            <w:pPr>
              <w:widowControl/>
              <w:tabs>
                <w:tab w:val="left" w:pos="7755"/>
              </w:tabs>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检 验 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叉车</w:t>
            </w:r>
          </w:p>
        </w:tc>
        <w:tc>
          <w:tcPr>
            <w:tcW w:w="1118"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厂11滇J0073（14）</w:t>
            </w:r>
          </w:p>
        </w:tc>
        <w:tc>
          <w:tcPr>
            <w:tcW w:w="900"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厂内运输</w:t>
            </w:r>
          </w:p>
        </w:tc>
        <w:tc>
          <w:tcPr>
            <w:tcW w:w="448"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2025.6</w:t>
            </w:r>
          </w:p>
        </w:tc>
        <w:tc>
          <w:tcPr>
            <w:tcW w:w="1121"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起重机</w:t>
            </w:r>
          </w:p>
        </w:tc>
        <w:tc>
          <w:tcPr>
            <w:tcW w:w="1118"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起17滇J00025（23）</w:t>
            </w:r>
          </w:p>
        </w:tc>
        <w:tc>
          <w:tcPr>
            <w:tcW w:w="900"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公司</w:t>
            </w:r>
          </w:p>
        </w:tc>
        <w:tc>
          <w:tcPr>
            <w:tcW w:w="448"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2025.5</w:t>
            </w:r>
          </w:p>
        </w:tc>
        <w:tc>
          <w:tcPr>
            <w:tcW w:w="1121"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锅炉</w:t>
            </w:r>
          </w:p>
        </w:tc>
        <w:tc>
          <w:tcPr>
            <w:tcW w:w="1118"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锅滇JA063</w:t>
            </w:r>
          </w:p>
        </w:tc>
        <w:tc>
          <w:tcPr>
            <w:tcW w:w="900"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公司</w:t>
            </w:r>
          </w:p>
        </w:tc>
        <w:tc>
          <w:tcPr>
            <w:tcW w:w="448"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olor w:val="auto"/>
                <w:sz w:val="21"/>
                <w:szCs w:val="21"/>
              </w:rPr>
              <w:t>内检</w:t>
            </w:r>
            <w:r>
              <w:rPr>
                <w:rFonts w:hint="eastAsia" w:ascii="宋体" w:hAnsi="宋体" w:cs="宋体"/>
                <w:bCs/>
                <w:color w:val="auto"/>
                <w:sz w:val="21"/>
                <w:szCs w:val="21"/>
              </w:rPr>
              <w:t>2024.7.12外检2024.4.10</w:t>
            </w:r>
          </w:p>
        </w:tc>
        <w:tc>
          <w:tcPr>
            <w:tcW w:w="1121"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锅炉</w:t>
            </w:r>
          </w:p>
        </w:tc>
        <w:tc>
          <w:tcPr>
            <w:tcW w:w="1118"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锅滇JA062</w:t>
            </w:r>
          </w:p>
        </w:tc>
        <w:tc>
          <w:tcPr>
            <w:tcW w:w="900"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公司</w:t>
            </w:r>
          </w:p>
        </w:tc>
        <w:tc>
          <w:tcPr>
            <w:tcW w:w="448"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olor w:val="auto"/>
                <w:sz w:val="21"/>
                <w:szCs w:val="21"/>
              </w:rPr>
              <w:t>内检</w:t>
            </w:r>
            <w:r>
              <w:rPr>
                <w:rFonts w:hint="eastAsia" w:ascii="宋体" w:hAnsi="宋体" w:cs="宋体"/>
                <w:bCs/>
                <w:color w:val="auto"/>
                <w:sz w:val="21"/>
                <w:szCs w:val="21"/>
              </w:rPr>
              <w:t>2025.3.23外检2024.4.10</w:t>
            </w:r>
          </w:p>
        </w:tc>
        <w:tc>
          <w:tcPr>
            <w:tcW w:w="1121" w:type="pct"/>
            <w:vAlign w:val="center"/>
          </w:tcPr>
          <w:p>
            <w:pPr>
              <w:widowControl/>
              <w:tabs>
                <w:tab w:val="left" w:pos="775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18" w:type="pct"/>
            <w:vAlign w:val="center"/>
          </w:tcPr>
          <w:p>
            <w:pPr>
              <w:ind w:firstLine="0" w:firstLineChars="0"/>
              <w:jc w:val="center"/>
              <w:rPr>
                <w:rFonts w:ascii="宋体" w:hAnsi="宋体" w:cs="宋体"/>
                <w:sz w:val="21"/>
                <w:szCs w:val="21"/>
              </w:rPr>
            </w:pPr>
            <w:r>
              <w:rPr>
                <w:rFonts w:hint="eastAsia" w:ascii="宋体" w:hAnsi="宋体" w:cs="宋体"/>
                <w:sz w:val="21"/>
                <w:szCs w:val="21"/>
              </w:rPr>
              <w:t>523022282</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2024.4.19</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18" w:type="pct"/>
            <w:vAlign w:val="center"/>
          </w:tcPr>
          <w:p>
            <w:pPr>
              <w:ind w:firstLine="0" w:firstLineChars="0"/>
              <w:jc w:val="center"/>
              <w:rPr>
                <w:rFonts w:ascii="宋体" w:hAnsi="宋体" w:cs="宋体"/>
                <w:sz w:val="21"/>
                <w:szCs w:val="21"/>
              </w:rPr>
            </w:pPr>
            <w:r>
              <w:rPr>
                <w:rFonts w:hint="eastAsia" w:ascii="宋体" w:hAnsi="宋体" w:cs="宋体"/>
                <w:sz w:val="21"/>
                <w:szCs w:val="21"/>
              </w:rPr>
              <w:t>523022281-001</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tcPr>
          <w:p>
            <w:pPr>
              <w:spacing w:line="240" w:lineRule="auto"/>
              <w:ind w:firstLine="0" w:firstLineChars="0"/>
              <w:jc w:val="center"/>
            </w:pPr>
            <w:r>
              <w:rPr>
                <w:rFonts w:hint="eastAsia" w:ascii="宋体" w:hAnsi="宋体" w:cs="宋体"/>
                <w:bCs/>
                <w:color w:val="000000" w:themeColor="text1"/>
                <w:sz w:val="21"/>
                <w:szCs w:val="21"/>
              </w:rPr>
              <w:t>2024.4.19</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18" w:type="pct"/>
            <w:vAlign w:val="center"/>
          </w:tcPr>
          <w:p>
            <w:pPr>
              <w:ind w:firstLine="0" w:firstLineChars="0"/>
              <w:jc w:val="center"/>
              <w:rPr>
                <w:rFonts w:ascii="宋体" w:hAnsi="宋体" w:cs="宋体"/>
                <w:sz w:val="21"/>
                <w:szCs w:val="21"/>
              </w:rPr>
            </w:pPr>
            <w:r>
              <w:rPr>
                <w:rFonts w:hint="eastAsia" w:ascii="宋体" w:hAnsi="宋体" w:cs="宋体"/>
                <w:sz w:val="21"/>
                <w:szCs w:val="21"/>
              </w:rPr>
              <w:t>523022281-002</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tcPr>
          <w:p>
            <w:pPr>
              <w:spacing w:line="240" w:lineRule="auto"/>
              <w:ind w:firstLine="0" w:firstLineChars="0"/>
              <w:jc w:val="center"/>
            </w:pPr>
            <w:r>
              <w:rPr>
                <w:rFonts w:hint="eastAsia" w:ascii="宋体" w:hAnsi="宋体" w:cs="宋体"/>
                <w:bCs/>
                <w:color w:val="000000" w:themeColor="text1"/>
                <w:sz w:val="21"/>
                <w:szCs w:val="21"/>
              </w:rPr>
              <w:t>2024.4.19</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18" w:type="pct"/>
            <w:vAlign w:val="center"/>
          </w:tcPr>
          <w:p>
            <w:pPr>
              <w:ind w:firstLine="0" w:firstLineChars="0"/>
              <w:jc w:val="center"/>
              <w:rPr>
                <w:rFonts w:ascii="宋体" w:hAnsi="宋体" w:cs="宋体"/>
                <w:sz w:val="21"/>
                <w:szCs w:val="21"/>
              </w:rPr>
            </w:pPr>
            <w:r>
              <w:rPr>
                <w:rFonts w:hint="eastAsia" w:ascii="宋体" w:hAnsi="宋体" w:cs="宋体"/>
                <w:sz w:val="21"/>
                <w:szCs w:val="21"/>
              </w:rPr>
              <w:t>523022281-003</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tcPr>
          <w:p>
            <w:pPr>
              <w:spacing w:line="240" w:lineRule="auto"/>
              <w:ind w:firstLine="0" w:firstLineChars="0"/>
              <w:jc w:val="center"/>
            </w:pPr>
            <w:r>
              <w:rPr>
                <w:rFonts w:hint="eastAsia" w:ascii="宋体" w:hAnsi="宋体" w:cs="宋体"/>
                <w:bCs/>
                <w:color w:val="000000" w:themeColor="text1"/>
                <w:sz w:val="21"/>
                <w:szCs w:val="21"/>
              </w:rPr>
              <w:t>2024.4.19</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18" w:type="pct"/>
            <w:vAlign w:val="center"/>
          </w:tcPr>
          <w:p>
            <w:pPr>
              <w:ind w:firstLine="0" w:firstLineChars="0"/>
              <w:jc w:val="center"/>
              <w:rPr>
                <w:rFonts w:ascii="宋体" w:hAnsi="宋体" w:cs="宋体"/>
                <w:sz w:val="21"/>
                <w:szCs w:val="21"/>
              </w:rPr>
            </w:pPr>
            <w:r>
              <w:rPr>
                <w:rFonts w:hint="eastAsia" w:ascii="宋体" w:hAnsi="宋体" w:cs="宋体"/>
                <w:sz w:val="21"/>
                <w:szCs w:val="21"/>
              </w:rPr>
              <w:t>523022281-004</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tcPr>
          <w:p>
            <w:pPr>
              <w:spacing w:line="240" w:lineRule="auto"/>
              <w:ind w:firstLine="0" w:firstLineChars="0"/>
              <w:jc w:val="center"/>
            </w:pPr>
            <w:r>
              <w:rPr>
                <w:rFonts w:hint="eastAsia" w:ascii="宋体" w:hAnsi="宋体" w:cs="宋体"/>
                <w:bCs/>
                <w:color w:val="000000" w:themeColor="text1"/>
                <w:sz w:val="21"/>
                <w:szCs w:val="21"/>
              </w:rPr>
              <w:t>2024.4.19</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18" w:type="pct"/>
            <w:vAlign w:val="center"/>
          </w:tcPr>
          <w:p>
            <w:pPr>
              <w:ind w:firstLine="0" w:firstLineChars="0"/>
              <w:jc w:val="center"/>
              <w:rPr>
                <w:rFonts w:ascii="宋体" w:hAnsi="宋体" w:cs="宋体"/>
                <w:sz w:val="21"/>
                <w:szCs w:val="21"/>
              </w:rPr>
            </w:pPr>
            <w:r>
              <w:rPr>
                <w:rFonts w:hint="eastAsia" w:ascii="宋体" w:hAnsi="宋体" w:cs="宋体"/>
                <w:sz w:val="21"/>
                <w:szCs w:val="21"/>
              </w:rPr>
              <w:t>523022281-005</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tcPr>
          <w:p>
            <w:pPr>
              <w:spacing w:line="240" w:lineRule="auto"/>
              <w:ind w:firstLine="0" w:firstLineChars="0"/>
              <w:jc w:val="center"/>
            </w:pPr>
            <w:r>
              <w:rPr>
                <w:rFonts w:hint="eastAsia" w:ascii="宋体" w:hAnsi="宋体" w:cs="宋体"/>
                <w:bCs/>
                <w:color w:val="000000" w:themeColor="text1"/>
                <w:sz w:val="21"/>
                <w:szCs w:val="21"/>
              </w:rPr>
              <w:t>2024.4.19</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18" w:type="pct"/>
            <w:vAlign w:val="center"/>
          </w:tcPr>
          <w:p>
            <w:pPr>
              <w:ind w:firstLine="0" w:firstLineChars="0"/>
              <w:jc w:val="center"/>
              <w:rPr>
                <w:rFonts w:ascii="宋体" w:hAnsi="宋体" w:cs="宋体"/>
                <w:sz w:val="21"/>
                <w:szCs w:val="21"/>
              </w:rPr>
            </w:pPr>
            <w:r>
              <w:rPr>
                <w:rFonts w:hint="eastAsia" w:ascii="宋体" w:hAnsi="宋体" w:cs="宋体"/>
                <w:sz w:val="21"/>
                <w:szCs w:val="21"/>
              </w:rPr>
              <w:t>523022281-006</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tcPr>
          <w:p>
            <w:pPr>
              <w:spacing w:line="240" w:lineRule="auto"/>
              <w:ind w:firstLine="0" w:firstLineChars="0"/>
              <w:jc w:val="center"/>
            </w:pPr>
            <w:r>
              <w:rPr>
                <w:rFonts w:hint="eastAsia" w:ascii="宋体" w:hAnsi="宋体" w:cs="宋体"/>
                <w:bCs/>
                <w:color w:val="000000" w:themeColor="text1"/>
                <w:sz w:val="21"/>
                <w:szCs w:val="21"/>
              </w:rPr>
              <w:t>2024.4.19</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18" w:type="pct"/>
            <w:vAlign w:val="center"/>
          </w:tcPr>
          <w:p>
            <w:pPr>
              <w:ind w:firstLine="0" w:firstLineChars="0"/>
              <w:jc w:val="center"/>
              <w:rPr>
                <w:rFonts w:ascii="宋体" w:hAnsi="宋体" w:cs="宋体"/>
                <w:sz w:val="21"/>
                <w:szCs w:val="21"/>
              </w:rPr>
            </w:pPr>
            <w:r>
              <w:rPr>
                <w:rFonts w:hint="eastAsia" w:ascii="宋体" w:hAnsi="宋体" w:cs="宋体"/>
                <w:sz w:val="21"/>
                <w:szCs w:val="21"/>
              </w:rPr>
              <w:t>523022281-007</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tcPr>
          <w:p>
            <w:pPr>
              <w:spacing w:line="240" w:lineRule="auto"/>
              <w:ind w:firstLine="0" w:firstLineChars="0"/>
              <w:jc w:val="center"/>
            </w:pPr>
            <w:r>
              <w:rPr>
                <w:rFonts w:hint="eastAsia" w:ascii="宋体" w:hAnsi="宋体" w:cs="宋体"/>
                <w:bCs/>
                <w:color w:val="000000" w:themeColor="text1"/>
                <w:sz w:val="21"/>
                <w:szCs w:val="21"/>
              </w:rPr>
              <w:t>2024.4.19</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压力表</w:t>
            </w:r>
          </w:p>
        </w:tc>
        <w:tc>
          <w:tcPr>
            <w:tcW w:w="1118" w:type="pct"/>
            <w:vAlign w:val="center"/>
          </w:tcPr>
          <w:p>
            <w:pPr>
              <w:ind w:firstLine="0" w:firstLineChars="0"/>
              <w:jc w:val="center"/>
              <w:rPr>
                <w:rFonts w:ascii="宋体" w:hAnsi="宋体" w:cs="宋体"/>
                <w:sz w:val="21"/>
                <w:szCs w:val="21"/>
              </w:rPr>
            </w:pPr>
            <w:r>
              <w:rPr>
                <w:rFonts w:hint="eastAsia" w:ascii="宋体" w:hAnsi="宋体" w:cs="宋体"/>
                <w:sz w:val="21"/>
                <w:szCs w:val="21"/>
              </w:rPr>
              <w:t>523022281-008</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tcPr>
          <w:p>
            <w:pPr>
              <w:spacing w:line="240" w:lineRule="auto"/>
              <w:ind w:firstLine="0" w:firstLineChars="0"/>
              <w:jc w:val="center"/>
            </w:pPr>
            <w:r>
              <w:rPr>
                <w:rFonts w:hint="eastAsia" w:ascii="宋体" w:hAnsi="宋体" w:cs="宋体"/>
                <w:bCs/>
                <w:color w:val="000000" w:themeColor="text1"/>
                <w:sz w:val="21"/>
                <w:szCs w:val="21"/>
              </w:rPr>
              <w:t>2024.4.19</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安全阀</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大检阀校2023－1940</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2024.6.5</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安全阀</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大检阀校2023－1942</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2024.6.5</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安全阀</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大检阀校2023－1941</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锅炉</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2024.6.5</w:t>
            </w:r>
          </w:p>
        </w:tc>
        <w:tc>
          <w:tcPr>
            <w:tcW w:w="1121" w:type="pct"/>
          </w:tcPr>
          <w:p>
            <w:pPr>
              <w:spacing w:line="240" w:lineRule="auto"/>
              <w:ind w:firstLine="0" w:firstLineChars="0"/>
            </w:pPr>
            <w:r>
              <w:rPr>
                <w:rFonts w:hint="eastAsia" w:ascii="宋体" w:hAnsi="宋体" w:cs="宋体"/>
                <w:bCs/>
                <w:color w:val="auto"/>
                <w:sz w:val="21"/>
                <w:szCs w:val="21"/>
              </w:rPr>
              <w:t>大理州质量技术监督综合检测中心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bookmarkStart w:id="799" w:name="_Toc14209"/>
            <w:bookmarkStart w:id="800" w:name="_Toc118297910"/>
            <w:bookmarkStart w:id="801" w:name="_Toc16595"/>
            <w:r>
              <w:rPr>
                <w:rFonts w:hint="eastAsia" w:ascii="宋体" w:hAnsi="宋体" w:cs="宋体"/>
                <w:bCs/>
                <w:color w:val="000000" w:themeColor="text1"/>
                <w:spacing w:val="-11"/>
                <w:sz w:val="21"/>
                <w:szCs w:val="21"/>
              </w:rPr>
              <w:t>可燃气体报警器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240305002001</w:t>
            </w:r>
          </w:p>
        </w:tc>
        <w:tc>
          <w:tcPr>
            <w:tcW w:w="900" w:type="pct"/>
            <w:vAlign w:val="center"/>
          </w:tcPr>
          <w:p>
            <w:pPr>
              <w:widowControl/>
              <w:tabs>
                <w:tab w:val="left" w:pos="7755"/>
              </w:tabs>
              <w:spacing w:line="240" w:lineRule="auto"/>
              <w:ind w:firstLine="0" w:firstLineChars="0"/>
              <w:jc w:val="center"/>
              <w:rPr>
                <w:rFonts w:hint="default" w:ascii="宋体" w:hAnsi="宋体" w:eastAsia="宋体" w:cs="宋体"/>
                <w:bCs/>
                <w:color w:val="000000" w:themeColor="text1"/>
                <w:sz w:val="21"/>
                <w:szCs w:val="21"/>
                <w:lang w:val="en-US" w:eastAsia="zh-CN"/>
              </w:rPr>
            </w:pPr>
            <w:r>
              <w:rPr>
                <w:rFonts w:hint="eastAsia" w:ascii="宋体" w:hAnsi="宋体" w:cs="宋体"/>
                <w:bCs/>
                <w:color w:val="000000" w:themeColor="text1"/>
                <w:sz w:val="21"/>
                <w:szCs w:val="21"/>
                <w:lang w:val="en-US" w:eastAsia="zh-CN"/>
              </w:rPr>
              <w:t>便携式</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w:t>
            </w:r>
            <w:r>
              <w:rPr>
                <w:rFonts w:hint="eastAsia" w:ascii="宋体" w:hAnsi="宋体" w:cs="宋体"/>
                <w:bCs/>
                <w:color w:val="000000" w:themeColor="text1"/>
                <w:sz w:val="21"/>
                <w:szCs w:val="21"/>
                <w:lang w:val="en-US" w:eastAsia="zh-CN"/>
              </w:rPr>
              <w:t>5</w:t>
            </w:r>
            <w:r>
              <w:rPr>
                <w:rFonts w:hint="eastAsia" w:ascii="宋体" w:hAnsi="宋体" w:cs="宋体"/>
                <w:bCs/>
                <w:color w:val="000000" w:themeColor="text1"/>
                <w:sz w:val="21"/>
                <w:szCs w:val="21"/>
              </w:rPr>
              <w:t>.3.5</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bCs/>
                <w:color w:val="auto"/>
                <w:sz w:val="21"/>
                <w:szCs w:val="21"/>
              </w:rPr>
              <w:t>云南浩且检测有限公司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spacing w:val="-11"/>
                <w:sz w:val="21"/>
                <w:szCs w:val="21"/>
              </w:rPr>
              <w:t>SO</w:t>
            </w:r>
            <w:r>
              <w:rPr>
                <w:rFonts w:hint="eastAsia" w:ascii="宋体" w:hAnsi="宋体" w:cs="宋体"/>
                <w:spacing w:val="-11"/>
                <w:sz w:val="21"/>
                <w:szCs w:val="21"/>
                <w:vertAlign w:val="subscript"/>
              </w:rPr>
              <w:t>2</w:t>
            </w:r>
            <w:r>
              <w:rPr>
                <w:rFonts w:hint="eastAsia" w:ascii="宋体" w:hAnsi="宋体" w:cs="宋体"/>
                <w:spacing w:val="-11"/>
                <w:sz w:val="21"/>
                <w:szCs w:val="21"/>
              </w:rPr>
              <w:t xml:space="preserve"> 检测</w:t>
            </w:r>
            <w:r>
              <w:rPr>
                <w:rFonts w:hint="eastAsia" w:ascii="宋体" w:hAnsi="宋体" w:cs="宋体"/>
                <w:bCs/>
                <w:color w:val="000000" w:themeColor="text1"/>
                <w:spacing w:val="-11"/>
                <w:sz w:val="21"/>
                <w:szCs w:val="21"/>
              </w:rPr>
              <w:t>报警器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240305002002</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lang w:val="en-US" w:eastAsia="zh-CN"/>
              </w:rPr>
              <w:t>便携式</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w:t>
            </w:r>
            <w:r>
              <w:rPr>
                <w:rFonts w:hint="eastAsia" w:ascii="宋体" w:hAnsi="宋体" w:cs="宋体"/>
                <w:bCs/>
                <w:color w:val="000000" w:themeColor="text1"/>
                <w:sz w:val="21"/>
                <w:szCs w:val="21"/>
                <w:lang w:val="en-US" w:eastAsia="zh-CN"/>
              </w:rPr>
              <w:t>5</w:t>
            </w:r>
            <w:r>
              <w:rPr>
                <w:rFonts w:hint="eastAsia" w:ascii="宋体" w:hAnsi="宋体" w:cs="宋体"/>
                <w:bCs/>
                <w:color w:val="000000" w:themeColor="text1"/>
                <w:sz w:val="21"/>
                <w:szCs w:val="21"/>
              </w:rPr>
              <w:t>.3.5</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bCs/>
                <w:color w:val="auto"/>
                <w:sz w:val="21"/>
                <w:szCs w:val="21"/>
              </w:rPr>
              <w:t>云南浩且检测有限公司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spacing w:val="-11"/>
                <w:sz w:val="21"/>
                <w:szCs w:val="21"/>
              </w:rPr>
              <w:t>SO</w:t>
            </w:r>
            <w:r>
              <w:rPr>
                <w:rFonts w:hint="eastAsia" w:ascii="宋体" w:hAnsi="宋体" w:cs="宋体"/>
                <w:spacing w:val="-11"/>
                <w:sz w:val="21"/>
                <w:szCs w:val="21"/>
                <w:vertAlign w:val="subscript"/>
              </w:rPr>
              <w:t>2</w:t>
            </w:r>
            <w:r>
              <w:rPr>
                <w:rFonts w:hint="eastAsia" w:ascii="宋体" w:hAnsi="宋体" w:cs="宋体"/>
                <w:spacing w:val="-11"/>
                <w:sz w:val="21"/>
                <w:szCs w:val="21"/>
              </w:rPr>
              <w:t xml:space="preserve"> 检测</w:t>
            </w:r>
            <w:r>
              <w:rPr>
                <w:rFonts w:hint="eastAsia" w:ascii="宋体" w:hAnsi="宋体" w:cs="宋体"/>
                <w:bCs/>
                <w:color w:val="000000" w:themeColor="text1"/>
                <w:spacing w:val="-11"/>
                <w:sz w:val="21"/>
                <w:szCs w:val="21"/>
              </w:rPr>
              <w:t>报警器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240305002003</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固定</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w:t>
            </w:r>
            <w:r>
              <w:rPr>
                <w:rFonts w:hint="eastAsia" w:ascii="宋体" w:hAnsi="宋体" w:cs="宋体"/>
                <w:bCs/>
                <w:color w:val="000000" w:themeColor="text1"/>
                <w:sz w:val="21"/>
                <w:szCs w:val="21"/>
                <w:lang w:val="en-US" w:eastAsia="zh-CN"/>
              </w:rPr>
              <w:t>5</w:t>
            </w:r>
            <w:r>
              <w:rPr>
                <w:rFonts w:hint="eastAsia" w:ascii="宋体" w:hAnsi="宋体" w:cs="宋体"/>
                <w:bCs/>
                <w:color w:val="000000" w:themeColor="text1"/>
                <w:sz w:val="21"/>
                <w:szCs w:val="21"/>
              </w:rPr>
              <w:t>.3.5</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bCs/>
                <w:color w:val="auto"/>
                <w:sz w:val="21"/>
                <w:szCs w:val="21"/>
              </w:rPr>
              <w:t>云南浩且检测有限公司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spacing w:val="-11"/>
                <w:sz w:val="21"/>
                <w:szCs w:val="21"/>
              </w:rPr>
              <w:t>SO</w:t>
            </w:r>
            <w:r>
              <w:rPr>
                <w:rFonts w:hint="eastAsia" w:ascii="宋体" w:hAnsi="宋体" w:cs="宋体"/>
                <w:spacing w:val="-11"/>
                <w:sz w:val="21"/>
                <w:szCs w:val="21"/>
                <w:vertAlign w:val="subscript"/>
              </w:rPr>
              <w:t>2</w:t>
            </w:r>
            <w:r>
              <w:rPr>
                <w:rFonts w:hint="eastAsia" w:ascii="宋体" w:hAnsi="宋体" w:cs="宋体"/>
                <w:spacing w:val="-11"/>
                <w:sz w:val="21"/>
                <w:szCs w:val="21"/>
              </w:rPr>
              <w:t xml:space="preserve"> 检测</w:t>
            </w:r>
            <w:r>
              <w:rPr>
                <w:rFonts w:hint="eastAsia" w:ascii="宋体" w:hAnsi="宋体" w:cs="宋体"/>
                <w:bCs/>
                <w:color w:val="000000" w:themeColor="text1"/>
                <w:spacing w:val="-11"/>
                <w:sz w:val="21"/>
                <w:szCs w:val="21"/>
              </w:rPr>
              <w:t>报警器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240305002004</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固定</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w:t>
            </w:r>
            <w:r>
              <w:rPr>
                <w:rFonts w:hint="eastAsia" w:ascii="宋体" w:hAnsi="宋体" w:cs="宋体"/>
                <w:bCs/>
                <w:color w:val="000000" w:themeColor="text1"/>
                <w:sz w:val="21"/>
                <w:szCs w:val="21"/>
                <w:lang w:val="en-US" w:eastAsia="zh-CN"/>
              </w:rPr>
              <w:t>5</w:t>
            </w:r>
            <w:r>
              <w:rPr>
                <w:rFonts w:hint="eastAsia" w:ascii="宋体" w:hAnsi="宋体" w:cs="宋体"/>
                <w:bCs/>
                <w:color w:val="000000" w:themeColor="text1"/>
                <w:sz w:val="21"/>
                <w:szCs w:val="21"/>
              </w:rPr>
              <w:t>.3.5</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bCs/>
                <w:color w:val="auto"/>
                <w:sz w:val="21"/>
                <w:szCs w:val="21"/>
              </w:rPr>
              <w:t>云南浩且检测有限公司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spacing w:val="-11"/>
                <w:sz w:val="21"/>
                <w:szCs w:val="21"/>
              </w:rPr>
              <w:t>SO</w:t>
            </w:r>
            <w:r>
              <w:rPr>
                <w:rFonts w:hint="eastAsia" w:ascii="宋体" w:hAnsi="宋体" w:cs="宋体"/>
                <w:spacing w:val="-11"/>
                <w:sz w:val="21"/>
                <w:szCs w:val="21"/>
                <w:vertAlign w:val="subscript"/>
              </w:rPr>
              <w:t>2</w:t>
            </w:r>
            <w:r>
              <w:rPr>
                <w:rFonts w:hint="eastAsia" w:ascii="宋体" w:hAnsi="宋体" w:cs="宋体"/>
                <w:spacing w:val="-11"/>
                <w:sz w:val="21"/>
                <w:szCs w:val="21"/>
              </w:rPr>
              <w:t xml:space="preserve"> 检测</w:t>
            </w:r>
            <w:r>
              <w:rPr>
                <w:rFonts w:hint="eastAsia" w:ascii="宋体" w:hAnsi="宋体" w:cs="宋体"/>
                <w:bCs/>
                <w:color w:val="000000" w:themeColor="text1"/>
                <w:spacing w:val="-11"/>
                <w:sz w:val="21"/>
                <w:szCs w:val="21"/>
              </w:rPr>
              <w:t>报警器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240305002005</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固定</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w:t>
            </w:r>
            <w:r>
              <w:rPr>
                <w:rFonts w:hint="eastAsia" w:ascii="宋体" w:hAnsi="宋体" w:cs="宋体"/>
                <w:bCs/>
                <w:color w:val="000000" w:themeColor="text1"/>
                <w:sz w:val="21"/>
                <w:szCs w:val="21"/>
                <w:lang w:val="en-US" w:eastAsia="zh-CN"/>
              </w:rPr>
              <w:t>5</w:t>
            </w:r>
            <w:r>
              <w:rPr>
                <w:rFonts w:hint="eastAsia" w:ascii="宋体" w:hAnsi="宋体" w:cs="宋体"/>
                <w:bCs/>
                <w:color w:val="000000" w:themeColor="text1"/>
                <w:sz w:val="21"/>
                <w:szCs w:val="21"/>
              </w:rPr>
              <w:t>.3.5</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bCs/>
                <w:color w:val="auto"/>
                <w:sz w:val="21"/>
                <w:szCs w:val="21"/>
              </w:rPr>
              <w:t>云南浩且检测有限公司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spacing w:val="-11"/>
                <w:sz w:val="21"/>
                <w:szCs w:val="21"/>
              </w:rPr>
              <w:t>SO</w:t>
            </w:r>
            <w:r>
              <w:rPr>
                <w:rFonts w:hint="eastAsia" w:ascii="宋体" w:hAnsi="宋体" w:cs="宋体"/>
                <w:spacing w:val="-11"/>
                <w:sz w:val="21"/>
                <w:szCs w:val="21"/>
                <w:vertAlign w:val="subscript"/>
              </w:rPr>
              <w:t>2</w:t>
            </w:r>
            <w:r>
              <w:rPr>
                <w:rFonts w:hint="eastAsia" w:ascii="宋体" w:hAnsi="宋体" w:cs="宋体"/>
                <w:spacing w:val="-11"/>
                <w:sz w:val="21"/>
                <w:szCs w:val="21"/>
              </w:rPr>
              <w:t xml:space="preserve"> 检测</w:t>
            </w:r>
            <w:r>
              <w:rPr>
                <w:rFonts w:hint="eastAsia" w:ascii="宋体" w:hAnsi="宋体" w:cs="宋体"/>
                <w:bCs/>
                <w:color w:val="000000" w:themeColor="text1"/>
                <w:spacing w:val="-11"/>
                <w:sz w:val="21"/>
                <w:szCs w:val="21"/>
              </w:rPr>
              <w:t>报警器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240305002006</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固定</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w:t>
            </w:r>
            <w:r>
              <w:rPr>
                <w:rFonts w:hint="eastAsia" w:ascii="宋体" w:hAnsi="宋体" w:cs="宋体"/>
                <w:bCs/>
                <w:color w:val="000000" w:themeColor="text1"/>
                <w:sz w:val="21"/>
                <w:szCs w:val="21"/>
                <w:lang w:val="en-US" w:eastAsia="zh-CN"/>
              </w:rPr>
              <w:t>5</w:t>
            </w:r>
            <w:r>
              <w:rPr>
                <w:rFonts w:hint="eastAsia" w:ascii="宋体" w:hAnsi="宋体" w:cs="宋体"/>
                <w:bCs/>
                <w:color w:val="000000" w:themeColor="text1"/>
                <w:sz w:val="21"/>
                <w:szCs w:val="21"/>
              </w:rPr>
              <w:t>.3.5</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bCs/>
                <w:color w:val="auto"/>
                <w:sz w:val="21"/>
                <w:szCs w:val="21"/>
              </w:rPr>
              <w:t>云南浩且检测有限公司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spacing w:val="-11"/>
                <w:sz w:val="21"/>
                <w:szCs w:val="21"/>
              </w:rPr>
              <w:t>SO</w:t>
            </w:r>
            <w:r>
              <w:rPr>
                <w:rFonts w:hint="eastAsia" w:ascii="宋体" w:hAnsi="宋体" w:cs="宋体"/>
                <w:spacing w:val="-11"/>
                <w:sz w:val="21"/>
                <w:szCs w:val="21"/>
                <w:vertAlign w:val="subscript"/>
              </w:rPr>
              <w:t>2</w:t>
            </w:r>
            <w:r>
              <w:rPr>
                <w:rFonts w:hint="eastAsia" w:ascii="宋体" w:hAnsi="宋体" w:cs="宋体"/>
                <w:spacing w:val="-11"/>
                <w:sz w:val="21"/>
                <w:szCs w:val="21"/>
              </w:rPr>
              <w:t xml:space="preserve"> 检测</w:t>
            </w:r>
            <w:r>
              <w:rPr>
                <w:rFonts w:hint="eastAsia" w:ascii="宋体" w:hAnsi="宋体" w:cs="宋体"/>
                <w:bCs/>
                <w:color w:val="000000" w:themeColor="text1"/>
                <w:spacing w:val="-11"/>
                <w:sz w:val="21"/>
                <w:szCs w:val="21"/>
              </w:rPr>
              <w:t>报警器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240305002007</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固定</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w:t>
            </w:r>
            <w:r>
              <w:rPr>
                <w:rFonts w:hint="eastAsia" w:ascii="宋体" w:hAnsi="宋体" w:cs="宋体"/>
                <w:bCs/>
                <w:color w:val="000000" w:themeColor="text1"/>
                <w:sz w:val="21"/>
                <w:szCs w:val="21"/>
                <w:lang w:val="en-US" w:eastAsia="zh-CN"/>
              </w:rPr>
              <w:t>5</w:t>
            </w:r>
            <w:r>
              <w:rPr>
                <w:rFonts w:hint="eastAsia" w:ascii="宋体" w:hAnsi="宋体" w:cs="宋体"/>
                <w:bCs/>
                <w:color w:val="000000" w:themeColor="text1"/>
                <w:sz w:val="21"/>
                <w:szCs w:val="21"/>
              </w:rPr>
              <w:t>.3.5</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bCs/>
                <w:color w:val="auto"/>
                <w:sz w:val="21"/>
                <w:szCs w:val="21"/>
              </w:rPr>
              <w:t>云南浩且检测有限公司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spacing w:val="-11"/>
                <w:sz w:val="21"/>
                <w:szCs w:val="21"/>
              </w:rPr>
              <w:t>SO</w:t>
            </w:r>
            <w:r>
              <w:rPr>
                <w:rFonts w:hint="eastAsia" w:ascii="宋体" w:hAnsi="宋体" w:cs="宋体"/>
                <w:spacing w:val="-11"/>
                <w:sz w:val="21"/>
                <w:szCs w:val="21"/>
                <w:vertAlign w:val="subscript"/>
              </w:rPr>
              <w:t>2</w:t>
            </w:r>
            <w:r>
              <w:rPr>
                <w:rFonts w:hint="eastAsia" w:ascii="宋体" w:hAnsi="宋体" w:cs="宋体"/>
                <w:spacing w:val="-11"/>
                <w:sz w:val="21"/>
                <w:szCs w:val="21"/>
              </w:rPr>
              <w:t xml:space="preserve"> 检测</w:t>
            </w:r>
            <w:r>
              <w:rPr>
                <w:rFonts w:hint="eastAsia" w:ascii="宋体" w:hAnsi="宋体" w:cs="宋体"/>
                <w:bCs/>
                <w:color w:val="000000" w:themeColor="text1"/>
                <w:spacing w:val="-11"/>
                <w:sz w:val="21"/>
                <w:szCs w:val="21"/>
              </w:rPr>
              <w:t>报警器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240305002008</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固定</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w:t>
            </w:r>
            <w:r>
              <w:rPr>
                <w:rFonts w:hint="eastAsia" w:ascii="宋体" w:hAnsi="宋体" w:cs="宋体"/>
                <w:bCs/>
                <w:color w:val="000000" w:themeColor="text1"/>
                <w:sz w:val="21"/>
                <w:szCs w:val="21"/>
                <w:lang w:val="en-US" w:eastAsia="zh-CN"/>
              </w:rPr>
              <w:t>5</w:t>
            </w:r>
            <w:r>
              <w:rPr>
                <w:rFonts w:hint="eastAsia" w:ascii="宋体" w:hAnsi="宋体" w:cs="宋体"/>
                <w:bCs/>
                <w:color w:val="000000" w:themeColor="text1"/>
                <w:sz w:val="21"/>
                <w:szCs w:val="21"/>
              </w:rPr>
              <w:t>.3.5</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bCs/>
                <w:color w:val="auto"/>
                <w:sz w:val="21"/>
                <w:szCs w:val="21"/>
              </w:rPr>
              <w:t>云南浩且检测有限公司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spacing w:val="-11"/>
                <w:sz w:val="21"/>
                <w:szCs w:val="21"/>
              </w:rPr>
              <w:t>SO</w:t>
            </w:r>
            <w:r>
              <w:rPr>
                <w:rFonts w:hint="eastAsia" w:ascii="宋体" w:hAnsi="宋体" w:cs="宋体"/>
                <w:spacing w:val="-11"/>
                <w:sz w:val="21"/>
                <w:szCs w:val="21"/>
                <w:vertAlign w:val="subscript"/>
              </w:rPr>
              <w:t>2</w:t>
            </w:r>
            <w:r>
              <w:rPr>
                <w:rFonts w:hint="eastAsia" w:ascii="宋体" w:hAnsi="宋体" w:cs="宋体"/>
                <w:spacing w:val="-11"/>
                <w:sz w:val="21"/>
                <w:szCs w:val="21"/>
              </w:rPr>
              <w:t xml:space="preserve"> 检测</w:t>
            </w:r>
            <w:r>
              <w:rPr>
                <w:rFonts w:hint="eastAsia" w:ascii="宋体" w:hAnsi="宋体" w:cs="宋体"/>
                <w:bCs/>
                <w:color w:val="000000" w:themeColor="text1"/>
                <w:spacing w:val="-11"/>
                <w:sz w:val="21"/>
                <w:szCs w:val="21"/>
              </w:rPr>
              <w:t>报警器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240305002009</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固定</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202</w:t>
            </w:r>
            <w:r>
              <w:rPr>
                <w:rFonts w:hint="eastAsia" w:ascii="宋体" w:hAnsi="宋体" w:cs="宋体"/>
                <w:bCs/>
                <w:color w:val="000000" w:themeColor="text1"/>
                <w:sz w:val="21"/>
                <w:szCs w:val="21"/>
                <w:lang w:val="en-US" w:eastAsia="zh-CN"/>
              </w:rPr>
              <w:t>5</w:t>
            </w:r>
            <w:r>
              <w:rPr>
                <w:rFonts w:hint="eastAsia" w:ascii="宋体" w:hAnsi="宋体" w:cs="宋体"/>
                <w:bCs/>
                <w:color w:val="000000" w:themeColor="text1"/>
                <w:sz w:val="21"/>
                <w:szCs w:val="21"/>
              </w:rPr>
              <w:t>.3.5</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bCs/>
                <w:color w:val="auto"/>
                <w:sz w:val="21"/>
                <w:szCs w:val="21"/>
              </w:rPr>
              <w:t>云南浩且检测有限公司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spacing w:val="-11"/>
                <w:sz w:val="21"/>
                <w:szCs w:val="21"/>
              </w:rPr>
            </w:pPr>
            <w:r>
              <w:rPr>
                <w:rFonts w:hint="eastAsia" w:ascii="宋体" w:hAnsi="宋体" w:cs="宋体"/>
                <w:sz w:val="21"/>
                <w:szCs w:val="21"/>
              </w:rPr>
              <w:t>气体探测器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A-20240313071</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固定</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w:t>
            </w:r>
            <w:r>
              <w:rPr>
                <w:rFonts w:hint="eastAsia" w:ascii="宋体" w:hAnsi="宋体" w:cs="宋体"/>
                <w:sz w:val="21"/>
                <w:szCs w:val="21"/>
                <w:lang w:val="en-US" w:eastAsia="zh-CN"/>
              </w:rPr>
              <w:t>5</w:t>
            </w:r>
            <w:r>
              <w:rPr>
                <w:rFonts w:hint="eastAsia" w:ascii="宋体" w:hAnsi="宋体" w:cs="宋体"/>
                <w:sz w:val="21"/>
                <w:szCs w:val="21"/>
              </w:rPr>
              <w:t>.3</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sz w:val="21"/>
                <w:szCs w:val="21"/>
              </w:rPr>
              <w:t>河南中安电子探测技术有限公司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widowControl/>
              <w:tabs>
                <w:tab w:val="left" w:pos="7755"/>
              </w:tabs>
              <w:spacing w:line="240" w:lineRule="auto"/>
              <w:ind w:firstLine="0" w:firstLineChars="0"/>
              <w:jc w:val="center"/>
              <w:rPr>
                <w:rFonts w:ascii="宋体" w:hAnsi="宋体" w:cs="宋体"/>
                <w:spacing w:val="-11"/>
                <w:sz w:val="21"/>
                <w:szCs w:val="21"/>
              </w:rPr>
            </w:pPr>
            <w:r>
              <w:rPr>
                <w:rFonts w:hint="eastAsia" w:ascii="宋体" w:hAnsi="宋体" w:cs="宋体"/>
                <w:sz w:val="21"/>
                <w:szCs w:val="21"/>
              </w:rPr>
              <w:t>气体探测器</w:t>
            </w:r>
          </w:p>
        </w:tc>
        <w:tc>
          <w:tcPr>
            <w:tcW w:w="1118" w:type="pct"/>
            <w:vAlign w:val="center"/>
          </w:tcPr>
          <w:p>
            <w:pPr>
              <w:widowControl/>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A-20240313072</w:t>
            </w:r>
          </w:p>
        </w:tc>
        <w:tc>
          <w:tcPr>
            <w:tcW w:w="900"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固定</w:t>
            </w:r>
          </w:p>
        </w:tc>
        <w:tc>
          <w:tcPr>
            <w:tcW w:w="448" w:type="pct"/>
            <w:vAlign w:val="center"/>
          </w:tcPr>
          <w:p>
            <w:pPr>
              <w:widowControl/>
              <w:tabs>
                <w:tab w:val="left" w:pos="7755"/>
              </w:tabs>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合格</w:t>
            </w:r>
          </w:p>
        </w:tc>
        <w:tc>
          <w:tcPr>
            <w:tcW w:w="894" w:type="pct"/>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w:t>
            </w:r>
            <w:r>
              <w:rPr>
                <w:rFonts w:hint="eastAsia" w:ascii="宋体" w:hAnsi="宋体" w:cs="宋体"/>
                <w:sz w:val="21"/>
                <w:szCs w:val="21"/>
                <w:lang w:val="en-US" w:eastAsia="zh-CN"/>
              </w:rPr>
              <w:t>5</w:t>
            </w:r>
            <w:r>
              <w:rPr>
                <w:rFonts w:hint="eastAsia" w:ascii="宋体" w:hAnsi="宋体" w:cs="宋体"/>
                <w:sz w:val="21"/>
                <w:szCs w:val="21"/>
              </w:rPr>
              <w:t>.3</w:t>
            </w:r>
          </w:p>
        </w:tc>
        <w:tc>
          <w:tcPr>
            <w:tcW w:w="1121" w:type="pct"/>
          </w:tcPr>
          <w:p>
            <w:pPr>
              <w:spacing w:line="240" w:lineRule="auto"/>
              <w:ind w:firstLine="0" w:firstLineChars="0"/>
              <w:rPr>
                <w:rFonts w:ascii="宋体" w:hAnsi="宋体" w:cs="宋体"/>
                <w:bCs/>
                <w:color w:val="auto"/>
                <w:sz w:val="21"/>
                <w:szCs w:val="21"/>
              </w:rPr>
            </w:pPr>
            <w:r>
              <w:rPr>
                <w:rFonts w:hint="eastAsia" w:ascii="宋体" w:hAnsi="宋体" w:cs="宋体"/>
                <w:sz w:val="21"/>
                <w:szCs w:val="21"/>
              </w:rPr>
              <w:t>河南中安电子探测技术有限公司</w:t>
            </w:r>
          </w:p>
        </w:tc>
      </w:tr>
    </w:tbl>
    <w:p>
      <w:pPr>
        <w:ind w:firstLine="560"/>
      </w:pPr>
    </w:p>
    <w:p>
      <w:pPr>
        <w:pStyle w:val="3"/>
        <w:keepNext w:val="0"/>
        <w:keepLines w:val="0"/>
        <w:ind w:firstLine="562"/>
        <w:rPr>
          <w:rFonts w:ascii="黑体" w:hAnsi="黑体" w:eastAsia="黑体" w:cs="黑体"/>
          <w:color w:val="000000" w:themeColor="text1"/>
        </w:rPr>
      </w:pPr>
      <w:bookmarkStart w:id="802" w:name="_Toc31201"/>
      <w:bookmarkStart w:id="803" w:name="_Toc9312"/>
      <w:bookmarkStart w:id="804" w:name="_Toc30340"/>
      <w:bookmarkStart w:id="805" w:name="_Toc13286"/>
      <w:bookmarkStart w:id="806" w:name="_Toc5983"/>
      <w:bookmarkStart w:id="807" w:name="_Toc1928"/>
      <w:bookmarkStart w:id="808" w:name="_Toc30508"/>
      <w:bookmarkStart w:id="809" w:name="_Toc6187"/>
      <w:bookmarkStart w:id="810" w:name="_Toc1966"/>
      <w:bookmarkStart w:id="811" w:name="_Toc23488"/>
      <w:bookmarkStart w:id="812" w:name="_Toc7471"/>
      <w:bookmarkStart w:id="813" w:name="_Toc3685"/>
      <w:bookmarkStart w:id="814" w:name="_Toc27988"/>
      <w:bookmarkStart w:id="815" w:name="_Toc2860"/>
      <w:bookmarkStart w:id="816" w:name="_Toc4811"/>
      <w:bookmarkStart w:id="817" w:name="_Toc14427"/>
      <w:bookmarkStart w:id="818" w:name="_Toc24144"/>
      <w:bookmarkStart w:id="819" w:name="_Toc3156"/>
      <w:bookmarkStart w:id="820" w:name="_Toc22732"/>
      <w:bookmarkStart w:id="821" w:name="_Toc25715"/>
      <w:bookmarkStart w:id="822" w:name="_Toc2589"/>
      <w:bookmarkStart w:id="823" w:name="_Toc14332"/>
      <w:bookmarkStart w:id="824" w:name="_Toc7580"/>
      <w:bookmarkStart w:id="825" w:name="_Toc14193"/>
      <w:bookmarkStart w:id="826" w:name="_Toc23575"/>
      <w:bookmarkStart w:id="827" w:name="_Toc4312"/>
      <w:bookmarkStart w:id="828" w:name="_Toc2969"/>
      <w:bookmarkStart w:id="829" w:name="_Toc27561"/>
      <w:bookmarkStart w:id="830" w:name="_Toc1382"/>
      <w:bookmarkStart w:id="831" w:name="_Toc10980"/>
      <w:r>
        <w:rPr>
          <w:rFonts w:hint="eastAsia" w:ascii="黑体" w:hAnsi="黑体" w:eastAsia="黑体" w:cs="黑体"/>
          <w:color w:val="000000" w:themeColor="text1"/>
        </w:rPr>
        <w:t>2.8 公用工程和辅助设施</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p>
    <w:p>
      <w:pPr>
        <w:pStyle w:val="4"/>
        <w:ind w:firstLine="562"/>
      </w:pPr>
      <w:bookmarkStart w:id="832" w:name="_Toc20729"/>
      <w:bookmarkStart w:id="833" w:name="_Toc24613"/>
      <w:bookmarkStart w:id="834" w:name="_Toc6843"/>
      <w:bookmarkStart w:id="835" w:name="_Toc19210"/>
      <w:bookmarkStart w:id="836" w:name="_Toc29259"/>
      <w:bookmarkStart w:id="837" w:name="_Toc23484"/>
      <w:bookmarkStart w:id="838" w:name="_Toc19316"/>
      <w:bookmarkStart w:id="839" w:name="_Toc32487"/>
      <w:bookmarkStart w:id="840" w:name="_Toc8594"/>
      <w:bookmarkStart w:id="841" w:name="_Toc19937"/>
      <w:bookmarkStart w:id="842" w:name="_Toc11746"/>
      <w:bookmarkStart w:id="843" w:name="_Toc7021"/>
      <w:bookmarkStart w:id="844" w:name="_Toc23411"/>
      <w:bookmarkStart w:id="845" w:name="_Toc3662"/>
      <w:bookmarkStart w:id="846" w:name="_Toc14418"/>
      <w:bookmarkStart w:id="847" w:name="_Toc4824"/>
      <w:bookmarkStart w:id="848" w:name="_Toc11975"/>
      <w:bookmarkStart w:id="849" w:name="_Toc32617"/>
      <w:bookmarkStart w:id="850" w:name="_Toc7104"/>
      <w:bookmarkStart w:id="851" w:name="_Toc30727"/>
      <w:bookmarkStart w:id="852" w:name="_Toc18324"/>
      <w:bookmarkStart w:id="853" w:name="_Toc17630"/>
      <w:r>
        <w:rPr>
          <w:rFonts w:hint="eastAsia"/>
        </w:rPr>
        <w:t>2.8</w:t>
      </w:r>
      <w:r>
        <w:t>.</w:t>
      </w:r>
      <w:r>
        <w:rPr>
          <w:rFonts w:hint="eastAsia"/>
        </w:rPr>
        <w:t xml:space="preserve">1 </w:t>
      </w:r>
      <w:r>
        <w:t>供配电</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pPr>
        <w:topLinePunct/>
        <w:ind w:firstLine="560"/>
        <w:rPr>
          <w:rFonts w:ascii="宋体" w:hAnsi="宋体"/>
          <w:color w:val="auto"/>
          <w:szCs w:val="28"/>
        </w:rPr>
      </w:pPr>
      <w:r>
        <w:rPr>
          <w:rFonts w:hint="eastAsia"/>
          <w:color w:val="000000" w:themeColor="text1"/>
        </w:rPr>
        <w:t>跃进化工</w:t>
      </w:r>
      <w:r>
        <w:rPr>
          <w:rFonts w:hint="eastAsia" w:ascii="宋体" w:hAnsi="宋体"/>
          <w:color w:val="auto"/>
          <w:szCs w:val="28"/>
        </w:rPr>
        <w:t>主要装置供电负荷为二级，其余为三级负荷，硫酸生产装置总安装功率约为2200kW。</w:t>
      </w:r>
    </w:p>
    <w:p>
      <w:pPr>
        <w:topLinePunct/>
        <w:ind w:firstLine="560"/>
        <w:rPr>
          <w:rFonts w:ascii="宋体" w:hAnsi="宋体"/>
          <w:color w:val="auto"/>
          <w:szCs w:val="28"/>
        </w:rPr>
      </w:pPr>
      <w:r>
        <w:rPr>
          <w:rFonts w:hint="eastAsia" w:ascii="宋体" w:hAnsi="宋体"/>
          <w:color w:val="auto"/>
          <w:szCs w:val="28"/>
        </w:rPr>
        <w:t>公司内设有油浸式变压器四台，其中6</w:t>
      </w:r>
      <w:r>
        <w:rPr>
          <w:rFonts w:ascii="宋体" w:hAnsi="宋体"/>
          <w:color w:val="auto"/>
          <w:szCs w:val="28"/>
        </w:rPr>
        <w:t>30K</w:t>
      </w:r>
      <w:r>
        <w:rPr>
          <w:rFonts w:hint="eastAsia" w:ascii="宋体" w:hAnsi="宋体"/>
          <w:color w:val="auto"/>
          <w:szCs w:val="28"/>
        </w:rPr>
        <w:t>vA两台，油量6</w:t>
      </w:r>
      <w:r>
        <w:rPr>
          <w:rFonts w:ascii="宋体" w:hAnsi="宋体"/>
          <w:color w:val="auto"/>
          <w:szCs w:val="28"/>
        </w:rPr>
        <w:t>00</w:t>
      </w:r>
      <w:r>
        <w:rPr>
          <w:rFonts w:hint="eastAsia" w:ascii="宋体" w:hAnsi="宋体"/>
          <w:color w:val="auto"/>
          <w:szCs w:val="28"/>
        </w:rPr>
        <w:t>kg；5</w:t>
      </w:r>
      <w:r>
        <w:rPr>
          <w:rFonts w:ascii="宋体" w:hAnsi="宋体"/>
          <w:color w:val="auto"/>
          <w:szCs w:val="28"/>
        </w:rPr>
        <w:t>00K</w:t>
      </w:r>
      <w:r>
        <w:rPr>
          <w:rFonts w:hint="eastAsia" w:ascii="宋体" w:hAnsi="宋体"/>
          <w:color w:val="auto"/>
          <w:szCs w:val="28"/>
        </w:rPr>
        <w:t>vA两台，油量3</w:t>
      </w:r>
      <w:r>
        <w:rPr>
          <w:rFonts w:ascii="宋体" w:hAnsi="宋体"/>
          <w:color w:val="auto"/>
          <w:szCs w:val="28"/>
        </w:rPr>
        <w:t>90</w:t>
      </w:r>
      <w:r>
        <w:rPr>
          <w:rFonts w:hint="eastAsia" w:ascii="宋体" w:hAnsi="宋体"/>
          <w:color w:val="auto"/>
          <w:szCs w:val="28"/>
        </w:rPr>
        <w:t>kg。公司用电从1.5km以外的顺濞乡变电站，用10kv高压专用线输送到公司厂区，经厂配电室变压器降为380/220V，由配电室配电柜分配至各用电点。场内配置有1台5</w:t>
      </w:r>
      <w:r>
        <w:rPr>
          <w:rFonts w:ascii="宋体" w:hAnsi="宋体"/>
          <w:color w:val="auto"/>
          <w:szCs w:val="28"/>
        </w:rPr>
        <w:t>.5</w:t>
      </w:r>
      <w:r>
        <w:rPr>
          <w:rFonts w:hint="eastAsia" w:ascii="宋体" w:hAnsi="宋体"/>
          <w:color w:val="auto"/>
          <w:szCs w:val="28"/>
        </w:rPr>
        <w:t>kw的柴油发电机，在停电状态下用于应急疏散照明用电；硫铁矿制酸主要装置的应急供电由厂内余热锅炉发电系统供给。</w:t>
      </w:r>
      <w:r>
        <w:rPr>
          <w:rFonts w:hint="eastAsia"/>
          <w:color w:val="000000" w:themeColor="text1"/>
        </w:rPr>
        <w:t>配电室内配电柜前设置了绝缘胶垫、绝缘手套、绝缘鞋。</w:t>
      </w:r>
    </w:p>
    <w:p>
      <w:pPr>
        <w:pStyle w:val="4"/>
        <w:ind w:firstLine="562"/>
      </w:pPr>
      <w:bookmarkStart w:id="854" w:name="_Toc26383"/>
      <w:bookmarkStart w:id="855" w:name="_Toc14327"/>
      <w:bookmarkStart w:id="856" w:name="_Toc19337"/>
      <w:bookmarkStart w:id="857" w:name="_Toc16805"/>
      <w:bookmarkStart w:id="858" w:name="_Toc11782"/>
      <w:bookmarkStart w:id="859" w:name="_Toc9747"/>
      <w:bookmarkStart w:id="860" w:name="_Toc11881"/>
      <w:bookmarkStart w:id="861" w:name="_Toc3987"/>
      <w:bookmarkStart w:id="862" w:name="_Toc13210"/>
      <w:bookmarkStart w:id="863" w:name="_Toc22308"/>
      <w:bookmarkStart w:id="864" w:name="_Toc28291"/>
      <w:bookmarkStart w:id="865" w:name="_Toc26338"/>
      <w:bookmarkStart w:id="866" w:name="_Toc11659"/>
      <w:bookmarkStart w:id="867" w:name="_Toc215"/>
      <w:bookmarkStart w:id="868" w:name="_Toc2640"/>
      <w:bookmarkStart w:id="869" w:name="_Toc22529"/>
      <w:bookmarkStart w:id="870" w:name="_Toc21138"/>
      <w:bookmarkStart w:id="871" w:name="_Toc18202"/>
      <w:bookmarkStart w:id="872" w:name="_Toc30061"/>
      <w:bookmarkStart w:id="873" w:name="_Toc24993"/>
      <w:bookmarkStart w:id="874" w:name="_Toc30682"/>
      <w:bookmarkStart w:id="875" w:name="_Toc31887"/>
      <w:r>
        <w:rPr>
          <w:rFonts w:hint="eastAsia"/>
        </w:rPr>
        <w:t xml:space="preserve">2.8.2 </w:t>
      </w:r>
      <w:r>
        <w:t>给排水</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p>
    <w:p>
      <w:pPr>
        <w:topLinePunct/>
        <w:ind w:firstLine="560"/>
        <w:rPr>
          <w:rFonts w:ascii="宋体" w:hAnsi="宋体"/>
          <w:color w:val="auto"/>
        </w:rPr>
      </w:pPr>
      <w:bookmarkStart w:id="876" w:name="_Toc32558"/>
      <w:bookmarkStart w:id="877" w:name="_Toc659"/>
      <w:bookmarkStart w:id="878" w:name="_Toc29558"/>
      <w:bookmarkStart w:id="879" w:name="_Toc18054"/>
      <w:bookmarkStart w:id="880" w:name="_Toc7783"/>
      <w:bookmarkStart w:id="881" w:name="_Toc21547"/>
      <w:bookmarkStart w:id="882" w:name="_Toc3031"/>
      <w:bookmarkStart w:id="883" w:name="_Toc23472"/>
      <w:bookmarkStart w:id="884" w:name="_Toc128056398"/>
      <w:bookmarkStart w:id="885" w:name="_Toc22714"/>
      <w:bookmarkStart w:id="886" w:name="_Toc15278"/>
      <w:bookmarkStart w:id="887" w:name="_Toc11960"/>
      <w:bookmarkStart w:id="888" w:name="_Toc5430"/>
      <w:bookmarkStart w:id="889" w:name="_Toc7640"/>
      <w:r>
        <w:rPr>
          <w:rFonts w:hint="eastAsia" w:ascii="宋体" w:hAnsi="宋体"/>
          <w:color w:val="auto"/>
        </w:rPr>
        <w:t>（1）给水系统</w:t>
      </w:r>
    </w:p>
    <w:p>
      <w:pPr>
        <w:topLinePunct/>
        <w:ind w:firstLine="560"/>
        <w:rPr>
          <w:rFonts w:ascii="宋体" w:hAnsi="宋体"/>
          <w:color w:val="auto"/>
        </w:rPr>
      </w:pPr>
      <w:r>
        <w:rPr>
          <w:rFonts w:hint="eastAsia" w:ascii="宋体" w:hAnsi="宋体"/>
          <w:color w:val="auto"/>
        </w:rPr>
        <w:t>跃进化工涉及生活用水、生产用水、消防用水。生活水来自顺濞镇自来水厂，生产及消防用水采用来自同一水源的</w:t>
      </w:r>
      <w:r>
        <w:rPr>
          <w:rFonts w:hint="eastAsia" w:ascii="宋体" w:hAnsi="宋体"/>
          <w:color w:val="auto"/>
          <w:szCs w:val="28"/>
          <w:u w:color="000000"/>
        </w:rPr>
        <w:t>顺濞河上游3000m处210m</w:t>
      </w:r>
      <w:r>
        <w:rPr>
          <w:rFonts w:hint="eastAsia" w:ascii="宋体" w:hAnsi="宋体"/>
          <w:color w:val="auto"/>
          <w:szCs w:val="28"/>
          <w:u w:color="000000"/>
          <w:vertAlign w:val="superscript"/>
        </w:rPr>
        <w:t>3</w:t>
      </w:r>
      <w:r>
        <w:rPr>
          <w:rFonts w:hint="eastAsia" w:ascii="宋体" w:hAnsi="宋体"/>
          <w:color w:val="auto"/>
          <w:szCs w:val="28"/>
          <w:u w:color="000000"/>
        </w:rPr>
        <w:t>水池</w:t>
      </w:r>
      <w:r>
        <w:rPr>
          <w:rFonts w:hint="eastAsia" w:ascii="宋体" w:hAnsi="宋体"/>
          <w:color w:val="auto"/>
        </w:rPr>
        <w:t>，水池与厂区高差为2</w:t>
      </w:r>
      <w:r>
        <w:rPr>
          <w:rFonts w:ascii="宋体" w:hAnsi="宋体"/>
          <w:color w:val="auto"/>
        </w:rPr>
        <w:t>0</w:t>
      </w:r>
      <w:r>
        <w:rPr>
          <w:rFonts w:hint="eastAsia" w:ascii="宋体" w:hAnsi="宋体"/>
          <w:color w:val="auto"/>
        </w:rPr>
        <w:t>m，水池供水来自山涧流水，枯水期供水流量为4</w:t>
      </w:r>
      <w:r>
        <w:rPr>
          <w:rFonts w:ascii="宋体" w:hAnsi="宋体"/>
          <w:color w:val="auto"/>
        </w:rPr>
        <w:t>00</w:t>
      </w:r>
      <w:r>
        <w:rPr>
          <w:rFonts w:hint="eastAsia" w:ascii="宋体" w:hAnsi="宋体"/>
          <w:color w:val="auto"/>
        </w:rPr>
        <w:t>m³/</w:t>
      </w:r>
      <w:r>
        <w:rPr>
          <w:rFonts w:ascii="宋体" w:hAnsi="宋体"/>
          <w:color w:val="auto"/>
        </w:rPr>
        <w:t>h</w:t>
      </w:r>
      <w:r>
        <w:rPr>
          <w:rFonts w:hint="eastAsia" w:ascii="宋体" w:hAnsi="宋体"/>
          <w:color w:val="auto"/>
        </w:rPr>
        <w:t>，可保证水池水量。供水压力不小于0.</w:t>
      </w:r>
      <w:r>
        <w:rPr>
          <w:rFonts w:ascii="宋体" w:hAnsi="宋体"/>
          <w:color w:val="auto"/>
        </w:rPr>
        <w:t>4</w:t>
      </w:r>
      <w:r>
        <w:rPr>
          <w:rFonts w:hint="eastAsia" w:ascii="宋体" w:hAnsi="宋体"/>
          <w:color w:val="auto"/>
        </w:rPr>
        <w:t>MPa，水量、水压满足生产需要。</w:t>
      </w:r>
    </w:p>
    <w:p>
      <w:pPr>
        <w:topLinePunct/>
        <w:ind w:firstLine="560" w:firstLineChars="0"/>
        <w:rPr>
          <w:color w:val="auto"/>
        </w:rPr>
      </w:pPr>
      <w:r>
        <w:rPr>
          <w:rFonts w:hint="eastAsia" w:ascii="宋体" w:hAnsi="宋体"/>
          <w:color w:val="auto"/>
        </w:rPr>
        <w:t>1）生产用水</w:t>
      </w:r>
      <w:r>
        <w:rPr>
          <w:rFonts w:hint="eastAsia"/>
          <w:color w:val="auto"/>
        </w:rPr>
        <w:t>：生产装置正常用水量为</w:t>
      </w:r>
      <w:r>
        <w:rPr>
          <w:rFonts w:hint="eastAsia"/>
          <w:color w:val="auto"/>
          <w:lang w:val="en-US" w:eastAsia="zh-CN"/>
        </w:rPr>
        <w:t>62</w:t>
      </w:r>
      <w:r>
        <w:rPr>
          <w:rFonts w:hint="eastAsia"/>
          <w:color w:val="auto"/>
        </w:rPr>
        <w:t>m³</w:t>
      </w:r>
      <w:r>
        <w:rPr>
          <w:color w:val="auto"/>
        </w:rPr>
        <w:t>/h</w:t>
      </w:r>
      <w:r>
        <w:rPr>
          <w:rFonts w:hint="eastAsia"/>
          <w:color w:val="auto"/>
        </w:rPr>
        <w:t>，最大用水量为</w:t>
      </w:r>
      <w:r>
        <w:rPr>
          <w:rFonts w:hint="eastAsia"/>
          <w:color w:val="auto"/>
          <w:lang w:val="en-US" w:eastAsia="zh-CN"/>
        </w:rPr>
        <w:t>78.4</w:t>
      </w:r>
      <w:r>
        <w:rPr>
          <w:rFonts w:hint="eastAsia"/>
          <w:color w:val="auto"/>
        </w:rPr>
        <w:t>m³</w:t>
      </w:r>
      <w:r>
        <w:rPr>
          <w:color w:val="auto"/>
        </w:rPr>
        <w:t>/h</w:t>
      </w:r>
      <w:r>
        <w:rPr>
          <w:rFonts w:hint="eastAsia"/>
          <w:color w:val="auto"/>
        </w:rPr>
        <w:t>。生产用水分为直接供水系统和循环冷却给水系统。公司内设置有6</w:t>
      </w:r>
      <w:r>
        <w:rPr>
          <w:color w:val="auto"/>
        </w:rPr>
        <w:t>00</w:t>
      </w:r>
      <w:r>
        <w:rPr>
          <w:rFonts w:hint="eastAsia"/>
          <w:color w:val="auto"/>
        </w:rPr>
        <w:t>m³</w:t>
      </w:r>
      <w:r>
        <w:rPr>
          <w:rFonts w:hint="eastAsia"/>
          <w:color w:val="auto"/>
          <w:lang w:val="en-US" w:eastAsia="zh-CN"/>
        </w:rPr>
        <w:t>循环水塔三个</w:t>
      </w:r>
      <w:r>
        <w:rPr>
          <w:rFonts w:hint="eastAsia"/>
          <w:color w:val="auto"/>
        </w:rPr>
        <w:t>、</w:t>
      </w:r>
      <w:r>
        <w:rPr>
          <w:rFonts w:hint="eastAsia"/>
          <w:color w:val="auto"/>
          <w:lang w:val="en-US" w:eastAsia="zh-CN"/>
        </w:rPr>
        <w:t>500</w:t>
      </w:r>
      <w:r>
        <w:rPr>
          <w:rFonts w:hint="eastAsia"/>
          <w:color w:val="auto"/>
        </w:rPr>
        <w:t>m³</w:t>
      </w:r>
      <w:r>
        <w:rPr>
          <w:rFonts w:hint="eastAsia"/>
          <w:color w:val="auto"/>
          <w:lang w:val="en-US" w:eastAsia="zh-CN"/>
        </w:rPr>
        <w:t>循环水塔一个</w:t>
      </w:r>
      <w:r>
        <w:rPr>
          <w:rFonts w:hint="eastAsia"/>
          <w:color w:val="auto"/>
          <w:lang w:eastAsia="zh-CN"/>
        </w:rPr>
        <w:t>、</w:t>
      </w:r>
      <w:r>
        <w:rPr>
          <w:rFonts w:hint="eastAsia"/>
          <w:color w:val="auto"/>
          <w:lang w:val="en-US" w:eastAsia="zh-CN"/>
        </w:rPr>
        <w:t>3</w:t>
      </w:r>
      <w:r>
        <w:rPr>
          <w:color w:val="auto"/>
        </w:rPr>
        <w:t>00</w:t>
      </w:r>
      <w:r>
        <w:rPr>
          <w:rFonts w:hint="eastAsia"/>
          <w:color w:val="auto"/>
        </w:rPr>
        <w:t>m³</w:t>
      </w:r>
      <w:r>
        <w:rPr>
          <w:rFonts w:hint="eastAsia"/>
          <w:color w:val="auto"/>
          <w:lang w:val="en-US" w:eastAsia="zh-CN"/>
        </w:rPr>
        <w:t>循环水塔一个、1200</w:t>
      </w:r>
      <w:r>
        <w:rPr>
          <w:rFonts w:hint="eastAsia"/>
          <w:color w:val="auto"/>
        </w:rPr>
        <w:t>m³循环水</w:t>
      </w:r>
      <w:r>
        <w:rPr>
          <w:rFonts w:hint="eastAsia"/>
          <w:color w:val="auto"/>
          <w:lang w:val="en-US" w:eastAsia="zh-CN"/>
        </w:rPr>
        <w:t>塔</w:t>
      </w:r>
      <w:r>
        <w:rPr>
          <w:rFonts w:hint="eastAsia"/>
          <w:color w:val="auto"/>
        </w:rPr>
        <w:t>一个，生产用水主要有循环水系统供给。直接供水系统主要供各工序生产用水、地坪清洗水及循环冷却水系统的补充水，采用树枝状管网供给。</w:t>
      </w:r>
    </w:p>
    <w:p>
      <w:pPr>
        <w:ind w:firstLine="560" w:firstLineChars="0"/>
        <w:rPr>
          <w:color w:val="auto"/>
        </w:rPr>
      </w:pPr>
      <w:r>
        <w:rPr>
          <w:rFonts w:hint="eastAsia"/>
          <w:color w:val="auto"/>
        </w:rPr>
        <w:t>2）生活用水：本项目定员95人，设卫生间等公用设施。用水定额按100L/人•d计，每天用水量为10m³。能满足用水要求。</w:t>
      </w:r>
    </w:p>
    <w:p>
      <w:pPr>
        <w:topLinePunct/>
        <w:ind w:firstLine="560"/>
        <w:rPr>
          <w:rFonts w:ascii="宋体" w:hAnsi="宋体"/>
          <w:color w:val="auto"/>
        </w:rPr>
      </w:pPr>
      <w:r>
        <w:rPr>
          <w:rFonts w:hint="eastAsia" w:ascii="宋体" w:hAnsi="宋体"/>
          <w:color w:val="auto"/>
        </w:rPr>
        <w:t>（2）排水系统</w:t>
      </w:r>
    </w:p>
    <w:p>
      <w:pPr>
        <w:topLinePunct/>
        <w:ind w:firstLine="560"/>
        <w:rPr>
          <w:rFonts w:ascii="宋体" w:hAnsi="宋体"/>
          <w:color w:val="auto"/>
        </w:rPr>
      </w:pPr>
      <w:r>
        <w:rPr>
          <w:rFonts w:hint="eastAsia" w:hAnsi="宋体"/>
          <w:color w:val="auto"/>
          <w:kern w:val="0"/>
          <w:szCs w:val="28"/>
        </w:rPr>
        <w:t>排水系统分为生产污水排水及清洁排水两个系统。由净化工序排出的稀酸经专用管道排至污水中和槽用石灰中和后抽至污水沉淀池，污水沉淀池收纳量为1</w:t>
      </w:r>
      <w:r>
        <w:rPr>
          <w:rFonts w:hAnsi="宋体"/>
          <w:color w:val="auto"/>
          <w:kern w:val="0"/>
          <w:szCs w:val="28"/>
        </w:rPr>
        <w:t>000</w:t>
      </w:r>
      <w:r>
        <w:rPr>
          <w:rFonts w:hint="eastAsia" w:hAnsi="宋体"/>
          <w:color w:val="auto"/>
          <w:kern w:val="0"/>
          <w:szCs w:val="28"/>
        </w:rPr>
        <w:t>m³，净化工序稀酸最大排出量为3</w:t>
      </w:r>
      <w:r>
        <w:rPr>
          <w:rFonts w:hAnsi="宋体"/>
          <w:color w:val="auto"/>
          <w:kern w:val="0"/>
          <w:szCs w:val="28"/>
        </w:rPr>
        <w:t>0</w:t>
      </w:r>
      <w:r>
        <w:rPr>
          <w:rFonts w:hint="eastAsia" w:hAnsi="宋体"/>
          <w:color w:val="auto"/>
          <w:kern w:val="0"/>
          <w:szCs w:val="28"/>
        </w:rPr>
        <w:t>m³</w:t>
      </w:r>
      <w:r>
        <w:rPr>
          <w:rFonts w:hAnsi="宋体"/>
          <w:color w:val="auto"/>
          <w:kern w:val="0"/>
          <w:szCs w:val="28"/>
        </w:rPr>
        <w:t>/d</w:t>
      </w:r>
      <w:r>
        <w:rPr>
          <w:rFonts w:hint="eastAsia" w:hAnsi="宋体"/>
          <w:color w:val="auto"/>
          <w:kern w:val="0"/>
          <w:szCs w:val="28"/>
        </w:rPr>
        <w:t>，车间清洁冲洗用水经车间排水沟排至污水沉淀池，污水沉淀池容积能够满足工艺需求。沉淀池澄清后的清水由水泵抽至排渣工段作炉渣冷却、增湿用水，不外排。沉淀物定期清理至渣场，晒干后卖与水泥厂作原料使用。雨水、清洁排水及生活用水（经化粪池处理后）由清洁排水系统排出厂外</w:t>
      </w:r>
      <w:r>
        <w:rPr>
          <w:rFonts w:hint="eastAsia" w:ascii="宋体" w:hAnsi="宋体"/>
          <w:color w:val="auto"/>
        </w:rPr>
        <w:t>。</w:t>
      </w:r>
      <w:r>
        <w:rPr>
          <w:rFonts w:ascii="宋体" w:hAnsi="宋体"/>
          <w:color w:val="auto"/>
        </w:rPr>
        <w:t xml:space="preserve"> </w:t>
      </w:r>
    </w:p>
    <w:p>
      <w:pPr>
        <w:pStyle w:val="4"/>
        <w:ind w:firstLine="562"/>
      </w:pPr>
      <w:bookmarkStart w:id="890" w:name="_Toc6370"/>
      <w:bookmarkStart w:id="891" w:name="_Toc11976"/>
      <w:bookmarkStart w:id="892" w:name="_Toc27663"/>
      <w:bookmarkStart w:id="893" w:name="_Toc11006"/>
      <w:bookmarkStart w:id="894" w:name="_Toc4760"/>
      <w:bookmarkStart w:id="895" w:name="_Toc602"/>
      <w:bookmarkStart w:id="896" w:name="_Toc8113"/>
      <w:bookmarkStart w:id="897" w:name="_Toc15215"/>
      <w:bookmarkStart w:id="898" w:name="_Toc26974"/>
      <w:bookmarkStart w:id="899" w:name="_Toc16039"/>
      <w:bookmarkStart w:id="900" w:name="_Toc18167"/>
      <w:bookmarkStart w:id="901" w:name="_Toc25086"/>
      <w:r>
        <w:rPr>
          <w:rFonts w:hint="eastAsia"/>
        </w:rPr>
        <w:t>2.8</w:t>
      </w:r>
      <w:r>
        <w:t>.</w:t>
      </w:r>
      <w:r>
        <w:rPr>
          <w:rFonts w:hint="eastAsia"/>
        </w:rPr>
        <w:t xml:space="preserve">3 </w:t>
      </w:r>
      <w:r>
        <w:t>防雷</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pPr>
        <w:spacing w:before="50" w:after="50"/>
        <w:ind w:firstLine="520" w:firstLineChars="186"/>
        <w:rPr>
          <w:rFonts w:ascii="宋体" w:hAnsi="宋体"/>
          <w:color w:val="auto"/>
          <w:szCs w:val="28"/>
        </w:rPr>
      </w:pPr>
      <w:r>
        <w:rPr>
          <w:rFonts w:hint="eastAsia" w:ascii="宋体" w:hAnsi="宋体"/>
          <w:color w:val="auto"/>
          <w:szCs w:val="28"/>
        </w:rPr>
        <w:t>跃进化工生产厂房、仓库等均设置了防雷装置。</w:t>
      </w:r>
      <w:r>
        <w:rPr>
          <w:rFonts w:hint="eastAsia" w:ascii="宋体" w:hAnsi="宋体"/>
          <w:color w:val="000000" w:themeColor="text1"/>
          <w:szCs w:val="28"/>
        </w:rPr>
        <w:t>跃进化工防雷装置于</w:t>
      </w:r>
      <w:r>
        <w:rPr>
          <w:rFonts w:ascii="宋体" w:hAnsi="宋体"/>
          <w:color w:val="000000" w:themeColor="text1"/>
          <w:szCs w:val="28"/>
        </w:rPr>
        <w:t>20</w:t>
      </w:r>
      <w:r>
        <w:rPr>
          <w:rFonts w:hint="eastAsia" w:ascii="宋体" w:hAnsi="宋体"/>
          <w:color w:val="000000" w:themeColor="text1"/>
          <w:szCs w:val="28"/>
        </w:rPr>
        <w:t>24年3月18日经云南省气象灾害防御技术中心检测，</w:t>
      </w:r>
      <w:r>
        <w:rPr>
          <w:rFonts w:hint="eastAsia" w:ascii="宋体" w:hAnsi="宋体"/>
          <w:color w:val="auto"/>
          <w:szCs w:val="28"/>
        </w:rPr>
        <w:t>并出具了“符合”的雷电防护装置检测报告（云雷检字[2024]DLYB第0005号），有效期至2024年9月18日。详见报告</w:t>
      </w:r>
      <w:r>
        <w:rPr>
          <w:rFonts w:hint="eastAsia"/>
          <w:color w:val="auto"/>
          <w:szCs w:val="28"/>
        </w:rPr>
        <w:t>F</w:t>
      </w:r>
      <w:r>
        <w:rPr>
          <w:rFonts w:hint="eastAsia" w:ascii="宋体" w:hAnsi="宋体"/>
          <w:color w:val="auto"/>
          <w:szCs w:val="28"/>
        </w:rPr>
        <w:t>6.21。</w:t>
      </w:r>
    </w:p>
    <w:p>
      <w:pPr>
        <w:pStyle w:val="4"/>
        <w:keepNext w:val="0"/>
        <w:keepLines w:val="0"/>
        <w:ind w:firstLine="562"/>
        <w:rPr>
          <w:color w:val="auto"/>
        </w:rPr>
      </w:pPr>
      <w:bookmarkStart w:id="902" w:name="_Toc7824"/>
      <w:bookmarkStart w:id="903" w:name="_Toc3694"/>
      <w:bookmarkStart w:id="904" w:name="_Toc10646"/>
      <w:bookmarkStart w:id="905" w:name="_Toc118297914"/>
      <w:bookmarkStart w:id="906" w:name="_Toc23460"/>
      <w:bookmarkStart w:id="907" w:name="_Toc21103"/>
      <w:bookmarkStart w:id="908" w:name="_Toc25411"/>
      <w:bookmarkStart w:id="909" w:name="_Toc23991"/>
      <w:bookmarkStart w:id="910" w:name="_Toc19993"/>
      <w:bookmarkStart w:id="911" w:name="_Toc23899"/>
      <w:bookmarkStart w:id="912" w:name="_Toc23558"/>
      <w:bookmarkStart w:id="913" w:name="_Toc4592"/>
      <w:bookmarkStart w:id="914" w:name="_Toc8583"/>
      <w:bookmarkStart w:id="915" w:name="_Toc32668"/>
      <w:bookmarkStart w:id="916" w:name="_Toc18419"/>
      <w:bookmarkStart w:id="917" w:name="_Toc9209"/>
      <w:bookmarkStart w:id="918" w:name="_Toc25425"/>
      <w:bookmarkStart w:id="919" w:name="_Toc16505"/>
      <w:bookmarkStart w:id="920" w:name="_Toc13802"/>
      <w:bookmarkStart w:id="921" w:name="_Toc8169"/>
      <w:bookmarkStart w:id="922" w:name="_Toc14281"/>
      <w:bookmarkStart w:id="923" w:name="_Toc27124"/>
      <w:bookmarkStart w:id="924" w:name="_Toc19521"/>
      <w:r>
        <w:rPr>
          <w:rFonts w:hint="eastAsia"/>
        </w:rPr>
        <w:t xml:space="preserve">2.8.4 </w:t>
      </w:r>
      <w:bookmarkEnd w:id="902"/>
      <w:bookmarkEnd w:id="903"/>
      <w:bookmarkEnd w:id="904"/>
      <w:bookmarkEnd w:id="905"/>
      <w:bookmarkEnd w:id="906"/>
      <w:bookmarkEnd w:id="907"/>
      <w:bookmarkEnd w:id="908"/>
      <w:bookmarkEnd w:id="909"/>
      <w:bookmarkEnd w:id="910"/>
      <w:bookmarkEnd w:id="911"/>
      <w:bookmarkEnd w:id="912"/>
      <w:bookmarkStart w:id="925" w:name="_Toc11066"/>
      <w:bookmarkStart w:id="926" w:name="_Toc14813"/>
      <w:bookmarkStart w:id="927" w:name="_Toc5026"/>
      <w:bookmarkStart w:id="928" w:name="_Toc14051"/>
      <w:bookmarkStart w:id="929" w:name="_Toc31946"/>
      <w:r>
        <w:rPr>
          <w:rFonts w:hint="eastAsia"/>
          <w:color w:val="auto"/>
        </w:rPr>
        <w:t>废渣处理</w:t>
      </w:r>
      <w:bookmarkEnd w:id="913"/>
      <w:bookmarkEnd w:id="914"/>
      <w:bookmarkEnd w:id="915"/>
      <w:bookmarkEnd w:id="916"/>
      <w:bookmarkEnd w:id="917"/>
      <w:bookmarkEnd w:id="918"/>
      <w:bookmarkEnd w:id="919"/>
      <w:bookmarkEnd w:id="920"/>
      <w:bookmarkEnd w:id="921"/>
      <w:bookmarkEnd w:id="922"/>
      <w:bookmarkEnd w:id="923"/>
      <w:bookmarkEnd w:id="924"/>
    </w:p>
    <w:p>
      <w:pPr>
        <w:topLinePunct/>
        <w:ind w:firstLine="560"/>
        <w:rPr>
          <w:rFonts w:ascii="宋体" w:hAnsi="宋体"/>
          <w:color w:val="auto"/>
          <w:szCs w:val="28"/>
        </w:rPr>
      </w:pPr>
      <w:r>
        <w:rPr>
          <w:rFonts w:hint="eastAsia" w:ascii="宋体" w:hAnsi="宋体"/>
          <w:color w:val="auto"/>
          <w:szCs w:val="28"/>
        </w:rPr>
        <w:t>公司生产废渣主要为铁精粉，年产生量约39169.20t，主要成份为氧化铁、焙砂，厂内设置有大、小两个渣库暂存废渣，定期卖至厂外其他企业。</w:t>
      </w:r>
    </w:p>
    <w:p>
      <w:pPr>
        <w:pStyle w:val="4"/>
        <w:keepNext w:val="0"/>
        <w:keepLines w:val="0"/>
        <w:ind w:firstLine="562"/>
      </w:pPr>
      <w:bookmarkStart w:id="930" w:name="_Toc10865"/>
      <w:bookmarkStart w:id="931" w:name="_Toc19138"/>
      <w:bookmarkStart w:id="932" w:name="_Toc31576"/>
      <w:bookmarkStart w:id="933" w:name="_Toc27457"/>
      <w:bookmarkStart w:id="934" w:name="_Toc26296"/>
      <w:bookmarkStart w:id="935" w:name="_Toc27940"/>
      <w:bookmarkStart w:id="936" w:name="_Toc12528"/>
      <w:r>
        <w:rPr>
          <w:rFonts w:hint="eastAsia"/>
        </w:rPr>
        <w:t xml:space="preserve">2.8.5 </w:t>
      </w:r>
      <w:r>
        <w:rPr>
          <w:rFonts w:hint="eastAsia"/>
          <w:color w:val="auto"/>
        </w:rPr>
        <w:t>在线视频监控</w:t>
      </w:r>
      <w:bookmarkEnd w:id="930"/>
      <w:bookmarkEnd w:id="931"/>
      <w:bookmarkEnd w:id="932"/>
      <w:bookmarkEnd w:id="933"/>
      <w:bookmarkEnd w:id="934"/>
      <w:bookmarkEnd w:id="935"/>
      <w:bookmarkEnd w:id="936"/>
    </w:p>
    <w:p>
      <w:pPr>
        <w:topLinePunct/>
        <w:ind w:firstLine="560"/>
      </w:pPr>
      <w:r>
        <w:rPr>
          <w:rFonts w:hint="eastAsia"/>
        </w:rPr>
        <w:t>在线视频监控11个，分布在：放酸平台，公司大门，硫酸库地下计量酸槽，双氧水储罐区，原料库左边，地磅，原料库右边，办公楼门口，8万吨沸腾炉监控室，4万吨沸腾炉监控室，转化、净化、干吸集中监控室。存储时间为180天，信号图像传至公司门卫室，以便实时监控厂区动态，在厂区发生异常现象或事件时能够快速应对。</w:t>
      </w:r>
    </w:p>
    <w:bookmarkEnd w:id="925"/>
    <w:bookmarkEnd w:id="926"/>
    <w:bookmarkEnd w:id="927"/>
    <w:bookmarkEnd w:id="928"/>
    <w:bookmarkEnd w:id="929"/>
    <w:p>
      <w:pPr>
        <w:pStyle w:val="3"/>
        <w:keepNext w:val="0"/>
        <w:keepLines w:val="0"/>
        <w:ind w:firstLine="562"/>
        <w:rPr>
          <w:rFonts w:ascii="黑体" w:hAnsi="黑体" w:eastAsia="黑体" w:cs="黑体"/>
          <w:color w:val="000000" w:themeColor="text1"/>
        </w:rPr>
      </w:pPr>
      <w:bookmarkStart w:id="937" w:name="_Toc19492"/>
      <w:bookmarkStart w:id="938" w:name="_Toc18418"/>
      <w:bookmarkStart w:id="939" w:name="_Toc14897"/>
      <w:bookmarkStart w:id="940" w:name="_Toc32471"/>
      <w:bookmarkStart w:id="941" w:name="_Toc1121"/>
      <w:bookmarkStart w:id="942" w:name="_Toc11715"/>
      <w:bookmarkStart w:id="943" w:name="_Toc20835"/>
      <w:bookmarkStart w:id="944" w:name="_Toc11911"/>
      <w:bookmarkStart w:id="945" w:name="_Toc18130"/>
      <w:bookmarkStart w:id="946" w:name="_Toc16034"/>
      <w:bookmarkStart w:id="947" w:name="_Toc30211"/>
      <w:bookmarkStart w:id="948" w:name="_Toc2736"/>
      <w:bookmarkStart w:id="949" w:name="_Toc118297917"/>
      <w:bookmarkStart w:id="950" w:name="_Toc22105"/>
      <w:bookmarkStart w:id="951" w:name="_Toc16555"/>
      <w:bookmarkStart w:id="952" w:name="_Toc18483"/>
      <w:bookmarkStart w:id="953" w:name="_Toc27440"/>
      <w:bookmarkStart w:id="954" w:name="_Toc14478"/>
      <w:bookmarkStart w:id="955" w:name="_Toc28943"/>
      <w:bookmarkStart w:id="956" w:name="_Toc7092"/>
      <w:bookmarkStart w:id="957" w:name="_Toc22866"/>
      <w:bookmarkStart w:id="958" w:name="_Toc27952"/>
      <w:bookmarkStart w:id="959" w:name="_Toc7288"/>
      <w:bookmarkStart w:id="960" w:name="_Toc8328"/>
      <w:bookmarkStart w:id="961" w:name="_Toc9324"/>
      <w:bookmarkStart w:id="962" w:name="_Toc26075"/>
      <w:bookmarkStart w:id="963" w:name="_Toc5554"/>
      <w:bookmarkStart w:id="964" w:name="_Toc8701"/>
      <w:bookmarkStart w:id="965" w:name="_Toc539"/>
      <w:bookmarkStart w:id="966" w:name="_Toc709"/>
      <w:bookmarkStart w:id="967" w:name="_Toc15660"/>
      <w:bookmarkStart w:id="968" w:name="_Toc4081"/>
      <w:bookmarkStart w:id="969" w:name="_Toc7196"/>
      <w:r>
        <w:rPr>
          <w:rFonts w:hint="eastAsia" w:ascii="黑体" w:hAnsi="黑体" w:eastAsia="黑体" w:cs="黑体"/>
          <w:color w:val="000000" w:themeColor="text1"/>
        </w:rPr>
        <w:t>2.9 主要安全设施</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p>
    <w:p>
      <w:pPr>
        <w:topLinePunct/>
        <w:ind w:firstLine="560"/>
        <w:rPr>
          <w:color w:val="auto"/>
        </w:rPr>
      </w:pPr>
      <w:r>
        <w:rPr>
          <w:rFonts w:hint="eastAsia"/>
          <w:color w:val="auto"/>
        </w:rPr>
        <w:t>项目安全设施设置情况见下表所示：</w:t>
      </w:r>
    </w:p>
    <w:p>
      <w:pPr>
        <w:adjustRightInd/>
        <w:snapToGrid/>
        <w:spacing w:line="240" w:lineRule="auto"/>
        <w:ind w:firstLine="198" w:firstLineChars="0"/>
        <w:jc w:val="center"/>
        <w:rPr>
          <w:rFonts w:ascii="宋体" w:hAnsi="宋体" w:cs="宋体"/>
          <w:b/>
          <w:bCs/>
          <w:color w:val="auto"/>
          <w:sz w:val="24"/>
        </w:rPr>
      </w:pPr>
      <w:r>
        <w:rPr>
          <w:rFonts w:hint="eastAsia" w:ascii="宋体" w:hAnsi="宋体" w:cs="宋体"/>
          <w:b/>
          <w:bCs/>
          <w:color w:val="auto"/>
          <w:sz w:val="24"/>
        </w:rPr>
        <w:t>表2.9-1  安全设施设置情况一览表</w:t>
      </w:r>
    </w:p>
    <w:tbl>
      <w:tblPr>
        <w:tblStyle w:val="3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
        <w:gridCol w:w="915"/>
        <w:gridCol w:w="196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522" w:type="dxa"/>
            <w:vAlign w:val="center"/>
          </w:tcPr>
          <w:p>
            <w:pPr>
              <w:pStyle w:val="71"/>
              <w:spacing w:before="0" w:after="0" w:line="300" w:lineRule="exact"/>
              <w:ind w:firstLine="0" w:firstLineChars="0"/>
              <w:rPr>
                <w:b/>
                <w:bCs/>
                <w:szCs w:val="21"/>
              </w:rPr>
            </w:pPr>
            <w:r>
              <w:rPr>
                <w:b/>
                <w:bCs/>
                <w:szCs w:val="21"/>
              </w:rPr>
              <w:t>序号</w:t>
            </w:r>
          </w:p>
        </w:tc>
        <w:tc>
          <w:tcPr>
            <w:tcW w:w="2880" w:type="dxa"/>
            <w:gridSpan w:val="2"/>
            <w:vAlign w:val="center"/>
          </w:tcPr>
          <w:p>
            <w:pPr>
              <w:pStyle w:val="71"/>
              <w:spacing w:before="0" w:after="0" w:line="300" w:lineRule="exact"/>
              <w:ind w:firstLine="0" w:firstLineChars="0"/>
              <w:rPr>
                <w:b/>
                <w:bCs/>
                <w:szCs w:val="21"/>
              </w:rPr>
            </w:pPr>
            <w:r>
              <w:rPr>
                <w:b/>
                <w:bCs/>
                <w:szCs w:val="21"/>
              </w:rPr>
              <w:t>安全设施名称</w:t>
            </w:r>
          </w:p>
        </w:tc>
        <w:tc>
          <w:tcPr>
            <w:tcW w:w="5670" w:type="dxa"/>
            <w:vAlign w:val="center"/>
          </w:tcPr>
          <w:p>
            <w:pPr>
              <w:pStyle w:val="71"/>
              <w:spacing w:before="0" w:after="0" w:line="300" w:lineRule="exact"/>
              <w:ind w:firstLine="0" w:firstLineChars="0"/>
              <w:rPr>
                <w:b/>
                <w:bCs/>
                <w:szCs w:val="21"/>
              </w:rPr>
            </w:pPr>
            <w:r>
              <w:rPr>
                <w:b/>
                <w:bCs/>
                <w:szCs w:val="21"/>
              </w:rPr>
              <w:t>设</w:t>
            </w:r>
            <w:r>
              <w:rPr>
                <w:rFonts w:hint="eastAsia"/>
                <w:b/>
                <w:bCs/>
                <w:szCs w:val="21"/>
              </w:rPr>
              <w:t xml:space="preserve">  </w:t>
            </w:r>
            <w:r>
              <w:rPr>
                <w:b/>
                <w:bCs/>
                <w:szCs w:val="21"/>
              </w:rPr>
              <w:t>置</w:t>
            </w:r>
            <w:r>
              <w:rPr>
                <w:rFonts w:hint="eastAsia"/>
                <w:b/>
                <w:bCs/>
                <w:szCs w:val="21"/>
              </w:rPr>
              <w:t xml:space="preserve">  </w:t>
            </w:r>
            <w:r>
              <w:rPr>
                <w:b/>
                <w:bCs/>
                <w:szCs w:val="21"/>
              </w:rPr>
              <w:t>情</w:t>
            </w:r>
            <w:r>
              <w:rPr>
                <w:rFonts w:hint="eastAsia"/>
                <w:b/>
                <w:bCs/>
                <w:szCs w:val="21"/>
              </w:rPr>
              <w:t xml:space="preserve">  </w:t>
            </w:r>
            <w:r>
              <w:rPr>
                <w:b/>
                <w:bCs/>
                <w:szCs w:val="21"/>
              </w:rPr>
              <w:t>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dxa"/>
            <w:vMerge w:val="restart"/>
            <w:vAlign w:val="center"/>
          </w:tcPr>
          <w:p>
            <w:pPr>
              <w:pStyle w:val="71"/>
              <w:spacing w:before="0" w:after="0" w:line="300" w:lineRule="exact"/>
              <w:ind w:firstLine="0" w:firstLineChars="0"/>
              <w:rPr>
                <w:szCs w:val="21"/>
              </w:rPr>
            </w:pPr>
            <w:r>
              <w:rPr>
                <w:szCs w:val="21"/>
              </w:rPr>
              <w:t>1</w:t>
            </w:r>
          </w:p>
          <w:p>
            <w:pPr>
              <w:pStyle w:val="71"/>
              <w:spacing w:before="0" w:after="0" w:line="300" w:lineRule="exact"/>
              <w:ind w:firstLine="0" w:firstLineChars="0"/>
              <w:rPr>
                <w:szCs w:val="21"/>
              </w:rPr>
            </w:pPr>
          </w:p>
        </w:tc>
        <w:tc>
          <w:tcPr>
            <w:tcW w:w="915" w:type="dxa"/>
            <w:vMerge w:val="restart"/>
            <w:vAlign w:val="center"/>
          </w:tcPr>
          <w:p>
            <w:pPr>
              <w:pStyle w:val="71"/>
              <w:spacing w:before="0" w:after="0" w:line="300" w:lineRule="exact"/>
              <w:ind w:firstLine="0" w:firstLineChars="0"/>
              <w:rPr>
                <w:szCs w:val="21"/>
              </w:rPr>
            </w:pPr>
            <w:r>
              <w:rPr>
                <w:szCs w:val="21"/>
              </w:rPr>
              <w:t>预防事故措施</w:t>
            </w:r>
          </w:p>
        </w:tc>
        <w:tc>
          <w:tcPr>
            <w:tcW w:w="1965" w:type="dxa"/>
            <w:vAlign w:val="center"/>
          </w:tcPr>
          <w:p>
            <w:pPr>
              <w:pStyle w:val="71"/>
              <w:spacing w:before="0" w:after="0" w:line="300" w:lineRule="exact"/>
              <w:ind w:firstLine="0" w:firstLineChars="0"/>
              <w:rPr>
                <w:szCs w:val="21"/>
              </w:rPr>
            </w:pPr>
            <w:r>
              <w:rPr>
                <w:szCs w:val="21"/>
              </w:rPr>
              <w:t>设备安全防护设施</w:t>
            </w:r>
          </w:p>
        </w:tc>
        <w:tc>
          <w:tcPr>
            <w:tcW w:w="5670" w:type="dxa"/>
            <w:vAlign w:val="center"/>
          </w:tcPr>
          <w:p>
            <w:pPr>
              <w:pStyle w:val="71"/>
              <w:spacing w:before="0" w:after="0" w:line="300" w:lineRule="exact"/>
              <w:ind w:firstLine="0" w:firstLineChars="0"/>
              <w:jc w:val="both"/>
              <w:rPr>
                <w:szCs w:val="21"/>
              </w:rPr>
            </w:pPr>
            <w:r>
              <w:rPr>
                <w:rFonts w:hint="eastAsia"/>
                <w:szCs w:val="21"/>
              </w:rPr>
              <w:t>①检测、报警设施：于SO</w:t>
            </w:r>
            <w:r>
              <w:rPr>
                <w:rFonts w:hint="eastAsia"/>
                <w:szCs w:val="21"/>
                <w:vertAlign w:val="subscript"/>
              </w:rPr>
              <w:t>2</w:t>
            </w:r>
            <w:r>
              <w:rPr>
                <w:rFonts w:hint="eastAsia"/>
                <w:szCs w:val="21"/>
              </w:rPr>
              <w:t>风机房、干吸工段、转换工段等设置固定式SO</w:t>
            </w:r>
            <w:r>
              <w:rPr>
                <w:rFonts w:hint="eastAsia"/>
                <w:szCs w:val="21"/>
                <w:vertAlign w:val="subscript"/>
              </w:rPr>
              <w:t>2</w:t>
            </w:r>
            <w:r>
              <w:rPr>
                <w:rFonts w:hint="eastAsia"/>
                <w:szCs w:val="21"/>
              </w:rPr>
              <w:t>检测报警仪，固定式检测仪带有数显及现场声光报警功能，所有固定式有毒气体检测仪信号引至净化操作室，并于净化操作室内配置便携式SO</w:t>
            </w:r>
            <w:r>
              <w:rPr>
                <w:rFonts w:hint="eastAsia"/>
                <w:szCs w:val="21"/>
                <w:vertAlign w:val="subscript"/>
              </w:rPr>
              <w:t>2</w:t>
            </w:r>
            <w:r>
              <w:rPr>
                <w:rFonts w:hint="eastAsia"/>
                <w:szCs w:val="21"/>
              </w:rPr>
              <w:t>检测报警仪。</w:t>
            </w:r>
          </w:p>
          <w:p>
            <w:pPr>
              <w:pStyle w:val="71"/>
              <w:spacing w:before="0" w:after="0" w:line="300" w:lineRule="exact"/>
              <w:ind w:firstLine="0" w:firstLineChars="0"/>
              <w:jc w:val="both"/>
              <w:rPr>
                <w:szCs w:val="21"/>
              </w:rPr>
            </w:pPr>
            <w:r>
              <w:rPr>
                <w:rFonts w:hint="eastAsia"/>
                <w:szCs w:val="21"/>
              </w:rPr>
              <w:t>②设备安全防护设施：a、楼梯安装了扶手、高处平台安装防护栏；b、电机联轴器、皮带轮、风机、泵体等处设置机械防护罩；</w:t>
            </w:r>
            <w:r>
              <w:rPr>
                <w:szCs w:val="21"/>
              </w:rPr>
              <w:t>c</w:t>
            </w:r>
            <w:r>
              <w:rPr>
                <w:rFonts w:hint="eastAsia"/>
                <w:szCs w:val="21"/>
              </w:rPr>
              <w:t>、蒸汽输送管线设保温隔热层；</w:t>
            </w:r>
            <w:r>
              <w:rPr>
                <w:szCs w:val="21"/>
              </w:rPr>
              <w:t>d</w:t>
            </w:r>
            <w:r>
              <w:rPr>
                <w:rFonts w:hint="eastAsia"/>
                <w:szCs w:val="21"/>
              </w:rPr>
              <w:t>、余热锅炉、蒸汽管道配设压力表、温度计、安全阀。</w:t>
            </w:r>
          </w:p>
          <w:p>
            <w:pPr>
              <w:pStyle w:val="71"/>
              <w:spacing w:before="0" w:after="0" w:line="300" w:lineRule="exact"/>
              <w:ind w:firstLine="0" w:firstLineChars="0"/>
              <w:jc w:val="both"/>
              <w:rPr>
                <w:szCs w:val="21"/>
              </w:rPr>
            </w:pPr>
            <w:r>
              <w:rPr>
                <w:rFonts w:hint="eastAsia"/>
                <w:szCs w:val="21"/>
              </w:rPr>
              <w:t>③设置了尾气吸收装置。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522" w:type="dxa"/>
            <w:vMerge w:val="continue"/>
            <w:vAlign w:val="center"/>
          </w:tcPr>
          <w:p>
            <w:pPr>
              <w:pStyle w:val="71"/>
              <w:spacing w:before="0" w:after="0" w:line="300" w:lineRule="exact"/>
              <w:ind w:firstLine="0" w:firstLineChars="0"/>
              <w:rPr>
                <w:szCs w:val="21"/>
              </w:rPr>
            </w:pPr>
          </w:p>
        </w:tc>
        <w:tc>
          <w:tcPr>
            <w:tcW w:w="915" w:type="dxa"/>
            <w:vMerge w:val="continue"/>
            <w:vAlign w:val="center"/>
          </w:tcPr>
          <w:p>
            <w:pPr>
              <w:pStyle w:val="71"/>
              <w:spacing w:before="0" w:after="0" w:line="300" w:lineRule="exact"/>
              <w:ind w:firstLine="0" w:firstLineChars="0"/>
              <w:rPr>
                <w:szCs w:val="21"/>
              </w:rPr>
            </w:pPr>
          </w:p>
        </w:tc>
        <w:tc>
          <w:tcPr>
            <w:tcW w:w="1965" w:type="dxa"/>
            <w:vAlign w:val="center"/>
          </w:tcPr>
          <w:p>
            <w:pPr>
              <w:pStyle w:val="71"/>
              <w:spacing w:before="0" w:after="0" w:line="300" w:lineRule="exact"/>
              <w:ind w:firstLine="0" w:firstLineChars="0"/>
              <w:rPr>
                <w:szCs w:val="21"/>
              </w:rPr>
            </w:pPr>
            <w:r>
              <w:rPr>
                <w:szCs w:val="21"/>
              </w:rPr>
              <w:t>作业场所防护设施</w:t>
            </w:r>
          </w:p>
        </w:tc>
        <w:tc>
          <w:tcPr>
            <w:tcW w:w="5670" w:type="dxa"/>
          </w:tcPr>
          <w:p>
            <w:pPr>
              <w:pStyle w:val="71"/>
              <w:spacing w:before="0" w:after="0" w:line="300" w:lineRule="exact"/>
              <w:ind w:firstLine="0" w:firstLineChars="0"/>
              <w:jc w:val="both"/>
              <w:rPr>
                <w:szCs w:val="21"/>
              </w:rPr>
            </w:pPr>
            <w:r>
              <w:rPr>
                <w:rFonts w:hint="eastAsia"/>
                <w:szCs w:val="21"/>
              </w:rPr>
              <w:t>①厂房内各操作平台、楼梯安装防护栏；</w:t>
            </w:r>
          </w:p>
          <w:p>
            <w:pPr>
              <w:pStyle w:val="71"/>
              <w:spacing w:before="0" w:after="0" w:line="300" w:lineRule="exact"/>
              <w:ind w:firstLine="0" w:firstLineChars="0"/>
              <w:jc w:val="both"/>
              <w:rPr>
                <w:szCs w:val="21"/>
              </w:rPr>
            </w:pPr>
            <w:r>
              <w:rPr>
                <w:rFonts w:hint="eastAsia"/>
                <w:szCs w:val="21"/>
              </w:rPr>
              <w:t>②厂房屋顶设置了防雷设施；</w:t>
            </w:r>
          </w:p>
          <w:p>
            <w:pPr>
              <w:pStyle w:val="71"/>
              <w:spacing w:before="0" w:after="0" w:line="300" w:lineRule="exact"/>
              <w:ind w:firstLine="0" w:firstLineChars="0"/>
              <w:jc w:val="both"/>
              <w:rPr>
                <w:szCs w:val="21"/>
              </w:rPr>
            </w:pPr>
            <w:r>
              <w:rPr>
                <w:rFonts w:hint="eastAsia"/>
                <w:szCs w:val="21"/>
              </w:rPr>
              <w:t>③</w:t>
            </w:r>
            <w:r>
              <w:rPr>
                <w:szCs w:val="21"/>
              </w:rPr>
              <w:t>在各操作点处设置了操作规程</w:t>
            </w:r>
            <w:r>
              <w:rPr>
                <w:rFonts w:hint="eastAsia"/>
                <w:szCs w:val="21"/>
              </w:rPr>
              <w:t>。</w:t>
            </w:r>
          </w:p>
          <w:p>
            <w:pPr>
              <w:pStyle w:val="71"/>
              <w:spacing w:before="0" w:after="0" w:line="300" w:lineRule="exact"/>
              <w:ind w:firstLine="0" w:firstLineChars="0"/>
              <w:jc w:val="both"/>
              <w:rPr>
                <w:szCs w:val="21"/>
              </w:rPr>
            </w:pPr>
            <w:r>
              <w:rPr>
                <w:rFonts w:hint="eastAsia"/>
                <w:szCs w:val="21"/>
              </w:rPr>
              <w:t>④厂区内安装防雷设施；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522" w:type="dxa"/>
            <w:vMerge w:val="continue"/>
            <w:vAlign w:val="center"/>
          </w:tcPr>
          <w:p>
            <w:pPr>
              <w:pStyle w:val="71"/>
              <w:spacing w:before="0" w:after="0" w:line="300" w:lineRule="exact"/>
              <w:ind w:firstLine="0" w:firstLineChars="0"/>
              <w:rPr>
                <w:szCs w:val="21"/>
              </w:rPr>
            </w:pPr>
          </w:p>
        </w:tc>
        <w:tc>
          <w:tcPr>
            <w:tcW w:w="915" w:type="dxa"/>
            <w:vMerge w:val="continue"/>
            <w:vAlign w:val="center"/>
          </w:tcPr>
          <w:p>
            <w:pPr>
              <w:pStyle w:val="71"/>
              <w:spacing w:before="0" w:after="0" w:line="300" w:lineRule="exact"/>
              <w:ind w:firstLine="0" w:firstLineChars="0"/>
              <w:rPr>
                <w:szCs w:val="21"/>
              </w:rPr>
            </w:pPr>
          </w:p>
        </w:tc>
        <w:tc>
          <w:tcPr>
            <w:tcW w:w="1965" w:type="dxa"/>
            <w:vAlign w:val="center"/>
          </w:tcPr>
          <w:p>
            <w:pPr>
              <w:pStyle w:val="71"/>
              <w:spacing w:before="0" w:after="0" w:line="300" w:lineRule="exact"/>
              <w:ind w:firstLine="0" w:firstLineChars="0"/>
              <w:rPr>
                <w:szCs w:val="21"/>
              </w:rPr>
            </w:pPr>
            <w:r>
              <w:rPr>
                <w:szCs w:val="21"/>
              </w:rPr>
              <w:t>安全警示标志</w:t>
            </w:r>
          </w:p>
        </w:tc>
        <w:tc>
          <w:tcPr>
            <w:tcW w:w="5670" w:type="dxa"/>
          </w:tcPr>
          <w:p>
            <w:pPr>
              <w:pStyle w:val="71"/>
              <w:spacing w:before="0" w:after="0" w:line="300" w:lineRule="exact"/>
              <w:ind w:firstLine="0" w:firstLineChars="0"/>
              <w:jc w:val="both"/>
              <w:rPr>
                <w:szCs w:val="21"/>
              </w:rPr>
            </w:pPr>
            <w:r>
              <w:rPr>
                <w:rFonts w:hint="eastAsia"/>
                <w:szCs w:val="21"/>
              </w:rPr>
              <w:t>厂区内设置多种指示、警示作业安全的警示 标志，并于罐区设有风向标。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522" w:type="dxa"/>
            <w:vAlign w:val="center"/>
          </w:tcPr>
          <w:p>
            <w:pPr>
              <w:pStyle w:val="71"/>
              <w:spacing w:before="0" w:after="0" w:line="300" w:lineRule="exact"/>
              <w:ind w:firstLine="0" w:firstLineChars="0"/>
              <w:rPr>
                <w:szCs w:val="21"/>
              </w:rPr>
            </w:pPr>
            <w:r>
              <w:rPr>
                <w:szCs w:val="21"/>
              </w:rPr>
              <w:t>2</w:t>
            </w:r>
          </w:p>
        </w:tc>
        <w:tc>
          <w:tcPr>
            <w:tcW w:w="915" w:type="dxa"/>
            <w:vAlign w:val="center"/>
          </w:tcPr>
          <w:p>
            <w:pPr>
              <w:pStyle w:val="71"/>
              <w:spacing w:before="0" w:after="0" w:line="300" w:lineRule="exact"/>
              <w:ind w:firstLine="0" w:firstLineChars="0"/>
              <w:rPr>
                <w:szCs w:val="21"/>
              </w:rPr>
            </w:pPr>
            <w:r>
              <w:rPr>
                <w:szCs w:val="21"/>
              </w:rPr>
              <w:t>控制事故措施</w:t>
            </w:r>
          </w:p>
        </w:tc>
        <w:tc>
          <w:tcPr>
            <w:tcW w:w="1965" w:type="dxa"/>
            <w:vAlign w:val="center"/>
          </w:tcPr>
          <w:p>
            <w:pPr>
              <w:pStyle w:val="71"/>
              <w:spacing w:before="0" w:after="0" w:line="300" w:lineRule="exact"/>
              <w:ind w:firstLine="0" w:firstLineChars="0"/>
              <w:jc w:val="both"/>
              <w:rPr>
                <w:szCs w:val="21"/>
              </w:rPr>
            </w:pPr>
            <w:r>
              <w:rPr>
                <w:szCs w:val="21"/>
              </w:rPr>
              <w:t>紧急处理设施</w:t>
            </w:r>
          </w:p>
        </w:tc>
        <w:tc>
          <w:tcPr>
            <w:tcW w:w="5670" w:type="dxa"/>
          </w:tcPr>
          <w:p>
            <w:pPr>
              <w:pStyle w:val="71"/>
              <w:spacing w:before="0" w:after="0" w:line="300" w:lineRule="exact"/>
              <w:ind w:firstLine="0" w:firstLineChars="0"/>
              <w:jc w:val="both"/>
              <w:rPr>
                <w:szCs w:val="21"/>
              </w:rPr>
            </w:pPr>
            <w:r>
              <w:rPr>
                <w:rFonts w:hint="eastAsia"/>
                <w:szCs w:val="21"/>
              </w:rPr>
              <w:t>①泄压、止逆设施：a.余热锅炉、分汽缸、蒸汽管道配设泄压的安全阀； b.余热锅炉、设蒸汽放空管；</w:t>
            </w:r>
          </w:p>
          <w:p>
            <w:pPr>
              <w:pStyle w:val="71"/>
              <w:spacing w:before="0" w:after="0" w:line="300" w:lineRule="exact"/>
              <w:ind w:firstLine="0" w:firstLineChars="0"/>
              <w:jc w:val="both"/>
              <w:rPr>
                <w:szCs w:val="21"/>
              </w:rPr>
            </w:pPr>
            <w:r>
              <w:rPr>
                <w:rFonts w:hint="eastAsia"/>
                <w:szCs w:val="21"/>
              </w:rPr>
              <w:t>②紧急处理设施：a.锅炉设置给水调节系统、余热锅炉排烟温度控制、主蒸汽温度调节系统等进行联锁控制b.硫酸生产线的转化工段主风机与干吸工段的浓酸泵联锁，净化工段的文氏管进口温度与稀酸泵联锁，焙烧工段的沸腾炉风机与排渣冷管机联锁c.硫酸储罐区设置围堰、事故池。</w:t>
            </w:r>
          </w:p>
          <w:p>
            <w:pPr>
              <w:pStyle w:val="71"/>
              <w:spacing w:before="0" w:after="0" w:line="300" w:lineRule="exact"/>
              <w:ind w:firstLine="0" w:firstLineChars="0"/>
              <w:jc w:val="both"/>
              <w:rPr>
                <w:szCs w:val="21"/>
              </w:rPr>
            </w:pPr>
            <w:r>
              <w:rPr>
                <w:rFonts w:hint="eastAsia"/>
                <w:szCs w:val="21"/>
              </w:rPr>
              <w:t>③在生产区及硫酸储罐区设置了3台复合喷淋洗眼器。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522" w:type="dxa"/>
            <w:vMerge w:val="restart"/>
            <w:vAlign w:val="center"/>
          </w:tcPr>
          <w:p>
            <w:pPr>
              <w:pStyle w:val="71"/>
              <w:spacing w:before="0" w:after="0" w:line="300" w:lineRule="exact"/>
              <w:ind w:firstLine="0" w:firstLineChars="0"/>
              <w:rPr>
                <w:szCs w:val="21"/>
              </w:rPr>
            </w:pPr>
            <w:r>
              <w:rPr>
                <w:szCs w:val="21"/>
              </w:rPr>
              <w:t>3</w:t>
            </w:r>
          </w:p>
        </w:tc>
        <w:tc>
          <w:tcPr>
            <w:tcW w:w="915" w:type="dxa"/>
            <w:vMerge w:val="restart"/>
            <w:vAlign w:val="center"/>
          </w:tcPr>
          <w:p>
            <w:pPr>
              <w:pStyle w:val="71"/>
              <w:spacing w:before="0" w:after="0" w:line="300" w:lineRule="exact"/>
              <w:ind w:firstLine="0" w:firstLineChars="0"/>
              <w:rPr>
                <w:szCs w:val="21"/>
              </w:rPr>
            </w:pPr>
            <w:r>
              <w:rPr>
                <w:szCs w:val="21"/>
              </w:rPr>
              <w:t>减少与消除事故影响措施</w:t>
            </w:r>
          </w:p>
        </w:tc>
        <w:tc>
          <w:tcPr>
            <w:tcW w:w="1965" w:type="dxa"/>
            <w:vAlign w:val="center"/>
          </w:tcPr>
          <w:p>
            <w:pPr>
              <w:pStyle w:val="71"/>
              <w:spacing w:before="0" w:after="0" w:line="300" w:lineRule="exact"/>
              <w:ind w:firstLine="0" w:firstLineChars="0"/>
              <w:rPr>
                <w:szCs w:val="21"/>
              </w:rPr>
            </w:pPr>
            <w:r>
              <w:rPr>
                <w:szCs w:val="21"/>
              </w:rPr>
              <w:t>防止事故蔓延设施</w:t>
            </w:r>
          </w:p>
        </w:tc>
        <w:tc>
          <w:tcPr>
            <w:tcW w:w="5670" w:type="dxa"/>
            <w:vAlign w:val="center"/>
          </w:tcPr>
          <w:p>
            <w:pPr>
              <w:pStyle w:val="71"/>
              <w:spacing w:before="0" w:after="0" w:line="300" w:lineRule="exact"/>
              <w:ind w:firstLine="0" w:firstLineChars="0"/>
              <w:jc w:val="both"/>
              <w:rPr>
                <w:szCs w:val="21"/>
              </w:rPr>
            </w:pPr>
            <w:r>
              <w:rPr>
                <w:rFonts w:hint="eastAsia"/>
                <w:szCs w:val="21"/>
              </w:rPr>
              <w:t>公司在厂区设有安全通道，并设置事故应急救援疏散标志。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22" w:type="dxa"/>
            <w:vMerge w:val="continue"/>
            <w:vAlign w:val="center"/>
          </w:tcPr>
          <w:p>
            <w:pPr>
              <w:pStyle w:val="71"/>
              <w:spacing w:before="0" w:after="0" w:line="300" w:lineRule="exact"/>
              <w:ind w:firstLine="0" w:firstLineChars="0"/>
              <w:rPr>
                <w:szCs w:val="21"/>
              </w:rPr>
            </w:pPr>
          </w:p>
        </w:tc>
        <w:tc>
          <w:tcPr>
            <w:tcW w:w="915" w:type="dxa"/>
            <w:vMerge w:val="continue"/>
            <w:vAlign w:val="center"/>
          </w:tcPr>
          <w:p>
            <w:pPr>
              <w:pStyle w:val="71"/>
              <w:spacing w:before="0" w:after="0" w:line="300" w:lineRule="exact"/>
              <w:ind w:firstLine="0" w:firstLineChars="0"/>
              <w:rPr>
                <w:szCs w:val="21"/>
              </w:rPr>
            </w:pPr>
          </w:p>
        </w:tc>
        <w:tc>
          <w:tcPr>
            <w:tcW w:w="1965" w:type="dxa"/>
            <w:vAlign w:val="center"/>
          </w:tcPr>
          <w:p>
            <w:pPr>
              <w:pStyle w:val="71"/>
              <w:spacing w:before="0" w:after="0" w:line="300" w:lineRule="exact"/>
              <w:ind w:firstLine="0" w:firstLineChars="0"/>
              <w:rPr>
                <w:szCs w:val="21"/>
              </w:rPr>
            </w:pPr>
            <w:r>
              <w:rPr>
                <w:szCs w:val="21"/>
              </w:rPr>
              <w:t>灭火设施</w:t>
            </w:r>
          </w:p>
        </w:tc>
        <w:tc>
          <w:tcPr>
            <w:tcW w:w="5670" w:type="dxa"/>
            <w:vAlign w:val="center"/>
          </w:tcPr>
          <w:p>
            <w:pPr>
              <w:pStyle w:val="71"/>
              <w:spacing w:before="0" w:after="0" w:line="300" w:lineRule="exact"/>
              <w:ind w:firstLine="0" w:firstLineChars="0"/>
              <w:jc w:val="both"/>
              <w:rPr>
                <w:szCs w:val="21"/>
              </w:rPr>
            </w:pPr>
            <w:r>
              <w:rPr>
                <w:rFonts w:hint="eastAsia"/>
                <w:szCs w:val="21"/>
              </w:rPr>
              <w:t>硫酸生产区设置80具灭火器、23个室内外消防栓。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522" w:type="dxa"/>
            <w:vMerge w:val="continue"/>
            <w:vAlign w:val="center"/>
          </w:tcPr>
          <w:p>
            <w:pPr>
              <w:pStyle w:val="71"/>
              <w:spacing w:before="0" w:after="0" w:line="300" w:lineRule="exact"/>
              <w:ind w:firstLine="0" w:firstLineChars="0"/>
              <w:rPr>
                <w:szCs w:val="21"/>
              </w:rPr>
            </w:pPr>
          </w:p>
        </w:tc>
        <w:tc>
          <w:tcPr>
            <w:tcW w:w="915" w:type="dxa"/>
            <w:vMerge w:val="continue"/>
            <w:vAlign w:val="center"/>
          </w:tcPr>
          <w:p>
            <w:pPr>
              <w:pStyle w:val="71"/>
              <w:spacing w:before="0" w:after="0" w:line="300" w:lineRule="exact"/>
              <w:ind w:firstLine="0" w:firstLineChars="0"/>
              <w:rPr>
                <w:szCs w:val="21"/>
              </w:rPr>
            </w:pPr>
          </w:p>
        </w:tc>
        <w:tc>
          <w:tcPr>
            <w:tcW w:w="1965" w:type="dxa"/>
            <w:vAlign w:val="center"/>
          </w:tcPr>
          <w:p>
            <w:pPr>
              <w:pStyle w:val="71"/>
              <w:spacing w:before="0" w:after="0" w:line="300" w:lineRule="exact"/>
              <w:ind w:firstLine="0" w:firstLineChars="0"/>
              <w:rPr>
                <w:szCs w:val="21"/>
              </w:rPr>
            </w:pPr>
            <w:r>
              <w:rPr>
                <w:szCs w:val="21"/>
              </w:rPr>
              <w:t>劳动防护用品和装备</w:t>
            </w:r>
          </w:p>
        </w:tc>
        <w:tc>
          <w:tcPr>
            <w:tcW w:w="5670" w:type="dxa"/>
            <w:vAlign w:val="center"/>
          </w:tcPr>
          <w:p>
            <w:pPr>
              <w:pStyle w:val="71"/>
              <w:spacing w:before="0" w:after="0" w:line="300" w:lineRule="exact"/>
              <w:ind w:firstLine="0" w:firstLineChars="0"/>
              <w:jc w:val="both"/>
              <w:rPr>
                <w:szCs w:val="21"/>
              </w:rPr>
            </w:pPr>
            <w:r>
              <w:rPr>
                <w:szCs w:val="21"/>
              </w:rPr>
              <w:t>为从业人员发放</w:t>
            </w:r>
            <w:r>
              <w:rPr>
                <w:rFonts w:hint="eastAsia"/>
                <w:szCs w:val="21"/>
              </w:rPr>
              <w:t>作服、口罩</w:t>
            </w:r>
            <w:r>
              <w:rPr>
                <w:szCs w:val="21"/>
              </w:rPr>
              <w:t>、耐酸碱手套</w:t>
            </w:r>
            <w:r>
              <w:rPr>
                <w:rFonts w:hint="eastAsia"/>
                <w:szCs w:val="21"/>
              </w:rPr>
              <w:t>、耐酸碱鞋</w:t>
            </w:r>
            <w:r>
              <w:rPr>
                <w:szCs w:val="21"/>
              </w:rPr>
              <w:t>等劳动防护用品并配备</w:t>
            </w:r>
            <w:r>
              <w:rPr>
                <w:rFonts w:hint="eastAsia"/>
                <w:szCs w:val="21"/>
              </w:rPr>
              <w:t>1个事故柜</w:t>
            </w:r>
            <w:r>
              <w:rPr>
                <w:szCs w:val="21"/>
              </w:rPr>
              <w:t>。</w:t>
            </w:r>
          </w:p>
        </w:tc>
      </w:tr>
    </w:tbl>
    <w:p>
      <w:pPr>
        <w:keepNext/>
        <w:keepLines/>
        <w:ind w:firstLine="0" w:firstLineChars="0"/>
      </w:pPr>
      <w:bookmarkStart w:id="970" w:name="_Toc1702"/>
      <w:bookmarkStart w:id="971" w:name="_Toc17743"/>
      <w:bookmarkStart w:id="972" w:name="_Toc26180"/>
      <w:bookmarkStart w:id="973" w:name="_Toc8660"/>
      <w:bookmarkStart w:id="974" w:name="_Toc14946"/>
      <w:bookmarkStart w:id="975" w:name="_Toc6790"/>
      <w:bookmarkStart w:id="976" w:name="_Toc118297918"/>
      <w:bookmarkStart w:id="977" w:name="_Toc22300"/>
      <w:bookmarkStart w:id="978" w:name="_Toc18469"/>
      <w:bookmarkStart w:id="979" w:name="_Toc28772"/>
      <w:bookmarkStart w:id="980" w:name="_Toc18745"/>
      <w:bookmarkStart w:id="981" w:name="_Toc4316"/>
      <w:bookmarkStart w:id="982" w:name="_Toc25841"/>
      <w:bookmarkStart w:id="983" w:name="_Toc13987"/>
      <w:bookmarkStart w:id="984" w:name="_Toc822"/>
      <w:bookmarkStart w:id="985" w:name="_Toc22624"/>
      <w:bookmarkStart w:id="986" w:name="_Toc31761"/>
    </w:p>
    <w:p>
      <w:pPr>
        <w:pStyle w:val="3"/>
        <w:keepNext w:val="0"/>
        <w:keepLines w:val="0"/>
        <w:ind w:firstLine="562"/>
        <w:rPr>
          <w:rFonts w:ascii="黑体" w:hAnsi="黑体" w:eastAsia="黑体" w:cs="黑体"/>
          <w:color w:val="000000" w:themeColor="text1"/>
        </w:rPr>
      </w:pPr>
      <w:bookmarkStart w:id="987" w:name="_Toc20698"/>
      <w:bookmarkStart w:id="988" w:name="_Toc6946"/>
      <w:bookmarkStart w:id="989" w:name="_Toc22392"/>
      <w:bookmarkStart w:id="990" w:name="_Toc24340"/>
      <w:bookmarkStart w:id="991" w:name="_Toc26649"/>
      <w:bookmarkStart w:id="992" w:name="_Toc18050"/>
      <w:bookmarkStart w:id="993" w:name="_Toc19889"/>
      <w:bookmarkStart w:id="994" w:name="_Toc3292"/>
      <w:bookmarkStart w:id="995" w:name="_Toc17789"/>
      <w:bookmarkStart w:id="996" w:name="_Toc25064"/>
      <w:bookmarkStart w:id="997" w:name="_Toc22689"/>
      <w:bookmarkStart w:id="998" w:name="_Toc27631"/>
      <w:bookmarkStart w:id="999" w:name="_Toc11836"/>
      <w:bookmarkStart w:id="1000" w:name="_Toc7474"/>
      <w:bookmarkStart w:id="1001" w:name="_Toc10634"/>
      <w:bookmarkStart w:id="1002" w:name="_Toc29483"/>
      <w:r>
        <w:rPr>
          <w:rFonts w:hint="eastAsia" w:ascii="黑体" w:hAnsi="黑体" w:eastAsia="黑体" w:cs="黑体"/>
          <w:color w:val="000000" w:themeColor="text1"/>
        </w:rPr>
        <w:t>2.10 安全管理</w:t>
      </w:r>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p>
    <w:p>
      <w:pPr>
        <w:ind w:firstLine="562"/>
        <w:outlineLvl w:val="2"/>
        <w:rPr>
          <w:b/>
          <w:bCs/>
        </w:rPr>
      </w:pPr>
      <w:bookmarkStart w:id="1003" w:name="_Toc11392"/>
      <w:bookmarkStart w:id="1004" w:name="_Toc3709"/>
      <w:bookmarkStart w:id="1005" w:name="_Toc11629"/>
      <w:bookmarkStart w:id="1006" w:name="_Toc21336"/>
      <w:bookmarkStart w:id="1007" w:name="_Toc14508"/>
      <w:bookmarkStart w:id="1008" w:name="_Toc13799"/>
      <w:bookmarkStart w:id="1009" w:name="_Toc32540"/>
      <w:bookmarkStart w:id="1010" w:name="_Toc3328"/>
      <w:bookmarkStart w:id="1011" w:name="_Toc5412"/>
      <w:bookmarkStart w:id="1012" w:name="_Toc27138"/>
      <w:bookmarkStart w:id="1013" w:name="_Toc20625"/>
      <w:bookmarkStart w:id="1014" w:name="_Toc195"/>
      <w:bookmarkStart w:id="1015" w:name="_Toc24128"/>
      <w:bookmarkStart w:id="1016" w:name="_Toc24314"/>
      <w:bookmarkStart w:id="1017" w:name="_Toc29001"/>
      <w:bookmarkStart w:id="1018" w:name="_Toc19637"/>
      <w:bookmarkStart w:id="1019" w:name="_Toc8686"/>
      <w:bookmarkStart w:id="1020" w:name="_Toc17877"/>
      <w:bookmarkStart w:id="1021" w:name="_Toc27029"/>
      <w:bookmarkStart w:id="1022" w:name="_Toc29268"/>
      <w:bookmarkStart w:id="1023" w:name="_Toc118297919"/>
      <w:bookmarkStart w:id="1024" w:name="_Toc8118"/>
      <w:r>
        <w:rPr>
          <w:rFonts w:hint="eastAsia"/>
          <w:b/>
          <w:bCs/>
        </w:rPr>
        <w:t>2.10.1 安全管理机构</w:t>
      </w:r>
      <w:bookmarkEnd w:id="795"/>
      <w:bookmarkEnd w:id="796"/>
      <w:bookmarkEnd w:id="797"/>
      <w:bookmarkEnd w:id="798"/>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p>
    <w:p>
      <w:pPr>
        <w:ind w:firstLine="560"/>
      </w:pPr>
      <w:r>
        <w:rPr>
          <w:rFonts w:hint="eastAsia"/>
        </w:rPr>
        <w:t>跃进化工现有职工95人，年工作200</w:t>
      </w:r>
      <w:r>
        <w:rPr>
          <w:rFonts w:hint="eastAsia"/>
          <w:lang w:val="en-US" w:eastAsia="zh-CN"/>
        </w:rPr>
        <w:t>d</w:t>
      </w:r>
      <w:r>
        <w:rPr>
          <w:rFonts w:hint="eastAsia"/>
        </w:rPr>
        <w:t>，三班</w:t>
      </w:r>
      <w:r>
        <w:rPr>
          <w:rFonts w:hint="eastAsia"/>
          <w:lang w:val="en-US" w:eastAsia="zh-CN"/>
        </w:rPr>
        <w:t>三倒</w:t>
      </w:r>
      <w:r>
        <w:rPr>
          <w:rFonts w:hint="eastAsia"/>
        </w:rPr>
        <w:t>制、每班工作8小时。</w:t>
      </w:r>
      <w:r>
        <w:rPr>
          <w:rFonts w:hint="eastAsia"/>
          <w:color w:val="000000" w:themeColor="text1"/>
        </w:rPr>
        <w:t>公司</w:t>
      </w:r>
      <w:r>
        <w:rPr>
          <w:rFonts w:hint="eastAsia"/>
        </w:rPr>
        <w:t>成立了安全生产委员会，总经理任组长，主要职责是负责公司内安全生产领导工作，对公司内的安全管理工作负责，是安全生产的第一责任人。公司安全管理网络图如图2.10－1所示。</w:t>
      </w:r>
      <w:r>
        <w:rPr>
          <w:rFonts w:hint="eastAsia"/>
          <w:color w:val="000000" w:themeColor="text1"/>
        </w:rPr>
        <w:t>关于成立</w:t>
      </w:r>
      <w:r>
        <w:rPr>
          <w:color w:val="000000" w:themeColor="text1"/>
        </w:rPr>
        <w:t>安全</w:t>
      </w:r>
      <w:r>
        <w:rPr>
          <w:rFonts w:hint="eastAsia"/>
          <w:color w:val="000000" w:themeColor="text1"/>
        </w:rPr>
        <w:t>生产委员会及任命专职安全员的通知详见报告</w:t>
      </w:r>
      <w:r>
        <w:rPr>
          <w:rFonts w:hint="eastAsia"/>
          <w:szCs w:val="28"/>
        </w:rPr>
        <w:t>F</w:t>
      </w:r>
      <w:r>
        <w:rPr>
          <w:rFonts w:hint="eastAsia"/>
          <w:color w:val="000000" w:themeColor="text1"/>
        </w:rPr>
        <w:t>6.14、6.15。</w:t>
      </w:r>
    </w:p>
    <w:p>
      <w:pPr>
        <w:pStyle w:val="16"/>
        <w:ind w:firstLine="0" w:firstLineChars="0"/>
        <w:jc w:val="center"/>
      </w:pPr>
      <w:bookmarkStart w:id="1025" w:name="_Toc90"/>
      <w:bookmarkStart w:id="1026" w:name="_Toc128056410"/>
      <w:bookmarkStart w:id="1027" w:name="_Toc12686"/>
      <w:bookmarkStart w:id="1028" w:name="_Toc25524"/>
      <w:r>
        <w:rPr>
          <w:rFonts w:hint="eastAsia"/>
        </w:rPr>
        <w:drawing>
          <wp:inline distT="0" distB="0" distL="114300" distR="114300">
            <wp:extent cx="3764280" cy="2740025"/>
            <wp:effectExtent l="0" t="0" r="7620" b="3175"/>
            <wp:docPr id="4" name="图片 4" descr="1709692285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09692285015"/>
                    <pic:cNvPicPr>
                      <a:picLocks noChangeAspect="1"/>
                    </pic:cNvPicPr>
                  </pic:nvPicPr>
                  <pic:blipFill>
                    <a:blip r:embed="rId32" cstate="print"/>
                    <a:stretch>
                      <a:fillRect/>
                    </a:stretch>
                  </pic:blipFill>
                  <pic:spPr>
                    <a:xfrm>
                      <a:off x="0" y="0"/>
                      <a:ext cx="3764280" cy="2740025"/>
                    </a:xfrm>
                    <a:prstGeom prst="rect">
                      <a:avLst/>
                    </a:prstGeom>
                  </pic:spPr>
                </pic:pic>
              </a:graphicData>
            </a:graphic>
          </wp:inline>
        </w:drawing>
      </w:r>
    </w:p>
    <w:p>
      <w:pPr>
        <w:ind w:firstLine="0" w:firstLineChars="0"/>
        <w:jc w:val="center"/>
        <w:rPr>
          <w:rFonts w:ascii="宋体" w:hAnsi="宋体" w:cs="宋体"/>
          <w:b/>
          <w:bCs/>
          <w:sz w:val="24"/>
        </w:rPr>
      </w:pPr>
      <w:r>
        <w:rPr>
          <w:rFonts w:hint="eastAsia" w:ascii="宋体" w:hAnsi="宋体" w:cs="宋体"/>
          <w:b/>
          <w:bCs/>
          <w:sz w:val="24"/>
        </w:rPr>
        <w:t>图2.10-1 安全管理网络图</w:t>
      </w:r>
    </w:p>
    <w:p>
      <w:pPr>
        <w:pStyle w:val="4"/>
        <w:keepNext w:val="0"/>
        <w:keepLines w:val="0"/>
        <w:ind w:firstLine="562"/>
      </w:pPr>
      <w:bookmarkStart w:id="1029" w:name="_Toc24890"/>
      <w:bookmarkStart w:id="1030" w:name="_Toc26151"/>
      <w:bookmarkStart w:id="1031" w:name="_Toc26409"/>
      <w:bookmarkStart w:id="1032" w:name="_Toc6540"/>
      <w:bookmarkStart w:id="1033" w:name="_Toc15771"/>
      <w:bookmarkStart w:id="1034" w:name="_Toc20153"/>
      <w:bookmarkStart w:id="1035" w:name="_Toc26443"/>
      <w:bookmarkStart w:id="1036" w:name="_Toc14985"/>
      <w:bookmarkStart w:id="1037" w:name="_Toc20191"/>
      <w:bookmarkStart w:id="1038" w:name="_Toc8873"/>
      <w:bookmarkStart w:id="1039" w:name="_Toc26253"/>
      <w:bookmarkStart w:id="1040" w:name="_Toc6534"/>
      <w:bookmarkStart w:id="1041" w:name="_Toc10561"/>
      <w:bookmarkStart w:id="1042" w:name="_Toc22363"/>
      <w:bookmarkStart w:id="1043" w:name="_Toc3145"/>
      <w:bookmarkStart w:id="1044" w:name="_Toc868"/>
      <w:bookmarkStart w:id="1045" w:name="_Toc14390"/>
      <w:bookmarkStart w:id="1046" w:name="_Toc15334"/>
      <w:bookmarkStart w:id="1047" w:name="_Toc24677"/>
      <w:bookmarkStart w:id="1048" w:name="_Toc2691"/>
      <w:bookmarkStart w:id="1049" w:name="_Toc3924"/>
      <w:bookmarkStart w:id="1050" w:name="_Toc4560"/>
      <w:r>
        <w:rPr>
          <w:rFonts w:hint="eastAsia"/>
        </w:rPr>
        <w:t>2.10.2 安全生产管理制度</w:t>
      </w:r>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p>
    <w:p>
      <w:pPr>
        <w:ind w:firstLine="560"/>
        <w:jc w:val="left"/>
        <w:rPr>
          <w:rFonts w:ascii="宋体" w:hAnsi="宋体" w:cs="宋体"/>
          <w:color w:val="000000" w:themeColor="text1"/>
          <w:szCs w:val="28"/>
        </w:rPr>
      </w:pPr>
      <w:r>
        <w:rPr>
          <w:rFonts w:hint="eastAsia"/>
          <w:color w:val="000000" w:themeColor="text1"/>
        </w:rPr>
        <w:t>（1）制度制定情况：跃进化工按国家相关法律、法规的要求，规范了企业的安全行为。按照安全标准化管理体系要求建立有5</w:t>
      </w:r>
      <w:r>
        <w:rPr>
          <w:rFonts w:hint="eastAsia"/>
          <w:color w:val="000000" w:themeColor="text1"/>
          <w:lang w:val="en-US" w:eastAsia="zh-CN"/>
        </w:rPr>
        <w:t>7</w:t>
      </w:r>
      <w:r>
        <w:rPr>
          <w:rFonts w:hint="eastAsia"/>
          <w:color w:val="000000" w:themeColor="text1"/>
        </w:rPr>
        <w:t>项安全生产管理制度和13项</w:t>
      </w:r>
      <w:r>
        <w:rPr>
          <w:rFonts w:hint="eastAsia" w:ascii="宋体" w:hAnsi="宋体" w:cs="宋体"/>
          <w:color w:val="000000" w:themeColor="text1"/>
          <w:szCs w:val="28"/>
        </w:rPr>
        <w:t>岗位安全操作规程</w:t>
      </w:r>
      <w:r>
        <w:rPr>
          <w:rFonts w:hint="eastAsia"/>
          <w:color w:val="000000" w:themeColor="text1"/>
        </w:rPr>
        <w:t>。详见</w:t>
      </w:r>
      <w:r>
        <w:rPr>
          <w:rFonts w:hint="eastAsia"/>
          <w:szCs w:val="28"/>
        </w:rPr>
        <w:t>报告F</w:t>
      </w:r>
      <w:r>
        <w:rPr>
          <w:rFonts w:hint="eastAsia"/>
          <w:color w:val="000000" w:themeColor="text1"/>
        </w:rPr>
        <w:t>6.25、6.27。</w:t>
      </w:r>
    </w:p>
    <w:p>
      <w:pPr>
        <w:ind w:firstLine="560"/>
        <w:rPr>
          <w:color w:val="000000" w:themeColor="text1"/>
        </w:rPr>
      </w:pPr>
      <w:r>
        <w:rPr>
          <w:rFonts w:hint="eastAsia"/>
          <w:color w:val="000000" w:themeColor="text1"/>
        </w:rPr>
        <w:t>（2）制度落实情况</w:t>
      </w:r>
    </w:p>
    <w:p>
      <w:pPr>
        <w:ind w:firstLine="560"/>
        <w:rPr>
          <w:color w:val="000000" w:themeColor="text1"/>
        </w:rPr>
      </w:pPr>
      <w:r>
        <w:rPr>
          <w:rFonts w:hint="eastAsia"/>
          <w:color w:val="000000" w:themeColor="text1"/>
        </w:rPr>
        <w:t>公司生产过程中，制定的各项安全生产管理制度及岗位安全操作规程执行较好，操作人员严格按岗位安全操作规程进行操作，各级各类人员及部门熟悉各自安全生产职责。</w:t>
      </w:r>
    </w:p>
    <w:p>
      <w:pPr>
        <w:pStyle w:val="4"/>
        <w:ind w:firstLine="562"/>
      </w:pPr>
      <w:bookmarkStart w:id="1051" w:name="_Toc31951"/>
      <w:bookmarkStart w:id="1052" w:name="_Toc12394"/>
      <w:bookmarkStart w:id="1053" w:name="_Toc21888"/>
      <w:bookmarkStart w:id="1054" w:name="_Toc23561"/>
      <w:bookmarkStart w:id="1055" w:name="_Toc23195"/>
      <w:bookmarkStart w:id="1056" w:name="_Toc16486"/>
      <w:bookmarkStart w:id="1057" w:name="_Toc4432"/>
      <w:bookmarkStart w:id="1058" w:name="_Toc29456"/>
      <w:bookmarkStart w:id="1059" w:name="_Toc20894"/>
      <w:bookmarkStart w:id="1060" w:name="_Toc18920"/>
      <w:bookmarkStart w:id="1061" w:name="_Toc10947"/>
      <w:bookmarkStart w:id="1062" w:name="_Toc20633"/>
      <w:bookmarkStart w:id="1063" w:name="_Toc23275"/>
      <w:bookmarkStart w:id="1064" w:name="_Toc5891"/>
      <w:bookmarkStart w:id="1065" w:name="_Toc16573"/>
      <w:bookmarkStart w:id="1066" w:name="_Toc31586"/>
      <w:bookmarkStart w:id="1067" w:name="_Toc6026"/>
      <w:bookmarkStart w:id="1068" w:name="_Toc15690"/>
      <w:bookmarkStart w:id="1069" w:name="_Toc18084"/>
      <w:bookmarkStart w:id="1070" w:name="_Toc14612"/>
      <w:bookmarkStart w:id="1071" w:name="_Toc5955"/>
      <w:bookmarkStart w:id="1072" w:name="_Toc6121"/>
      <w:bookmarkStart w:id="1073" w:name="_Toc118297921"/>
      <w:bookmarkStart w:id="1074" w:name="_Toc3620"/>
      <w:bookmarkStart w:id="1075" w:name="_Toc14450"/>
      <w:bookmarkStart w:id="1076" w:name="_Toc128056411"/>
      <w:bookmarkStart w:id="1077" w:name="_Toc27885"/>
      <w:r>
        <w:rPr>
          <w:rFonts w:hint="eastAsia"/>
        </w:rPr>
        <w:t>2.10.3 安全生产教育</w:t>
      </w:r>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p>
    <w:p>
      <w:pPr>
        <w:ind w:firstLine="560"/>
      </w:pPr>
      <w:r>
        <w:rPr>
          <w:rFonts w:hint="eastAsia"/>
        </w:rPr>
        <w:t>跃进化工制定了安全教育培训管理制度，规定了各部门安全教育职责，各级部门按照公司制度对员工进行相应培训，包括公司各级领导对员工进行经常性教育、坚持三级（公司、车间、班组）安全教育、定期教育、安全技术考核等内容。并规定新进人员及转岗人员均应进行相应的培训，并对培训人员进行考核，经考核合格后方能上岗作业</w:t>
      </w:r>
      <w:r>
        <w:rPr>
          <w:rFonts w:hint="eastAsia" w:ascii="宋体" w:hAnsi="宋体" w:cs="宋体"/>
          <w:color w:val="000000" w:themeColor="text1"/>
          <w:szCs w:val="28"/>
        </w:rPr>
        <w:t>，</w:t>
      </w:r>
      <w:r>
        <w:rPr>
          <w:rFonts w:hint="eastAsia"/>
          <w:color w:val="000000" w:themeColor="text1"/>
        </w:rPr>
        <w:t>详见</w:t>
      </w:r>
      <w:r>
        <w:rPr>
          <w:rFonts w:hint="eastAsia"/>
          <w:szCs w:val="28"/>
        </w:rPr>
        <w:t>报告F</w:t>
      </w:r>
      <w:r>
        <w:rPr>
          <w:rFonts w:hint="eastAsia"/>
          <w:color w:val="000000" w:themeColor="text1"/>
        </w:rPr>
        <w:t>6.38</w:t>
      </w:r>
      <w:r>
        <w:rPr>
          <w:rFonts w:hint="eastAsia"/>
        </w:rPr>
        <w:t>。</w:t>
      </w:r>
    </w:p>
    <w:bookmarkEnd w:id="1074"/>
    <w:bookmarkEnd w:id="1075"/>
    <w:bookmarkEnd w:id="1076"/>
    <w:bookmarkEnd w:id="1077"/>
    <w:p>
      <w:pPr>
        <w:pStyle w:val="4"/>
        <w:ind w:firstLine="562"/>
      </w:pPr>
      <w:bookmarkStart w:id="1078" w:name="_Toc27961"/>
      <w:bookmarkStart w:id="1079" w:name="_Toc29696"/>
      <w:bookmarkStart w:id="1080" w:name="_Toc18159"/>
      <w:bookmarkStart w:id="1081" w:name="_Toc10794"/>
      <w:bookmarkStart w:id="1082" w:name="_Toc26194"/>
      <w:bookmarkStart w:id="1083" w:name="_Toc17106"/>
      <w:bookmarkStart w:id="1084" w:name="_Toc8318"/>
      <w:bookmarkStart w:id="1085" w:name="_Toc29658"/>
      <w:bookmarkStart w:id="1086" w:name="_Toc23246"/>
      <w:bookmarkStart w:id="1087" w:name="_Toc237"/>
      <w:bookmarkStart w:id="1088" w:name="_Toc11791"/>
      <w:bookmarkStart w:id="1089" w:name="_Toc30033"/>
      <w:bookmarkStart w:id="1090" w:name="_Toc23457"/>
      <w:bookmarkStart w:id="1091" w:name="_Toc24578"/>
      <w:bookmarkStart w:id="1092" w:name="_Toc118297923"/>
      <w:bookmarkStart w:id="1093" w:name="_Toc6518"/>
      <w:bookmarkStart w:id="1094" w:name="_Toc16640"/>
      <w:bookmarkStart w:id="1095" w:name="_Toc29858"/>
      <w:bookmarkStart w:id="1096" w:name="_Toc2270"/>
      <w:bookmarkStart w:id="1097" w:name="_Toc6897"/>
      <w:bookmarkStart w:id="1098" w:name="_Toc16487"/>
      <w:bookmarkStart w:id="1099" w:name="_Toc27390"/>
      <w:bookmarkStart w:id="1100" w:name="_Toc23432"/>
      <w:r>
        <w:rPr>
          <w:rFonts w:hint="eastAsia"/>
        </w:rPr>
        <w:t>2.10.4 从业人员持证情况</w:t>
      </w:r>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p>
    <w:p>
      <w:pPr>
        <w:topLinePunct/>
        <w:ind w:firstLine="560"/>
        <w:rPr>
          <w:rFonts w:ascii="宋体" w:hAnsi="宋体"/>
          <w:color w:val="000000" w:themeColor="text1"/>
        </w:rPr>
      </w:pPr>
      <w:r>
        <w:rPr>
          <w:rFonts w:hint="eastAsia" w:ascii="宋体" w:hAnsi="宋体"/>
          <w:color w:val="000000" w:themeColor="text1"/>
        </w:rPr>
        <w:t>（1）主要负责人、安全生产管理人员培训</w:t>
      </w:r>
    </w:p>
    <w:p>
      <w:pPr>
        <w:topLinePunct/>
        <w:ind w:firstLine="560"/>
        <w:rPr>
          <w:rFonts w:ascii="宋体" w:hAnsi="宋体"/>
          <w:color w:val="000000" w:themeColor="text1"/>
        </w:rPr>
      </w:pPr>
      <w:r>
        <w:rPr>
          <w:rFonts w:hint="eastAsia" w:ascii="宋体" w:hAnsi="宋体"/>
          <w:color w:val="000000" w:themeColor="text1"/>
        </w:rPr>
        <w:t>公司主要负责人、安全生产管理人员均经过培训合格，持证上岗，相关证件详见</w:t>
      </w:r>
      <w:r>
        <w:rPr>
          <w:rFonts w:hint="eastAsia"/>
          <w:szCs w:val="28"/>
        </w:rPr>
        <w:t>报告F</w:t>
      </w:r>
      <w:r>
        <w:rPr>
          <w:rFonts w:hint="eastAsia" w:ascii="宋体" w:hAnsi="宋体"/>
          <w:color w:val="000000" w:themeColor="text1"/>
        </w:rPr>
        <w:t>6.10、6.11，其培训持证情况如下：</w:t>
      </w:r>
    </w:p>
    <w:p>
      <w:pPr>
        <w:pStyle w:val="92"/>
        <w:rPr>
          <w:sz w:val="24"/>
          <w:szCs w:val="24"/>
        </w:rPr>
      </w:pPr>
      <w:r>
        <w:rPr>
          <w:rFonts w:hint="eastAsia"/>
          <w:sz w:val="24"/>
          <w:szCs w:val="24"/>
        </w:rPr>
        <w:t>表2</w:t>
      </w:r>
      <w:r>
        <w:rPr>
          <w:sz w:val="24"/>
          <w:szCs w:val="24"/>
        </w:rPr>
        <w:t>.</w:t>
      </w:r>
      <w:r>
        <w:rPr>
          <w:rFonts w:hint="eastAsia"/>
          <w:sz w:val="24"/>
          <w:szCs w:val="24"/>
        </w:rPr>
        <w:t>10-3 主要负责人、安全生产管理人员培训情况一览表</w:t>
      </w:r>
    </w:p>
    <w:tbl>
      <w:tblPr>
        <w:tblStyle w:val="38"/>
        <w:tblW w:w="9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892"/>
        <w:gridCol w:w="1292"/>
        <w:gridCol w:w="2136"/>
        <w:gridCol w:w="2189"/>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序号</w:t>
            </w:r>
          </w:p>
        </w:tc>
        <w:tc>
          <w:tcPr>
            <w:tcW w:w="892"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姓  名</w:t>
            </w:r>
          </w:p>
        </w:tc>
        <w:tc>
          <w:tcPr>
            <w:tcW w:w="1292"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职  务</w:t>
            </w:r>
          </w:p>
        </w:tc>
        <w:tc>
          <w:tcPr>
            <w:tcW w:w="2136"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证  号</w:t>
            </w:r>
          </w:p>
        </w:tc>
        <w:tc>
          <w:tcPr>
            <w:tcW w:w="2189"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有 效 日 期</w:t>
            </w:r>
          </w:p>
        </w:tc>
        <w:tc>
          <w:tcPr>
            <w:tcW w:w="1897"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发 证 机 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13"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1</w:t>
            </w:r>
          </w:p>
        </w:tc>
        <w:tc>
          <w:tcPr>
            <w:tcW w:w="892"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杨春分</w:t>
            </w:r>
          </w:p>
        </w:tc>
        <w:tc>
          <w:tcPr>
            <w:tcW w:w="1292"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主要负责人</w:t>
            </w:r>
          </w:p>
        </w:tc>
        <w:tc>
          <w:tcPr>
            <w:tcW w:w="2136"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420500196102130037</w:t>
            </w:r>
          </w:p>
        </w:tc>
        <w:tc>
          <w:tcPr>
            <w:tcW w:w="2189"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2021年4月19日至2024年4月18日</w:t>
            </w:r>
          </w:p>
        </w:tc>
        <w:tc>
          <w:tcPr>
            <w:tcW w:w="1897"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大理白族自治州应急管理局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13"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000000" w:themeColor="text1"/>
                <w:sz w:val="21"/>
                <w:szCs w:val="21"/>
              </w:rPr>
              <w:t>2</w:t>
            </w:r>
          </w:p>
        </w:tc>
        <w:tc>
          <w:tcPr>
            <w:tcW w:w="892"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兰焕平</w:t>
            </w:r>
          </w:p>
        </w:tc>
        <w:tc>
          <w:tcPr>
            <w:tcW w:w="1292"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主要负责人</w:t>
            </w:r>
          </w:p>
        </w:tc>
        <w:tc>
          <w:tcPr>
            <w:tcW w:w="2136"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511026196605214717</w:t>
            </w:r>
          </w:p>
        </w:tc>
        <w:tc>
          <w:tcPr>
            <w:tcW w:w="2189"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2022年9月23日至2025年9月22日</w:t>
            </w:r>
          </w:p>
        </w:tc>
        <w:tc>
          <w:tcPr>
            <w:tcW w:w="1897"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大理白族自治州应急管理局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3</w:t>
            </w:r>
          </w:p>
        </w:tc>
        <w:tc>
          <w:tcPr>
            <w:tcW w:w="892"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李春梅</w:t>
            </w:r>
          </w:p>
        </w:tc>
        <w:tc>
          <w:tcPr>
            <w:tcW w:w="1292"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安全生产管理人员</w:t>
            </w:r>
          </w:p>
        </w:tc>
        <w:tc>
          <w:tcPr>
            <w:tcW w:w="2136"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532923198802190025</w:t>
            </w:r>
          </w:p>
        </w:tc>
        <w:tc>
          <w:tcPr>
            <w:tcW w:w="2189"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2022年9月23日至2025年9月22日</w:t>
            </w:r>
          </w:p>
        </w:tc>
        <w:tc>
          <w:tcPr>
            <w:tcW w:w="1897"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大理白族自治州应急管理局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4</w:t>
            </w:r>
          </w:p>
        </w:tc>
        <w:tc>
          <w:tcPr>
            <w:tcW w:w="892"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习庆波</w:t>
            </w:r>
          </w:p>
        </w:tc>
        <w:tc>
          <w:tcPr>
            <w:tcW w:w="1292"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安全生产管理人员</w:t>
            </w:r>
          </w:p>
        </w:tc>
        <w:tc>
          <w:tcPr>
            <w:tcW w:w="2136"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532923198310022117</w:t>
            </w:r>
          </w:p>
        </w:tc>
        <w:tc>
          <w:tcPr>
            <w:tcW w:w="2189"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2022年9月23日至2025年9月22日</w:t>
            </w:r>
          </w:p>
        </w:tc>
        <w:tc>
          <w:tcPr>
            <w:tcW w:w="1897" w:type="dxa"/>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大理白族自治州应急管理局</w:t>
            </w:r>
          </w:p>
        </w:tc>
      </w:tr>
    </w:tbl>
    <w:p>
      <w:pPr>
        <w:ind w:firstLine="560"/>
        <w:rPr>
          <w:color w:val="000000" w:themeColor="text1"/>
        </w:rPr>
      </w:pPr>
    </w:p>
    <w:p>
      <w:pPr>
        <w:ind w:firstLine="560"/>
        <w:rPr>
          <w:color w:val="000000" w:themeColor="text1"/>
        </w:rPr>
      </w:pPr>
      <w:r>
        <w:rPr>
          <w:rFonts w:hint="eastAsia"/>
          <w:color w:val="000000" w:themeColor="text1"/>
        </w:rPr>
        <w:t>（2）特种作业人员培训</w:t>
      </w:r>
    </w:p>
    <w:p>
      <w:pPr>
        <w:ind w:firstLine="560"/>
        <w:rPr>
          <w:rFonts w:ascii="宋体" w:hAnsi="宋体"/>
          <w:color w:val="000000" w:themeColor="text1"/>
        </w:rPr>
      </w:pPr>
      <w:r>
        <w:rPr>
          <w:rFonts w:hint="eastAsia"/>
          <w:color w:val="000000" w:themeColor="text1"/>
        </w:rPr>
        <w:t>公司特种作业人员经主管部门培训考试合格，相关证件详见</w:t>
      </w:r>
      <w:r>
        <w:rPr>
          <w:rFonts w:hint="eastAsia"/>
          <w:szCs w:val="28"/>
        </w:rPr>
        <w:t>报告F</w:t>
      </w:r>
      <w:r>
        <w:rPr>
          <w:rFonts w:hint="eastAsia"/>
          <w:color w:val="000000" w:themeColor="text1"/>
        </w:rPr>
        <w:t>6.12，其持证培训情况如下</w:t>
      </w:r>
      <w:r>
        <w:rPr>
          <w:rFonts w:hint="eastAsia" w:ascii="宋体" w:hAnsi="宋体"/>
          <w:color w:val="000000" w:themeColor="text1"/>
        </w:rPr>
        <w:t>：</w:t>
      </w:r>
    </w:p>
    <w:p>
      <w:pPr>
        <w:pStyle w:val="92"/>
        <w:rPr>
          <w:sz w:val="24"/>
          <w:szCs w:val="24"/>
        </w:rPr>
      </w:pPr>
      <w:r>
        <w:rPr>
          <w:rFonts w:hint="eastAsia"/>
          <w:sz w:val="24"/>
          <w:szCs w:val="24"/>
        </w:rPr>
        <w:t>表2</w:t>
      </w:r>
      <w:r>
        <w:rPr>
          <w:sz w:val="24"/>
          <w:szCs w:val="24"/>
        </w:rPr>
        <w:t>.</w:t>
      </w:r>
      <w:r>
        <w:rPr>
          <w:rFonts w:hint="eastAsia"/>
          <w:sz w:val="24"/>
          <w:szCs w:val="24"/>
        </w:rPr>
        <w:t>10-4 特种作业人员培训情况一览表</w:t>
      </w:r>
    </w:p>
    <w:tbl>
      <w:tblPr>
        <w:tblStyle w:val="38"/>
        <w:tblW w:w="5000" w:type="pct"/>
        <w:tblInd w:w="0" w:type="dxa"/>
        <w:tblLayout w:type="fixed"/>
        <w:tblCellMar>
          <w:top w:w="0" w:type="dxa"/>
          <w:left w:w="108" w:type="dxa"/>
          <w:bottom w:w="0" w:type="dxa"/>
          <w:right w:w="108" w:type="dxa"/>
        </w:tblCellMar>
      </w:tblPr>
      <w:tblGrid>
        <w:gridCol w:w="539"/>
        <w:gridCol w:w="883"/>
        <w:gridCol w:w="2223"/>
        <w:gridCol w:w="1988"/>
        <w:gridCol w:w="1321"/>
        <w:gridCol w:w="2334"/>
      </w:tblGrid>
      <w:tr>
        <w:tblPrEx>
          <w:tblCellMar>
            <w:top w:w="0" w:type="dxa"/>
            <w:left w:w="108" w:type="dxa"/>
            <w:bottom w:w="0" w:type="dxa"/>
            <w:right w:w="108" w:type="dxa"/>
          </w:tblCellMar>
        </w:tblPrEx>
        <w:trPr>
          <w:trHeight w:val="522" w:hRule="atLeast"/>
        </w:trPr>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b/>
                <w:bCs/>
                <w:color w:val="auto"/>
                <w:kern w:val="0"/>
                <w:sz w:val="21"/>
                <w:szCs w:val="21"/>
              </w:rPr>
            </w:pPr>
            <w:bookmarkStart w:id="1101" w:name="_Toc19414"/>
            <w:bookmarkStart w:id="1102" w:name="_Toc29361"/>
            <w:bookmarkStart w:id="1103" w:name="_Toc19366"/>
            <w:bookmarkStart w:id="1104" w:name="_Toc22047"/>
            <w:bookmarkStart w:id="1105" w:name="_Toc128056412"/>
            <w:bookmarkStart w:id="1106" w:name="_Toc13724"/>
            <w:bookmarkStart w:id="1107" w:name="_Toc12399"/>
            <w:bookmarkStart w:id="1108" w:name="_Toc8056"/>
            <w:bookmarkStart w:id="1109" w:name="_Toc14425"/>
            <w:bookmarkStart w:id="1110" w:name="_Toc22092"/>
            <w:r>
              <w:rPr>
                <w:rFonts w:hint="eastAsia" w:ascii="宋体" w:hAnsi="宋体" w:cs="宋体"/>
                <w:b/>
                <w:bCs/>
                <w:color w:val="auto"/>
                <w:kern w:val="0"/>
                <w:sz w:val="21"/>
                <w:szCs w:val="21"/>
              </w:rPr>
              <w:t>序号</w:t>
            </w:r>
          </w:p>
        </w:tc>
        <w:tc>
          <w:tcPr>
            <w:tcW w:w="475"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b/>
                <w:bCs/>
                <w:color w:val="auto"/>
                <w:kern w:val="0"/>
                <w:sz w:val="21"/>
                <w:szCs w:val="21"/>
              </w:rPr>
            </w:pPr>
            <w:r>
              <w:rPr>
                <w:rFonts w:hint="eastAsia" w:ascii="宋体" w:hAnsi="宋体" w:cs="宋体"/>
                <w:b/>
                <w:bCs/>
                <w:color w:val="auto"/>
                <w:kern w:val="0"/>
                <w:sz w:val="21"/>
                <w:szCs w:val="21"/>
              </w:rPr>
              <w:t>姓名</w:t>
            </w:r>
          </w:p>
        </w:tc>
        <w:tc>
          <w:tcPr>
            <w:tcW w:w="1196"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b/>
                <w:bCs/>
                <w:color w:val="auto"/>
                <w:kern w:val="0"/>
                <w:sz w:val="21"/>
                <w:szCs w:val="21"/>
              </w:rPr>
            </w:pPr>
            <w:r>
              <w:rPr>
                <w:rFonts w:hint="eastAsia" w:ascii="宋体" w:hAnsi="宋体" w:cs="宋体"/>
                <w:b/>
                <w:bCs/>
                <w:color w:val="auto"/>
                <w:kern w:val="0"/>
                <w:sz w:val="21"/>
                <w:szCs w:val="21"/>
              </w:rPr>
              <w:t>证书编号</w:t>
            </w:r>
          </w:p>
        </w:tc>
        <w:tc>
          <w:tcPr>
            <w:tcW w:w="1070"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b/>
                <w:bCs/>
                <w:color w:val="auto"/>
                <w:kern w:val="0"/>
                <w:sz w:val="21"/>
                <w:szCs w:val="21"/>
              </w:rPr>
            </w:pPr>
            <w:r>
              <w:rPr>
                <w:rFonts w:hint="eastAsia" w:ascii="宋体" w:hAnsi="宋体" w:cs="宋体"/>
                <w:b/>
                <w:bCs/>
                <w:color w:val="auto"/>
                <w:kern w:val="0"/>
                <w:sz w:val="21"/>
                <w:szCs w:val="21"/>
              </w:rPr>
              <w:t>证书类型</w:t>
            </w:r>
          </w:p>
        </w:tc>
        <w:tc>
          <w:tcPr>
            <w:tcW w:w="711"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b/>
                <w:bCs/>
                <w:color w:val="auto"/>
                <w:kern w:val="0"/>
                <w:sz w:val="21"/>
                <w:szCs w:val="21"/>
              </w:rPr>
            </w:pPr>
            <w:r>
              <w:rPr>
                <w:rFonts w:hint="eastAsia" w:ascii="宋体" w:hAnsi="宋体" w:cs="宋体"/>
                <w:b/>
                <w:bCs/>
                <w:color w:val="auto"/>
                <w:kern w:val="0"/>
                <w:sz w:val="21"/>
                <w:szCs w:val="21"/>
              </w:rPr>
              <w:t>有效期</w:t>
            </w:r>
          </w:p>
        </w:tc>
        <w:tc>
          <w:tcPr>
            <w:tcW w:w="1256"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b/>
                <w:bCs/>
                <w:color w:val="auto"/>
                <w:kern w:val="0"/>
                <w:sz w:val="21"/>
                <w:szCs w:val="21"/>
              </w:rPr>
            </w:pPr>
            <w:r>
              <w:rPr>
                <w:rFonts w:hint="eastAsia" w:ascii="宋体" w:hAnsi="宋体" w:cs="宋体"/>
                <w:b/>
                <w:bCs/>
                <w:color w:val="auto"/>
                <w:kern w:val="0"/>
                <w:sz w:val="21"/>
                <w:szCs w:val="21"/>
              </w:rPr>
              <w:t>发证机关</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蒙  彪</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T532922198709141513</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焊接与热切割</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2027.6.28</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大理白族自治州应急管理局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徐天华</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T533325196909131617</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焊接与热切割作业</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2027.6.28</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大理白族自治州应急管理局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3</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蒙  毅</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T532922198307061510</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焊接与热切割作业</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2028.10.07</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大理白族自治州应急管理局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4</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罗  伟</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T53292219840910151X</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焊接与热切割作业</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2028.10.07</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大理白族自治州应急管理局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徐天华</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T533325196909131617</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电工作业</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2025.11.03</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大理白族自治州应急管理局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6</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李朝文</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T532901198208022012</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电工作业</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2025.11.03</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大理白族自治州应急管理局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7</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苏畅雄</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T532922199604151517</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电工作业</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2028.8.22</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大理白族自治州应急管理局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8</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兰焕平</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T511026196605214717</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电工作业</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2027.7.27</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贵州省应急管理厅</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9</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李杨有</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T532927199507291317</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高处作业</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2028.7</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大理白族自治州应急管理局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10</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熊富强</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T532222199011291514</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高处作业</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2028.7</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大理白族自治州应急管理局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11</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李泽宏</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532932197112250731</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叉车、起重机司机操作证</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2025.5</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大理州市场监督管理局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12</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罗锦涛</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532922199208261511</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特种设备安全管理和作业人员证（G1)</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2025.4</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嵩明县市场监督管理局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13</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熊贵阳</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532922197061171513</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特种设备安全管理和作业人员证（G1)</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2025.7</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嵩明县市场监督管理局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14</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张键萍</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532922197602100346</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特种设备安全管理和作业人员证（G3)</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2025.7</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昆明市盘龙区市场监督管理局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15</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左远敏</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532922198908221727</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特种设备安全管理和作业人员证（G3)</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2025.6</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昆明市西山区市场监督管理局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16</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戴国燕</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532922197710111341</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特种设备安全管理和作业人员证（G3)</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2025.6</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昆明市盘龙区市场监督管理局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17</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蒙  建</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532922198512171591</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特种设备安全管理和作业人员证（G1)</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2027.2</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昆明市盘龙区市场监督管理局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18</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蒙志清</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532922198112081538</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特种设备安全管理和作业人员证（G1)</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2027.2</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昆明市盘龙区市场监督管理局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19</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蒙  忠</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532922197503111517</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特种设备安全管理和作业人员证（G1)</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2027.2</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昆明市盘龙区市场监督管理局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和  彪</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532931197703041310</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特种设备安全管理和作业人员证（G1)</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2025.4</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嵩明县市场监督管理局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21</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和  彪</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532931197703041310</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特种设备安全管理和作业人员证（G2)</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2027.12</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临沧市市场监督管理局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22</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苏一军</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532922198911041516</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特种设备安全管理和作业人员证（G2)</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2027.12</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临沧市市场监督管理局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23</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熊贵阳</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532922197061171513</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特种设备安全管理和作业人员证（G2)</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2027.12</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临沧市市场监督管理局</w:t>
            </w:r>
          </w:p>
        </w:tc>
      </w:tr>
      <w:tr>
        <w:tblPrEx>
          <w:tblCellMar>
            <w:top w:w="0" w:type="dxa"/>
            <w:left w:w="108" w:type="dxa"/>
            <w:bottom w:w="0" w:type="dxa"/>
            <w:right w:w="108" w:type="dxa"/>
          </w:tblCellMar>
        </w:tblPrEx>
        <w:trPr>
          <w:trHeight w:val="522" w:hRule="atLeast"/>
        </w:trPr>
        <w:tc>
          <w:tcPr>
            <w:tcW w:w="29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24</w:t>
            </w:r>
          </w:p>
        </w:tc>
        <w:tc>
          <w:tcPr>
            <w:tcW w:w="475"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罗忠平</w:t>
            </w:r>
          </w:p>
        </w:tc>
        <w:tc>
          <w:tcPr>
            <w:tcW w:w="119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532922197912041513</w:t>
            </w:r>
          </w:p>
        </w:tc>
        <w:tc>
          <w:tcPr>
            <w:tcW w:w="1070"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特种设备安全管理和作业人员证（G2)</w:t>
            </w:r>
          </w:p>
        </w:tc>
        <w:tc>
          <w:tcPr>
            <w:tcW w:w="711"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2027.12</w:t>
            </w:r>
          </w:p>
        </w:tc>
        <w:tc>
          <w:tcPr>
            <w:tcW w:w="1256" w:type="pct"/>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临沧市市场监督管理局</w:t>
            </w:r>
          </w:p>
        </w:tc>
      </w:tr>
    </w:tbl>
    <w:p>
      <w:pPr>
        <w:pStyle w:val="16"/>
        <w:ind w:firstLine="560"/>
      </w:pPr>
    </w:p>
    <w:p>
      <w:pPr>
        <w:pStyle w:val="4"/>
        <w:ind w:firstLine="562"/>
      </w:pPr>
      <w:bookmarkStart w:id="1111" w:name="_Toc7597"/>
      <w:bookmarkStart w:id="1112" w:name="_Toc26230"/>
      <w:bookmarkStart w:id="1113" w:name="_Toc4112"/>
      <w:bookmarkStart w:id="1114" w:name="_Toc20601"/>
      <w:bookmarkStart w:id="1115" w:name="_Toc30165"/>
      <w:bookmarkStart w:id="1116" w:name="_Toc24083"/>
      <w:bookmarkStart w:id="1117" w:name="_Toc15642"/>
      <w:bookmarkStart w:id="1118" w:name="_Toc7855"/>
      <w:bookmarkStart w:id="1119" w:name="_Toc486"/>
      <w:bookmarkStart w:id="1120" w:name="_Toc23592"/>
      <w:bookmarkStart w:id="1121" w:name="_Toc24166"/>
      <w:bookmarkStart w:id="1122" w:name="_Toc27810"/>
      <w:bookmarkStart w:id="1123" w:name="_Toc21404"/>
      <w:bookmarkStart w:id="1124" w:name="_Toc2337"/>
      <w:bookmarkStart w:id="1125" w:name="_Toc19066"/>
      <w:bookmarkStart w:id="1126" w:name="_Toc1161"/>
      <w:r>
        <w:t>2.</w:t>
      </w:r>
      <w:r>
        <w:rPr>
          <w:rFonts w:hint="eastAsia"/>
        </w:rPr>
        <w:t>10</w:t>
      </w:r>
      <w:r>
        <w:t>.</w:t>
      </w:r>
      <w:r>
        <w:rPr>
          <w:rFonts w:hint="eastAsia"/>
        </w:rPr>
        <w:t>5 事故应急救援预案</w:t>
      </w:r>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p>
    <w:p>
      <w:pPr>
        <w:topLinePunct/>
        <w:spacing w:line="372" w:lineRule="auto"/>
        <w:ind w:firstLine="560"/>
        <w:rPr>
          <w:rFonts w:ascii="宋体" w:hAnsi="宋体"/>
          <w:color w:val="000000" w:themeColor="text1"/>
        </w:rPr>
      </w:pPr>
      <w:r>
        <w:rPr>
          <w:rFonts w:hint="eastAsia" w:ascii="宋体" w:hAnsi="宋体"/>
          <w:color w:val="000000" w:themeColor="text1"/>
        </w:rPr>
        <w:t>（1）应急预案编制情况</w:t>
      </w:r>
    </w:p>
    <w:p>
      <w:pPr>
        <w:ind w:firstLine="560"/>
        <w:rPr>
          <w:color w:val="000000" w:themeColor="text1"/>
        </w:rPr>
      </w:pPr>
      <w:r>
        <w:rPr>
          <w:rFonts w:hint="eastAsia"/>
          <w:color w:val="000000" w:themeColor="text1"/>
        </w:rPr>
        <w:t>公司于2</w:t>
      </w:r>
      <w:r>
        <w:rPr>
          <w:color w:val="000000" w:themeColor="text1"/>
        </w:rPr>
        <w:t>0</w:t>
      </w:r>
      <w:r>
        <w:rPr>
          <w:rFonts w:hint="eastAsia"/>
          <w:color w:val="000000" w:themeColor="text1"/>
        </w:rPr>
        <w:t>24年3月编制了</w:t>
      </w:r>
      <w:r>
        <w:rPr>
          <w:rFonts w:hint="eastAsia" w:ascii="宋体" w:hAnsi="宋体" w:cs="宋体"/>
          <w:szCs w:val="28"/>
        </w:rPr>
        <w:t>《漾濞县跃进化工有限责任公司生产安全事故应急预案》</w:t>
      </w:r>
      <w:r>
        <w:rPr>
          <w:rFonts w:hint="eastAsia"/>
          <w:color w:val="000000" w:themeColor="text1"/>
        </w:rPr>
        <w:t>，该预案主要包括综合应急预案、专项应急预案、现场处置方案、附件、生产安全事故风险评估、应急装备等内容。</w:t>
      </w:r>
    </w:p>
    <w:p>
      <w:pPr>
        <w:ind w:firstLine="560"/>
        <w:rPr>
          <w:color w:val="000000" w:themeColor="text1"/>
        </w:rPr>
      </w:pPr>
      <w:r>
        <w:rPr>
          <w:rFonts w:hint="eastAsia"/>
          <w:color w:val="000000" w:themeColor="text1"/>
        </w:rPr>
        <w:t>（2）应急预案备案、演练情况</w:t>
      </w:r>
    </w:p>
    <w:p>
      <w:pPr>
        <w:ind w:firstLine="560"/>
        <w:rPr>
          <w:color w:val="000000" w:themeColor="text1"/>
        </w:rPr>
      </w:pPr>
      <w:r>
        <w:rPr>
          <w:rFonts w:hint="eastAsia"/>
          <w:color w:val="000000" w:themeColor="text1"/>
        </w:rPr>
        <w:t>公司修订的</w:t>
      </w:r>
      <w:r>
        <w:rPr>
          <w:rFonts w:hint="eastAsia" w:ascii="宋体" w:hAnsi="宋体" w:cs="宋体"/>
          <w:szCs w:val="28"/>
        </w:rPr>
        <w:t>生产安全事故</w:t>
      </w:r>
      <w:r>
        <w:rPr>
          <w:rFonts w:hint="eastAsia"/>
          <w:color w:val="000000" w:themeColor="text1"/>
        </w:rPr>
        <w:t>应急预案于2024年3月20日在漾</w:t>
      </w:r>
      <w:r>
        <w:rPr>
          <w:rFonts w:hint="eastAsia" w:ascii="宋体" w:hAnsi="宋体"/>
          <w:color w:val="000000" w:themeColor="text1"/>
          <w:szCs w:val="20"/>
        </w:rPr>
        <w:t>濞彝族自治县</w:t>
      </w:r>
      <w:r>
        <w:rPr>
          <w:rFonts w:hint="eastAsia"/>
          <w:color w:val="000000" w:themeColor="text1"/>
        </w:rPr>
        <w:t>应急管理局进行备案，取得了应急预案备案登记表，备案编号： 5329222024005，备案表详见</w:t>
      </w:r>
      <w:r>
        <w:rPr>
          <w:rFonts w:hint="eastAsia"/>
          <w:szCs w:val="28"/>
        </w:rPr>
        <w:t>报告F</w:t>
      </w:r>
      <w:r>
        <w:rPr>
          <w:rFonts w:hint="eastAsia"/>
          <w:color w:val="000000" w:themeColor="text1"/>
        </w:rPr>
        <w:t>6.13；2</w:t>
      </w:r>
      <w:r>
        <w:rPr>
          <w:color w:val="000000" w:themeColor="text1"/>
        </w:rPr>
        <w:t>0</w:t>
      </w:r>
      <w:r>
        <w:rPr>
          <w:rFonts w:hint="eastAsia"/>
          <w:color w:val="000000" w:themeColor="text1"/>
        </w:rPr>
        <w:t>23年9月10日组织员工进行了应急演练，并提供了演练记录、演练照片等，详见</w:t>
      </w:r>
      <w:r>
        <w:rPr>
          <w:rFonts w:hint="eastAsia"/>
          <w:szCs w:val="28"/>
        </w:rPr>
        <w:t>报告F</w:t>
      </w:r>
      <w:r>
        <w:rPr>
          <w:rFonts w:hint="eastAsia"/>
          <w:color w:val="000000" w:themeColor="text1"/>
        </w:rPr>
        <w:t>6.39。</w:t>
      </w:r>
    </w:p>
    <w:p>
      <w:pPr>
        <w:pStyle w:val="4"/>
        <w:keepNext w:val="0"/>
        <w:keepLines w:val="0"/>
        <w:ind w:firstLine="562"/>
      </w:pPr>
      <w:bookmarkStart w:id="1127" w:name="_Toc2623"/>
      <w:bookmarkStart w:id="1128" w:name="_Toc14296"/>
      <w:bookmarkStart w:id="1129" w:name="_Toc7823"/>
      <w:bookmarkStart w:id="1130" w:name="_Toc19433"/>
      <w:bookmarkStart w:id="1131" w:name="_Toc27504"/>
      <w:bookmarkStart w:id="1132" w:name="_Toc128056413"/>
      <w:bookmarkStart w:id="1133" w:name="_Toc14259"/>
      <w:bookmarkStart w:id="1134" w:name="_Toc5531"/>
      <w:bookmarkStart w:id="1135" w:name="_Toc2230"/>
      <w:bookmarkStart w:id="1136" w:name="_Toc24381"/>
      <w:bookmarkStart w:id="1137" w:name="_Toc2990"/>
      <w:bookmarkStart w:id="1138" w:name="_Toc2251"/>
      <w:bookmarkStart w:id="1139" w:name="_Toc19672"/>
      <w:bookmarkStart w:id="1140" w:name="_Toc23511"/>
      <w:bookmarkStart w:id="1141" w:name="_Toc32227"/>
      <w:bookmarkStart w:id="1142" w:name="_Toc10664"/>
      <w:bookmarkStart w:id="1143" w:name="_Toc13796"/>
      <w:bookmarkStart w:id="1144" w:name="_Toc961"/>
      <w:bookmarkStart w:id="1145" w:name="_Toc8472"/>
      <w:bookmarkStart w:id="1146" w:name="_Toc29149"/>
      <w:bookmarkStart w:id="1147" w:name="_Toc14964"/>
      <w:bookmarkStart w:id="1148" w:name="_Toc9510"/>
      <w:bookmarkStart w:id="1149" w:name="_Toc9197"/>
      <w:bookmarkStart w:id="1150" w:name="_Toc14198"/>
      <w:bookmarkStart w:id="1151" w:name="_Toc13794"/>
      <w:bookmarkStart w:id="1152" w:name="_Toc5299"/>
      <w:r>
        <w:t>2.</w:t>
      </w:r>
      <w:r>
        <w:rPr>
          <w:rFonts w:hint="eastAsia"/>
        </w:rPr>
        <w:t>10</w:t>
      </w:r>
      <w:r>
        <w:t>.</w:t>
      </w:r>
      <w:r>
        <w:rPr>
          <w:rFonts w:hint="eastAsia"/>
        </w:rPr>
        <w:t>6 劳动防护用品配置</w:t>
      </w:r>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p>
    <w:p>
      <w:pPr>
        <w:topLinePunct/>
        <w:ind w:firstLine="560"/>
        <w:rPr>
          <w:rFonts w:ascii="宋体" w:hAnsi="宋体"/>
          <w:color w:val="000000" w:themeColor="text1"/>
        </w:rPr>
      </w:pPr>
      <w:r>
        <w:rPr>
          <w:rFonts w:hint="eastAsia"/>
        </w:rPr>
        <w:t>跃进</w:t>
      </w:r>
      <w:r>
        <w:rPr>
          <w:rFonts w:hint="eastAsia" w:ascii="宋体" w:hAnsi="宋体"/>
          <w:color w:val="000000" w:themeColor="text1"/>
        </w:rPr>
        <w:t>公司为员工配备了工作服、安全帽、手套、口罩等劳动防护用品，个人劳动防护用品发放记录，详见</w:t>
      </w:r>
      <w:r>
        <w:rPr>
          <w:rFonts w:hint="eastAsia"/>
          <w:szCs w:val="28"/>
        </w:rPr>
        <w:t>报告F</w:t>
      </w:r>
      <w:r>
        <w:rPr>
          <w:rFonts w:hint="eastAsia" w:ascii="宋体" w:hAnsi="宋体"/>
          <w:color w:val="000000" w:themeColor="text1"/>
        </w:rPr>
        <w:t>6.41。</w:t>
      </w:r>
    </w:p>
    <w:p>
      <w:pPr>
        <w:pStyle w:val="4"/>
        <w:ind w:firstLine="562"/>
      </w:pPr>
      <w:bookmarkStart w:id="1153" w:name="_Toc10859"/>
      <w:bookmarkStart w:id="1154" w:name="_Toc3946"/>
      <w:bookmarkStart w:id="1155" w:name="_Toc1332"/>
      <w:bookmarkStart w:id="1156" w:name="_Toc31941"/>
      <w:bookmarkStart w:id="1157" w:name="_Toc32092"/>
      <w:bookmarkStart w:id="1158" w:name="_Toc5308"/>
      <w:bookmarkStart w:id="1159" w:name="_Toc28222"/>
      <w:bookmarkStart w:id="1160" w:name="_Toc9658"/>
      <w:bookmarkStart w:id="1161" w:name="_Toc22632"/>
      <w:bookmarkStart w:id="1162" w:name="_Toc8406"/>
      <w:bookmarkStart w:id="1163" w:name="_Toc3643"/>
      <w:bookmarkStart w:id="1164" w:name="_Toc5985"/>
      <w:bookmarkStart w:id="1165" w:name="_Toc16212"/>
      <w:bookmarkStart w:id="1166" w:name="_Toc20670"/>
      <w:bookmarkStart w:id="1167" w:name="_Toc7982"/>
      <w:bookmarkStart w:id="1168" w:name="_Toc15347"/>
      <w:bookmarkStart w:id="1169" w:name="_Toc2763"/>
      <w:bookmarkStart w:id="1170" w:name="_Toc19779"/>
      <w:bookmarkStart w:id="1171" w:name="_Toc17648"/>
      <w:bookmarkStart w:id="1172" w:name="_Toc27409"/>
      <w:bookmarkStart w:id="1173" w:name="_Toc5"/>
      <w:bookmarkStart w:id="1174" w:name="_Toc20715"/>
      <w:r>
        <w:t>2.</w:t>
      </w:r>
      <w:r>
        <w:rPr>
          <w:rFonts w:hint="eastAsia"/>
        </w:rPr>
        <w:t>10</w:t>
      </w:r>
      <w:r>
        <w:t>.</w:t>
      </w:r>
      <w:r>
        <w:rPr>
          <w:rFonts w:hint="eastAsia"/>
        </w:rPr>
        <w:t>7 工伤保险购买情况</w:t>
      </w:r>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p>
    <w:p>
      <w:pPr>
        <w:ind w:firstLine="560"/>
      </w:pPr>
      <w:r>
        <w:rPr>
          <w:rFonts w:hint="eastAsia"/>
        </w:rPr>
        <w:t>跃进化工按照法律法规要求为员工购买了工伤保险和安全生产责任险，具体详见</w:t>
      </w:r>
      <w:r>
        <w:rPr>
          <w:rFonts w:hint="eastAsia"/>
          <w:szCs w:val="28"/>
        </w:rPr>
        <w:t>报告</w:t>
      </w:r>
      <w:r>
        <w:rPr>
          <w:rFonts w:hint="eastAsia"/>
        </w:rPr>
        <w:t>F6.16、6.17。</w:t>
      </w:r>
    </w:p>
    <w:p>
      <w:pPr>
        <w:pStyle w:val="3"/>
        <w:keepNext w:val="0"/>
        <w:keepLines w:val="0"/>
        <w:ind w:firstLine="562"/>
        <w:rPr>
          <w:rFonts w:ascii="黑体" w:hAnsi="黑体" w:eastAsia="黑体" w:cs="黑体"/>
          <w:color w:val="000000" w:themeColor="text1"/>
        </w:rPr>
      </w:pPr>
      <w:bookmarkStart w:id="1175" w:name="_Toc13326"/>
      <w:bookmarkStart w:id="1176" w:name="_Toc27930"/>
      <w:bookmarkStart w:id="1177" w:name="_Toc10805"/>
      <w:bookmarkStart w:id="1178" w:name="_Toc6892"/>
      <w:bookmarkStart w:id="1179" w:name="_Toc31335"/>
      <w:bookmarkStart w:id="1180" w:name="_Toc4449"/>
      <w:bookmarkStart w:id="1181" w:name="_Toc3086"/>
      <w:bookmarkStart w:id="1182" w:name="_Toc29153"/>
      <w:bookmarkStart w:id="1183" w:name="_Toc27165"/>
      <w:bookmarkStart w:id="1184" w:name="_Toc22350"/>
      <w:bookmarkStart w:id="1185" w:name="_Toc30154"/>
      <w:bookmarkStart w:id="1186" w:name="_Toc31223"/>
      <w:bookmarkStart w:id="1187" w:name="_Toc25457"/>
      <w:bookmarkStart w:id="1188" w:name="_Toc3431"/>
      <w:bookmarkStart w:id="1189" w:name="_Toc118297926"/>
      <w:bookmarkStart w:id="1190" w:name="_Toc17679"/>
      <w:bookmarkStart w:id="1191" w:name="_Toc29601"/>
      <w:bookmarkStart w:id="1192" w:name="_Toc19391"/>
      <w:bookmarkStart w:id="1193" w:name="_Toc4887"/>
      <w:bookmarkStart w:id="1194" w:name="_Toc24972"/>
      <w:bookmarkStart w:id="1195" w:name="_Toc28872"/>
      <w:bookmarkStart w:id="1196" w:name="_Toc1614"/>
      <w:bookmarkStart w:id="1197" w:name="_Toc21859"/>
      <w:bookmarkStart w:id="1198" w:name="_Toc9198"/>
      <w:bookmarkStart w:id="1199" w:name="_Toc3334"/>
      <w:bookmarkStart w:id="1200" w:name="_Toc8914"/>
      <w:bookmarkStart w:id="1201" w:name="_Toc27498"/>
      <w:bookmarkStart w:id="1202" w:name="_Toc24584"/>
      <w:bookmarkStart w:id="1203" w:name="_Toc15692"/>
      <w:bookmarkStart w:id="1204" w:name="_Toc1113"/>
      <w:bookmarkStart w:id="1205" w:name="_Toc19688"/>
      <w:bookmarkStart w:id="1206" w:name="_Toc21006"/>
      <w:bookmarkStart w:id="1207" w:name="_Toc15245"/>
      <w:r>
        <w:rPr>
          <w:rFonts w:hint="eastAsia" w:ascii="黑体" w:hAnsi="黑体" w:eastAsia="黑体" w:cs="黑体"/>
          <w:color w:val="000000" w:themeColor="text1"/>
        </w:rPr>
        <w:t>2.11 安全费用提取使用情况</w:t>
      </w:r>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p>
    <w:p>
      <w:pPr>
        <w:tabs>
          <w:tab w:val="left" w:pos="0"/>
        </w:tabs>
        <w:ind w:firstLine="560"/>
        <w:rPr>
          <w:color w:val="000000" w:themeColor="text1"/>
        </w:rPr>
      </w:pPr>
      <w:r>
        <w:rPr>
          <w:rFonts w:hint="eastAsia"/>
        </w:rPr>
        <w:t>跃进化工根据《企业安全生产费用提取和使用办法》（财政部、应急部财资〔2022〕136号）的要求进行了安全费用的提取，并按照要求保障安全费用的投入，公司2021年共计投入289061.5元，2022年共计投入977074元，2023年共计投入392665.03元, 主要用于完善、改造和维护安全防护设施设备；配备、维护、保养应急救援器材、设备支出和应急演练支出；开展重大危险源和事故隐患评估、监控和整改支出；安全生产检查、评价;配备和更新现场作业人员安全防护用品支出；安全生产宣传、教育、培训支出；安全生产适用的新工艺、新标准、新技术、新装备的推广应用支出；安全设施及特种设备检测检验支出；公司2021年至2023年安全生产投入费用明细详见</w:t>
      </w:r>
      <w:r>
        <w:rPr>
          <w:rFonts w:hint="eastAsia"/>
          <w:szCs w:val="28"/>
        </w:rPr>
        <w:t>报告F</w:t>
      </w:r>
      <w:r>
        <w:rPr>
          <w:rFonts w:hint="eastAsia"/>
        </w:rPr>
        <w:t>6.36。</w:t>
      </w:r>
    </w:p>
    <w:p>
      <w:pPr>
        <w:pStyle w:val="3"/>
        <w:keepNext w:val="0"/>
        <w:keepLines w:val="0"/>
        <w:ind w:firstLine="562"/>
        <w:rPr>
          <w:rFonts w:ascii="黑体" w:hAnsi="黑体" w:eastAsia="黑体" w:cs="黑体"/>
          <w:color w:val="000000" w:themeColor="text1"/>
        </w:rPr>
      </w:pPr>
      <w:bookmarkStart w:id="1208" w:name="_Toc31883"/>
      <w:bookmarkStart w:id="1209" w:name="_Toc17995"/>
      <w:bookmarkStart w:id="1210" w:name="_Toc2364"/>
      <w:bookmarkStart w:id="1211" w:name="_Toc13309"/>
      <w:bookmarkStart w:id="1212" w:name="_Toc10493"/>
      <w:bookmarkStart w:id="1213" w:name="_Toc23697"/>
      <w:bookmarkStart w:id="1214" w:name="_Toc20710"/>
      <w:bookmarkStart w:id="1215" w:name="_Toc32701"/>
      <w:bookmarkStart w:id="1216" w:name="_Toc12418"/>
      <w:bookmarkStart w:id="1217" w:name="_Toc12909"/>
      <w:bookmarkStart w:id="1218" w:name="_Toc128056414"/>
      <w:bookmarkStart w:id="1219" w:name="_Toc11220"/>
      <w:bookmarkStart w:id="1220" w:name="_Toc26960"/>
      <w:bookmarkStart w:id="1221" w:name="_Toc4383"/>
      <w:bookmarkStart w:id="1222" w:name="_Toc9429"/>
      <w:bookmarkStart w:id="1223" w:name="_Toc752"/>
      <w:bookmarkStart w:id="1224" w:name="_Toc14285"/>
      <w:bookmarkStart w:id="1225" w:name="_Toc22876"/>
      <w:bookmarkStart w:id="1226" w:name="_Toc20023"/>
      <w:bookmarkStart w:id="1227" w:name="_Toc29314"/>
      <w:bookmarkStart w:id="1228" w:name="_Toc12023"/>
      <w:bookmarkStart w:id="1229" w:name="_Toc16418"/>
      <w:bookmarkStart w:id="1230" w:name="_Toc1743"/>
      <w:bookmarkStart w:id="1231" w:name="_Toc27735"/>
      <w:bookmarkStart w:id="1232" w:name="_Toc6444"/>
      <w:bookmarkStart w:id="1233" w:name="_Toc3212"/>
      <w:bookmarkStart w:id="1234" w:name="_Toc23050"/>
      <w:bookmarkStart w:id="1235" w:name="_Toc138"/>
      <w:bookmarkStart w:id="1236" w:name="_Toc7995"/>
      <w:bookmarkStart w:id="1237" w:name="_Toc12187"/>
      <w:bookmarkStart w:id="1238" w:name="_Toc13258"/>
      <w:bookmarkStart w:id="1239" w:name="_Toc25254"/>
      <w:bookmarkStart w:id="1240" w:name="_Toc18695"/>
      <w:bookmarkStart w:id="1241" w:name="_Toc6622"/>
      <w:bookmarkStart w:id="1242" w:name="_Toc23691"/>
      <w:bookmarkStart w:id="1243" w:name="_Toc23822"/>
      <w:bookmarkStart w:id="1244" w:name="_Toc372033582"/>
      <w:bookmarkStart w:id="1245" w:name="_Toc510448394"/>
      <w:bookmarkStart w:id="1246" w:name="_Toc525367186"/>
      <w:bookmarkStart w:id="1247" w:name="_Toc343691108"/>
      <w:bookmarkStart w:id="1248" w:name="_Toc171873143"/>
      <w:bookmarkStart w:id="1249" w:name="_Toc200880701"/>
      <w:r>
        <w:rPr>
          <w:rFonts w:hint="eastAsia" w:ascii="黑体" w:hAnsi="黑体" w:eastAsia="黑体" w:cs="黑体"/>
          <w:color w:val="000000" w:themeColor="text1"/>
        </w:rPr>
        <w:t>2.12 四区分离设置和双重预防机制情况</w:t>
      </w:r>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p>
    <w:p>
      <w:pPr>
        <w:ind w:firstLine="560"/>
        <w:rPr>
          <w:color w:val="000000" w:themeColor="text1"/>
        </w:rPr>
      </w:pPr>
      <w:r>
        <w:rPr>
          <w:rFonts w:hint="eastAsia"/>
          <w:color w:val="000000" w:themeColor="text1"/>
        </w:rPr>
        <w:t>（1）跃进化工按照《云南省应急管理厅关于印发云南省危险化学品生产储存企业四区分离技术指导意见》(云应急〔2021〕4号）的要求，完成了漾濞县跃进化工有限责任公司“四区分离”工作，于2022年10月22日通过评审。详见</w:t>
      </w:r>
      <w:r>
        <w:rPr>
          <w:rFonts w:hint="eastAsia"/>
          <w:szCs w:val="28"/>
        </w:rPr>
        <w:t>报告F</w:t>
      </w:r>
      <w:r>
        <w:rPr>
          <w:rFonts w:hint="eastAsia"/>
          <w:color w:val="000000" w:themeColor="text1"/>
        </w:rPr>
        <w:t>6.18。</w:t>
      </w:r>
    </w:p>
    <w:p>
      <w:pPr>
        <w:ind w:firstLine="560"/>
        <w:rPr>
          <w:color w:val="000000" w:themeColor="text1"/>
        </w:rPr>
      </w:pPr>
      <w:r>
        <w:rPr>
          <w:rFonts w:hint="eastAsia"/>
          <w:color w:val="000000" w:themeColor="text1"/>
        </w:rPr>
        <w:t>（2）按照《云南省安全生产委员会关于建立完善安全风险分级管控和隐患排查治理双重预防机制的指导意见》（云安〔2021〕3号）的要求建立了双重预防控制体系。详见</w:t>
      </w:r>
      <w:r>
        <w:rPr>
          <w:rFonts w:hint="eastAsia"/>
          <w:szCs w:val="28"/>
        </w:rPr>
        <w:t>报告F</w:t>
      </w:r>
      <w:r>
        <w:rPr>
          <w:rFonts w:hint="eastAsia"/>
          <w:color w:val="000000" w:themeColor="text1"/>
        </w:rPr>
        <w:t>6.42。</w:t>
      </w:r>
    </w:p>
    <w:p>
      <w:pPr>
        <w:pStyle w:val="3"/>
        <w:keepNext w:val="0"/>
        <w:keepLines w:val="0"/>
        <w:ind w:firstLine="562"/>
        <w:rPr>
          <w:rFonts w:ascii="黑体" w:hAnsi="黑体" w:eastAsia="黑体" w:cs="黑体"/>
          <w:color w:val="000000" w:themeColor="text1"/>
        </w:rPr>
      </w:pPr>
      <w:bookmarkStart w:id="1250" w:name="_Toc19575"/>
      <w:bookmarkStart w:id="1251" w:name="_Toc32655"/>
      <w:bookmarkStart w:id="1252" w:name="_Toc6361"/>
      <w:bookmarkStart w:id="1253" w:name="_Toc29099"/>
      <w:bookmarkStart w:id="1254" w:name="_Toc29294"/>
      <w:bookmarkStart w:id="1255" w:name="_Toc30887"/>
      <w:bookmarkStart w:id="1256" w:name="_Toc3540"/>
      <w:bookmarkStart w:id="1257" w:name="_Toc29698"/>
      <w:bookmarkStart w:id="1258" w:name="_Toc16149"/>
      <w:bookmarkStart w:id="1259" w:name="_Toc25533"/>
      <w:bookmarkStart w:id="1260" w:name="_Toc21406"/>
      <w:bookmarkStart w:id="1261" w:name="_Toc26912"/>
      <w:bookmarkStart w:id="1262" w:name="_Toc5446"/>
      <w:bookmarkStart w:id="1263" w:name="_Toc28642"/>
      <w:bookmarkStart w:id="1264" w:name="_Toc25620"/>
      <w:bookmarkStart w:id="1265" w:name="_Toc25489"/>
      <w:bookmarkStart w:id="1266" w:name="_Toc24133"/>
      <w:bookmarkStart w:id="1267" w:name="_Toc1414"/>
      <w:bookmarkStart w:id="1268" w:name="_Toc15637"/>
      <w:bookmarkStart w:id="1269" w:name="_Toc2845"/>
      <w:bookmarkStart w:id="1270" w:name="_Toc6204"/>
      <w:bookmarkStart w:id="1271" w:name="_Toc21053"/>
      <w:bookmarkStart w:id="1272" w:name="_Toc15472"/>
      <w:bookmarkStart w:id="1273" w:name="_Toc26938"/>
      <w:bookmarkStart w:id="1274" w:name="_Toc12075"/>
      <w:bookmarkStart w:id="1275" w:name="_Toc0"/>
      <w:bookmarkStart w:id="1276" w:name="_Toc28651"/>
      <w:bookmarkStart w:id="1277" w:name="_Toc18747"/>
      <w:bookmarkStart w:id="1278" w:name="_Toc21018"/>
      <w:bookmarkStart w:id="1279" w:name="_Toc17140"/>
      <w:bookmarkStart w:id="1280" w:name="_Toc23032"/>
      <w:bookmarkStart w:id="1281" w:name="_Toc24328"/>
      <w:bookmarkStart w:id="1282" w:name="_Toc3632"/>
      <w:bookmarkStart w:id="1283" w:name="_Toc128056415"/>
      <w:bookmarkStart w:id="1284" w:name="_Toc29506"/>
      <w:bookmarkStart w:id="1285" w:name="_Toc23849"/>
      <w:r>
        <w:rPr>
          <w:rFonts w:hint="eastAsia" w:ascii="黑体" w:hAnsi="黑体" w:eastAsia="黑体" w:cs="黑体"/>
          <w:color w:val="000000" w:themeColor="text1"/>
        </w:rPr>
        <w:t>2.13 项目换证以来的安全运行情况及工艺变更情况</w:t>
      </w:r>
      <w:bookmarkEnd w:id="1244"/>
      <w:bookmarkEnd w:id="1245"/>
      <w:bookmarkEnd w:id="1246"/>
      <w:bookmarkEnd w:id="1247"/>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p>
    <w:p>
      <w:pPr>
        <w:pStyle w:val="4"/>
        <w:ind w:firstLine="562"/>
      </w:pPr>
      <w:bookmarkStart w:id="1286" w:name="_Toc2398"/>
      <w:bookmarkStart w:id="1287" w:name="_Toc14778"/>
      <w:bookmarkStart w:id="1288" w:name="_Toc6696"/>
      <w:bookmarkStart w:id="1289" w:name="_Toc20507"/>
      <w:bookmarkStart w:id="1290" w:name="_Toc15675"/>
      <w:bookmarkStart w:id="1291" w:name="_Toc18475"/>
      <w:bookmarkStart w:id="1292" w:name="_Toc128056416"/>
      <w:bookmarkStart w:id="1293" w:name="_Toc26269"/>
      <w:bookmarkStart w:id="1294" w:name="_Toc30712"/>
      <w:bookmarkStart w:id="1295" w:name="_Toc4771"/>
      <w:bookmarkStart w:id="1296" w:name="_Toc7338"/>
      <w:bookmarkStart w:id="1297" w:name="_Toc18857"/>
      <w:bookmarkStart w:id="1298" w:name="_Toc525367187"/>
      <w:bookmarkStart w:id="1299" w:name="_Toc11418"/>
      <w:bookmarkStart w:id="1300" w:name="_Toc11090"/>
      <w:bookmarkStart w:id="1301" w:name="_Toc510448395"/>
      <w:bookmarkStart w:id="1302" w:name="_Toc18177"/>
      <w:bookmarkStart w:id="1303" w:name="_Toc14207"/>
      <w:bookmarkStart w:id="1304" w:name="_Toc343691109"/>
      <w:bookmarkStart w:id="1305" w:name="_Toc372033583"/>
      <w:bookmarkStart w:id="1306" w:name="_Toc26760"/>
      <w:bookmarkStart w:id="1307" w:name="_Toc12017"/>
      <w:bookmarkStart w:id="1308" w:name="_Toc12196"/>
      <w:bookmarkStart w:id="1309" w:name="_Toc9123"/>
      <w:bookmarkStart w:id="1310" w:name="_Toc25565"/>
      <w:bookmarkStart w:id="1311" w:name="_Toc18023"/>
      <w:bookmarkStart w:id="1312" w:name="_Toc17597"/>
      <w:bookmarkStart w:id="1313" w:name="_Toc17832"/>
      <w:bookmarkStart w:id="1314" w:name="_Toc3171"/>
      <w:bookmarkStart w:id="1315" w:name="_Toc12520"/>
      <w:r>
        <w:rPr>
          <w:rFonts w:hint="eastAsia"/>
        </w:rPr>
        <w:t>2.13.1 项目换证以来的安全运行情况</w:t>
      </w:r>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p>
    <w:p>
      <w:pPr>
        <w:pStyle w:val="73"/>
        <w:ind w:firstLine="560"/>
        <w:rPr>
          <w:color w:val="000000" w:themeColor="text1"/>
        </w:rPr>
      </w:pPr>
      <w:r>
        <w:rPr>
          <w:rFonts w:hint="eastAsia" w:hAnsi="宋体"/>
          <w:color w:val="000000" w:themeColor="text1"/>
        </w:rPr>
        <w:t>被评价项目自2021年换取《安全生产许可证》</w:t>
      </w:r>
      <w:r>
        <w:rPr>
          <w:rFonts w:hint="eastAsia"/>
          <w:color w:val="000000" w:themeColor="text1"/>
        </w:rPr>
        <w:t>至评价基准日</w:t>
      </w:r>
      <w:r>
        <w:rPr>
          <w:rFonts w:hint="eastAsia" w:hAnsi="宋体"/>
          <w:color w:val="000000" w:themeColor="text1"/>
        </w:rPr>
        <w:t>以来，</w:t>
      </w:r>
      <w:r>
        <w:rPr>
          <w:rFonts w:hint="eastAsia"/>
          <w:color w:val="000000" w:themeColor="text1"/>
        </w:rPr>
        <w:t>跃进化工遵循安全生产管理方针，切实执行国家有关安全生产、职业病防治法律法规，加强班组安全生产及职业卫生工作的领导和管理；落实各级安全生产责任制，强化各自安全生产职责；开展形式多样的安全教育活动；认真开展隐患排查治理，确保公司生产安全稳定。未发生导致人员伤亡的安全生产事故。详见</w:t>
      </w:r>
      <w:r>
        <w:rPr>
          <w:rFonts w:hint="eastAsia"/>
          <w:szCs w:val="28"/>
        </w:rPr>
        <w:t>报告F</w:t>
      </w:r>
      <w:r>
        <w:rPr>
          <w:rFonts w:hint="eastAsia"/>
          <w:color w:val="000000" w:themeColor="text1"/>
        </w:rPr>
        <w:t>6.45。</w:t>
      </w:r>
    </w:p>
    <w:p>
      <w:pPr>
        <w:pStyle w:val="4"/>
        <w:ind w:firstLine="562"/>
      </w:pPr>
      <w:bookmarkStart w:id="1316" w:name="_Toc26693"/>
      <w:bookmarkStart w:id="1317" w:name="_Toc24667"/>
      <w:bookmarkStart w:id="1318" w:name="_Toc21582"/>
      <w:bookmarkStart w:id="1319" w:name="_Toc12144"/>
      <w:bookmarkStart w:id="1320" w:name="_Toc510448396"/>
      <w:bookmarkStart w:id="1321" w:name="_Toc1730"/>
      <w:bookmarkStart w:id="1322" w:name="_Toc9882"/>
      <w:bookmarkStart w:id="1323" w:name="_Toc20311"/>
      <w:bookmarkStart w:id="1324" w:name="_Toc23493"/>
      <w:bookmarkStart w:id="1325" w:name="_Toc4950"/>
      <w:bookmarkStart w:id="1326" w:name="_Toc23989"/>
      <w:bookmarkStart w:id="1327" w:name="_Toc789"/>
      <w:bookmarkStart w:id="1328" w:name="_Toc4559"/>
      <w:bookmarkStart w:id="1329" w:name="_Toc21391"/>
      <w:bookmarkStart w:id="1330" w:name="_Toc372033584"/>
      <w:bookmarkStart w:id="1331" w:name="_Toc32452"/>
      <w:bookmarkStart w:id="1332" w:name="_Toc32243"/>
      <w:bookmarkStart w:id="1333" w:name="_Toc14617"/>
      <w:bookmarkStart w:id="1334" w:name="_Toc8047"/>
      <w:bookmarkStart w:id="1335" w:name="_Toc343691110"/>
      <w:bookmarkStart w:id="1336" w:name="_Toc525367188"/>
      <w:bookmarkStart w:id="1337" w:name="_Toc128056417"/>
      <w:bookmarkStart w:id="1338" w:name="_Toc4619"/>
      <w:bookmarkStart w:id="1339" w:name="_Toc6499"/>
      <w:bookmarkStart w:id="1340" w:name="_Toc2371"/>
      <w:bookmarkStart w:id="1341" w:name="_Toc23744"/>
      <w:bookmarkStart w:id="1342" w:name="_Toc21655"/>
      <w:bookmarkStart w:id="1343" w:name="_Toc29105"/>
      <w:bookmarkStart w:id="1344" w:name="_Toc12072"/>
      <w:bookmarkStart w:id="1345" w:name="_Toc6012"/>
      <w:r>
        <w:rPr>
          <w:rFonts w:hint="eastAsia"/>
        </w:rPr>
        <w:t>2.13.2 项目换证以来的工艺装置变更情况</w:t>
      </w:r>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p>
    <w:p>
      <w:pPr>
        <w:ind w:firstLine="560"/>
        <w:rPr>
          <w:rFonts w:ascii="宋体" w:hAnsi="宋体" w:cs="宋体"/>
          <w:color w:val="000000" w:themeColor="text1"/>
        </w:rPr>
      </w:pPr>
      <w:r>
        <w:rPr>
          <w:rFonts w:hint="eastAsia" w:ascii="宋体" w:hAnsi="宋体" w:cs="宋体"/>
          <w:color w:val="000000" w:themeColor="text1"/>
        </w:rPr>
        <w:t>被评价项目自2021年换取《安全生产许可证》</w:t>
      </w:r>
      <w:r>
        <w:rPr>
          <w:rFonts w:hint="eastAsia"/>
          <w:color w:val="000000" w:themeColor="text1"/>
        </w:rPr>
        <w:t>至评价基准日</w:t>
      </w:r>
      <w:r>
        <w:rPr>
          <w:rFonts w:hint="eastAsia" w:ascii="宋体" w:hAnsi="宋体" w:cs="宋体"/>
          <w:color w:val="000000" w:themeColor="text1"/>
        </w:rPr>
        <w:t>以来，界区内生产工艺、生产规模均无变化，主要生产装置未发生变更，</w:t>
      </w:r>
      <w:r>
        <w:rPr>
          <w:rFonts w:hint="eastAsia"/>
          <w:color w:val="000000" w:themeColor="text1"/>
        </w:rPr>
        <w:t>详见</w:t>
      </w:r>
      <w:r>
        <w:rPr>
          <w:rFonts w:hint="eastAsia"/>
          <w:szCs w:val="28"/>
        </w:rPr>
        <w:t>报告F</w:t>
      </w:r>
      <w:r>
        <w:rPr>
          <w:rFonts w:hint="eastAsia"/>
          <w:color w:val="000000" w:themeColor="text1"/>
        </w:rPr>
        <w:t>6.45</w:t>
      </w:r>
      <w:r>
        <w:rPr>
          <w:rFonts w:hint="eastAsia" w:ascii="宋体" w:hAnsi="宋体" w:cs="宋体"/>
          <w:color w:val="000000" w:themeColor="text1"/>
        </w:rPr>
        <w:t>。</w:t>
      </w:r>
    </w:p>
    <w:p>
      <w:pPr>
        <w:pStyle w:val="4"/>
        <w:ind w:firstLine="562"/>
      </w:pPr>
      <w:bookmarkStart w:id="1346" w:name="_Toc3159"/>
      <w:bookmarkStart w:id="1347" w:name="_Toc19542"/>
      <w:bookmarkStart w:id="1348" w:name="_Toc9494"/>
      <w:bookmarkStart w:id="1349" w:name="_Toc19331"/>
      <w:bookmarkStart w:id="1350" w:name="_Toc13262"/>
      <w:bookmarkStart w:id="1351" w:name="_Toc11551"/>
      <w:bookmarkStart w:id="1352" w:name="_Toc525367189"/>
      <w:bookmarkStart w:id="1353" w:name="_Toc510448397"/>
      <w:bookmarkStart w:id="1354" w:name="_Toc9655"/>
      <w:bookmarkStart w:id="1355" w:name="_Toc27644"/>
      <w:bookmarkStart w:id="1356" w:name="_Toc19934"/>
      <w:bookmarkStart w:id="1357" w:name="_Toc19360"/>
      <w:bookmarkStart w:id="1358" w:name="_Toc1843"/>
      <w:bookmarkStart w:id="1359" w:name="_Toc29959"/>
      <w:bookmarkStart w:id="1360" w:name="_Toc12916"/>
      <w:bookmarkStart w:id="1361" w:name="_Toc9012"/>
      <w:bookmarkStart w:id="1362" w:name="_Toc30458"/>
      <w:bookmarkStart w:id="1363" w:name="_Toc23043"/>
      <w:bookmarkStart w:id="1364" w:name="_Toc128056418"/>
      <w:bookmarkStart w:id="1365" w:name="_Toc18415"/>
      <w:bookmarkStart w:id="1366" w:name="_Toc31552"/>
      <w:bookmarkStart w:id="1367" w:name="_Toc20725"/>
      <w:bookmarkStart w:id="1368" w:name="_Toc24984"/>
      <w:bookmarkStart w:id="1369" w:name="_Toc14002"/>
      <w:bookmarkStart w:id="1370" w:name="_Toc21005"/>
      <w:bookmarkStart w:id="1371" w:name="_Toc14393"/>
      <w:bookmarkStart w:id="1372" w:name="_Toc10454"/>
      <w:bookmarkStart w:id="1373" w:name="_Toc29473"/>
      <w:bookmarkStart w:id="1374" w:name="_Toc339283611"/>
      <w:bookmarkStart w:id="1375" w:name="_Toc343691111"/>
      <w:bookmarkStart w:id="1376" w:name="_Toc372033585"/>
      <w:r>
        <w:rPr>
          <w:rFonts w:hint="eastAsia"/>
        </w:rPr>
        <w:t>2.13.3 项目换证以来安全设施变更情况</w:t>
      </w:r>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p>
    <w:p>
      <w:pPr>
        <w:ind w:firstLine="560"/>
        <w:rPr>
          <w:color w:val="000000" w:themeColor="text1"/>
        </w:rPr>
      </w:pPr>
      <w:r>
        <w:rPr>
          <w:rFonts w:hint="eastAsia"/>
          <w:color w:val="000000" w:themeColor="text1"/>
        </w:rPr>
        <w:t>被评价项目自2021年换取《安全生产许可证》至评价基准日以来，企业严格落实各项安全管理制度，加强对安全设备设施的维护保养，对失效、破损的安全设施进行修复、更换，企业原有的安全设施没有拆除和停用，安全设施运行正常、可靠，未出现因安全设施失效导致生产安全事故的情况发生</w:t>
      </w:r>
      <w:r>
        <w:rPr>
          <w:rFonts w:hint="eastAsia" w:ascii="宋体" w:hAnsi="宋体" w:cs="宋体"/>
          <w:color w:val="000000" w:themeColor="text1"/>
        </w:rPr>
        <w:t>，</w:t>
      </w:r>
      <w:r>
        <w:rPr>
          <w:rFonts w:hint="eastAsia"/>
          <w:color w:val="000000" w:themeColor="text1"/>
        </w:rPr>
        <w:t>详见</w:t>
      </w:r>
      <w:r>
        <w:rPr>
          <w:rFonts w:hint="eastAsia"/>
          <w:szCs w:val="28"/>
        </w:rPr>
        <w:t>报告F</w:t>
      </w:r>
      <w:r>
        <w:rPr>
          <w:rFonts w:hint="eastAsia"/>
          <w:color w:val="000000" w:themeColor="text1"/>
        </w:rPr>
        <w:t>6.45。</w:t>
      </w:r>
    </w:p>
    <w:p>
      <w:pPr>
        <w:pStyle w:val="4"/>
        <w:ind w:firstLine="562"/>
      </w:pPr>
      <w:bookmarkStart w:id="1377" w:name="_Toc22391"/>
      <w:bookmarkStart w:id="1378" w:name="_Toc29564"/>
      <w:bookmarkStart w:id="1379" w:name="_Toc510448398"/>
      <w:bookmarkStart w:id="1380" w:name="_Toc15036"/>
      <w:bookmarkStart w:id="1381" w:name="_Toc7736"/>
      <w:bookmarkStart w:id="1382" w:name="_Toc525367190"/>
      <w:bookmarkStart w:id="1383" w:name="_Toc8909"/>
      <w:bookmarkStart w:id="1384" w:name="_Toc22791"/>
      <w:bookmarkStart w:id="1385" w:name="_Toc19256"/>
      <w:bookmarkStart w:id="1386" w:name="_Toc128056419"/>
      <w:bookmarkStart w:id="1387" w:name="_Toc28434"/>
      <w:bookmarkStart w:id="1388" w:name="_Toc1514"/>
      <w:bookmarkStart w:id="1389" w:name="_Toc1019"/>
      <w:bookmarkStart w:id="1390" w:name="_Toc20338"/>
      <w:bookmarkStart w:id="1391" w:name="_Toc6189"/>
      <w:bookmarkStart w:id="1392" w:name="_Toc25332"/>
      <w:bookmarkStart w:id="1393" w:name="_Toc27005"/>
      <w:bookmarkStart w:id="1394" w:name="_Toc2518"/>
      <w:bookmarkStart w:id="1395" w:name="_Toc21041"/>
      <w:bookmarkStart w:id="1396" w:name="_Toc13119"/>
      <w:bookmarkStart w:id="1397" w:name="_Toc25960"/>
      <w:bookmarkStart w:id="1398" w:name="_Toc17577"/>
      <w:bookmarkStart w:id="1399" w:name="_Toc20371"/>
      <w:bookmarkStart w:id="1400" w:name="_Toc9772"/>
      <w:bookmarkStart w:id="1401" w:name="_Toc19189"/>
      <w:bookmarkStart w:id="1402" w:name="_Toc5487"/>
      <w:bookmarkStart w:id="1403" w:name="_Toc2462"/>
      <w:bookmarkStart w:id="1404" w:name="_Toc32414"/>
      <w:r>
        <w:rPr>
          <w:rFonts w:hint="eastAsia"/>
        </w:rPr>
        <w:t>2.13.4 项目换证以来周边环境变化情况</w:t>
      </w:r>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p>
    <w:p>
      <w:pPr>
        <w:ind w:firstLine="560"/>
      </w:pPr>
      <w:r>
        <w:rPr>
          <w:rFonts w:hint="eastAsia"/>
          <w:color w:val="000000" w:themeColor="text1"/>
        </w:rPr>
        <w:t>被评价项目自2021年3月换取《安全生产许可证》至评价基准日以来，</w:t>
      </w:r>
      <w:r>
        <w:rPr>
          <w:rFonts w:hint="eastAsia"/>
        </w:rPr>
        <w:t>周边环境未发生变化。</w:t>
      </w:r>
      <w:r>
        <w:rPr>
          <w:rFonts w:hint="eastAsia"/>
          <w:color w:val="000000" w:themeColor="text1"/>
        </w:rPr>
        <w:t>详见</w:t>
      </w:r>
      <w:r>
        <w:rPr>
          <w:rFonts w:hint="eastAsia"/>
          <w:szCs w:val="28"/>
        </w:rPr>
        <w:t>报告F</w:t>
      </w:r>
      <w:r>
        <w:rPr>
          <w:rFonts w:hint="eastAsia"/>
          <w:color w:val="000000" w:themeColor="text1"/>
        </w:rPr>
        <w:t>6.45。</w:t>
      </w:r>
    </w:p>
    <w:p>
      <w:pPr>
        <w:pStyle w:val="4"/>
        <w:ind w:firstLine="562"/>
      </w:pPr>
      <w:bookmarkStart w:id="1405" w:name="_Toc25892"/>
      <w:bookmarkStart w:id="1406" w:name="_Toc2078"/>
      <w:bookmarkStart w:id="1407" w:name="_Toc5000"/>
      <w:bookmarkStart w:id="1408" w:name="_Toc19116"/>
      <w:bookmarkStart w:id="1409" w:name="_Toc786"/>
      <w:bookmarkStart w:id="1410" w:name="_Toc19678"/>
      <w:bookmarkStart w:id="1411" w:name="_Toc16465"/>
      <w:bookmarkStart w:id="1412" w:name="_Toc31866"/>
      <w:bookmarkStart w:id="1413" w:name="_Toc12737"/>
      <w:bookmarkStart w:id="1414" w:name="_Toc16592"/>
      <w:bookmarkStart w:id="1415" w:name="_Toc12297"/>
      <w:bookmarkStart w:id="1416" w:name="_Toc29166"/>
      <w:r>
        <w:rPr>
          <w:rFonts w:hint="eastAsia"/>
        </w:rPr>
        <w:t>2.13.5安全管理机构及人员变化情况</w:t>
      </w:r>
      <w:bookmarkEnd w:id="1405"/>
      <w:bookmarkEnd w:id="1406"/>
      <w:bookmarkEnd w:id="1407"/>
      <w:bookmarkEnd w:id="1408"/>
      <w:bookmarkEnd w:id="1409"/>
      <w:bookmarkEnd w:id="1410"/>
      <w:bookmarkEnd w:id="1411"/>
      <w:bookmarkEnd w:id="1412"/>
      <w:bookmarkEnd w:id="1413"/>
      <w:bookmarkEnd w:id="1414"/>
      <w:bookmarkEnd w:id="1415"/>
      <w:bookmarkEnd w:id="1416"/>
    </w:p>
    <w:p>
      <w:pPr>
        <w:ind w:firstLine="560"/>
      </w:pPr>
      <w:r>
        <w:rPr>
          <w:rFonts w:hint="eastAsia"/>
          <w:color w:val="000000" w:themeColor="text1"/>
        </w:rPr>
        <w:t>被评价项目自2021年3月换取《安全生产许可证》至评价基准日以来，公司的主要负责人发生了变化，由刘国荣变更为兰焕平。详见</w:t>
      </w:r>
      <w:r>
        <w:rPr>
          <w:rFonts w:hint="eastAsia"/>
          <w:szCs w:val="28"/>
        </w:rPr>
        <w:t>报告F</w:t>
      </w:r>
      <w:r>
        <w:rPr>
          <w:rFonts w:hint="eastAsia"/>
          <w:color w:val="000000" w:themeColor="text1"/>
        </w:rPr>
        <w:t>6.45。</w:t>
      </w:r>
    </w:p>
    <w:p>
      <w:pPr>
        <w:pStyle w:val="4"/>
        <w:ind w:firstLine="562"/>
      </w:pPr>
      <w:bookmarkStart w:id="1417" w:name="_Toc21820"/>
      <w:bookmarkStart w:id="1418" w:name="_Toc23378"/>
      <w:bookmarkStart w:id="1419" w:name="_Toc29938"/>
      <w:bookmarkStart w:id="1420" w:name="_Toc27406"/>
      <w:bookmarkStart w:id="1421" w:name="_Toc3913"/>
      <w:bookmarkStart w:id="1422" w:name="_Toc16340"/>
      <w:bookmarkStart w:id="1423" w:name="_Toc31871"/>
      <w:bookmarkStart w:id="1424" w:name="_Toc17181"/>
      <w:bookmarkStart w:id="1425" w:name="_Toc14227"/>
      <w:bookmarkStart w:id="1426" w:name="_Toc25573"/>
      <w:bookmarkStart w:id="1427" w:name="_Toc22537"/>
      <w:bookmarkStart w:id="1428" w:name="_Toc24182"/>
      <w:r>
        <w:rPr>
          <w:rFonts w:hint="eastAsia"/>
        </w:rPr>
        <w:t>2.13.6项目换证以来总平面布置发生的变化情况</w:t>
      </w:r>
      <w:bookmarkEnd w:id="1417"/>
      <w:bookmarkEnd w:id="1418"/>
      <w:bookmarkEnd w:id="1419"/>
      <w:bookmarkEnd w:id="1420"/>
      <w:bookmarkEnd w:id="1421"/>
      <w:bookmarkEnd w:id="1422"/>
      <w:bookmarkEnd w:id="1423"/>
      <w:bookmarkEnd w:id="1424"/>
      <w:bookmarkEnd w:id="1425"/>
      <w:bookmarkEnd w:id="1426"/>
      <w:bookmarkEnd w:id="1427"/>
      <w:bookmarkEnd w:id="1428"/>
    </w:p>
    <w:p>
      <w:pPr>
        <w:pStyle w:val="16"/>
        <w:ind w:firstLine="560"/>
      </w:pPr>
      <w:r>
        <w:rPr>
          <w:rFonts w:hint="eastAsia"/>
          <w:color w:val="000000" w:themeColor="text1"/>
        </w:rPr>
        <w:t>被评价项目自2021年3月换取《安全生产许可证》至评价基准日以来，通过开展“四区分离”工作，总平面布置发生如下变化：</w:t>
      </w:r>
    </w:p>
    <w:bookmarkEnd w:id="1248"/>
    <w:bookmarkEnd w:id="1249"/>
    <w:p>
      <w:pPr>
        <w:pStyle w:val="16"/>
        <w:ind w:firstLine="560"/>
        <w:rPr>
          <w:rFonts w:hAnsi="宋体" w:cs="宋体"/>
          <w:szCs w:val="28"/>
        </w:rPr>
      </w:pPr>
      <w:bookmarkStart w:id="1429" w:name="_Toc7408"/>
      <w:bookmarkStart w:id="1430" w:name="_Toc27205"/>
      <w:bookmarkStart w:id="1431" w:name="_Toc1049"/>
      <w:bookmarkStart w:id="1432" w:name="_Toc22046"/>
      <w:bookmarkStart w:id="1433" w:name="_Toc29659"/>
      <w:bookmarkStart w:id="1434" w:name="_Toc2983"/>
      <w:bookmarkStart w:id="1435" w:name="_Toc23121"/>
      <w:bookmarkStart w:id="1436" w:name="_Toc27958"/>
      <w:bookmarkStart w:id="1437" w:name="_Toc28895"/>
      <w:bookmarkStart w:id="1438" w:name="_Toc8401"/>
      <w:bookmarkStart w:id="1439" w:name="_Toc12973"/>
      <w:bookmarkStart w:id="1440" w:name="_Toc26814"/>
      <w:bookmarkStart w:id="1441" w:name="_Toc746"/>
      <w:bookmarkStart w:id="1442" w:name="_Toc6618"/>
      <w:bookmarkStart w:id="1443" w:name="_Toc7530"/>
      <w:bookmarkStart w:id="1444" w:name="_Toc16508"/>
      <w:bookmarkStart w:id="1445" w:name="_Toc12924"/>
      <w:bookmarkStart w:id="1446" w:name="_Toc18961"/>
      <w:bookmarkStart w:id="1447" w:name="_Toc23807"/>
      <w:bookmarkStart w:id="1448" w:name="_Toc30171"/>
      <w:bookmarkStart w:id="1449" w:name="_Toc62740939"/>
      <w:bookmarkStart w:id="1450" w:name="_Toc128056421"/>
      <w:bookmarkStart w:id="1451" w:name="_Toc5490"/>
      <w:bookmarkStart w:id="1452" w:name="_Toc8218"/>
      <w:bookmarkStart w:id="1453" w:name="_Toc16207"/>
      <w:r>
        <w:rPr>
          <w:rFonts w:hint="eastAsia" w:hAnsi="宋体" w:cs="宋体"/>
          <w:szCs w:val="28"/>
        </w:rPr>
        <w:t>（1）现场控制室（操作室）搬迁及人员</w:t>
      </w:r>
    </w:p>
    <w:p>
      <w:pPr>
        <w:pStyle w:val="16"/>
        <w:ind w:firstLine="560"/>
        <w:rPr>
          <w:rFonts w:hAnsi="宋体" w:cs="宋体"/>
          <w:szCs w:val="28"/>
        </w:rPr>
      </w:pPr>
      <w:r>
        <w:rPr>
          <w:rFonts w:hint="eastAsia" w:hAnsi="宋体" w:cs="宋体"/>
          <w:szCs w:val="28"/>
        </w:rPr>
        <w:t>中控室搬至公司质检楼内，现场改为巡检记录室使用，人员搬出；硫酸储罐现场操作室改为巡检记录室使用，人员搬出；余热发电操作室（保留）操作人员由3人调整为2人，与发电机房相邻的推拉窗更换为固定式双层玻璃观察窗，与发电机房相邻的门更换为防火门。</w:t>
      </w:r>
    </w:p>
    <w:p>
      <w:pPr>
        <w:pStyle w:val="16"/>
        <w:ind w:firstLine="560"/>
        <w:rPr>
          <w:rFonts w:hAnsi="宋体" w:cs="宋体"/>
          <w:szCs w:val="28"/>
        </w:rPr>
      </w:pPr>
      <w:r>
        <w:rPr>
          <w:rFonts w:hint="eastAsia" w:hAnsi="宋体" w:cs="宋体"/>
          <w:szCs w:val="28"/>
        </w:rPr>
        <w:t>（2）硫酸车间办公室及质检楼办公室</w:t>
      </w:r>
    </w:p>
    <w:p>
      <w:pPr>
        <w:pStyle w:val="16"/>
        <w:ind w:firstLine="560"/>
        <w:rPr>
          <w:rFonts w:hAnsi="宋体" w:cs="宋体"/>
          <w:szCs w:val="28"/>
        </w:rPr>
      </w:pPr>
      <w:r>
        <w:rPr>
          <w:rFonts w:hint="eastAsia" w:hAnsi="宋体" w:cs="宋体"/>
          <w:szCs w:val="28"/>
        </w:rPr>
        <w:t>硫酸车间办公室搬至公司行政办公楼，现场留作巡检记录室使用；质检楼办公室搬至公司办公楼。</w:t>
      </w:r>
    </w:p>
    <w:p>
      <w:pPr>
        <w:pStyle w:val="16"/>
        <w:ind w:firstLine="560"/>
        <w:rPr>
          <w:rFonts w:hAnsi="宋体" w:cs="宋体"/>
          <w:szCs w:val="28"/>
        </w:rPr>
      </w:pPr>
      <w:r>
        <w:rPr>
          <w:rFonts w:hint="eastAsia" w:hAnsi="宋体" w:cs="宋体"/>
          <w:szCs w:val="28"/>
        </w:rPr>
        <w:t>（3）化验室</w:t>
      </w:r>
    </w:p>
    <w:p>
      <w:pPr>
        <w:pStyle w:val="16"/>
        <w:ind w:firstLine="560"/>
        <w:rPr>
          <w:rFonts w:hAnsi="宋体" w:cs="宋体"/>
          <w:szCs w:val="28"/>
        </w:rPr>
      </w:pPr>
      <w:r>
        <w:rPr>
          <w:rFonts w:hint="eastAsia" w:hAnsi="宋体" w:cs="宋体"/>
          <w:szCs w:val="28"/>
        </w:rPr>
        <w:t>质检楼二楼化验室改为现场化验室；水处理现场化验室保留。</w:t>
      </w:r>
    </w:p>
    <w:p>
      <w:pPr>
        <w:pStyle w:val="16"/>
        <w:ind w:firstLine="560"/>
        <w:rPr>
          <w:rFonts w:hAnsi="宋体" w:cs="宋体"/>
          <w:szCs w:val="28"/>
        </w:rPr>
      </w:pPr>
      <w:r>
        <w:rPr>
          <w:rFonts w:hint="eastAsia" w:hAnsi="宋体" w:cs="宋体"/>
          <w:szCs w:val="28"/>
        </w:rPr>
        <w:t>（4）生产作业区与行政办公区、后勤服务区</w:t>
      </w:r>
    </w:p>
    <w:p>
      <w:pPr>
        <w:pStyle w:val="16"/>
        <w:ind w:firstLine="560"/>
        <w:rPr>
          <w:rFonts w:hAnsi="宋体" w:cs="宋体"/>
          <w:szCs w:val="28"/>
        </w:rPr>
      </w:pPr>
      <w:r>
        <w:rPr>
          <w:rFonts w:hint="eastAsia" w:hAnsi="宋体" w:cs="宋体"/>
          <w:szCs w:val="28"/>
        </w:rPr>
        <w:t>在公司北面围墙与停车棚之间的物流通道上设置了一道抬杠门，对进入生产区的车辆进行管控；职工食堂西面通道设置门禁，对进入生产区的人员进行管控；厂区西南端应急疏散门供生产区作业人员逃生使用；公司行政办公区、后勤服务区其他区域利用地形与生产作业区天然隔开。</w:t>
      </w:r>
    </w:p>
    <w:p>
      <w:pPr>
        <w:pStyle w:val="16"/>
        <w:ind w:firstLine="560"/>
        <w:rPr>
          <w:rFonts w:hAnsi="宋体" w:cs="宋体"/>
          <w:szCs w:val="28"/>
        </w:rPr>
      </w:pPr>
      <w:r>
        <w:rPr>
          <w:rFonts w:hint="eastAsia" w:hAnsi="宋体" w:cs="宋体"/>
          <w:szCs w:val="28"/>
        </w:rPr>
        <w:t>（5）双氧水储罐搬迁</w:t>
      </w:r>
    </w:p>
    <w:p>
      <w:pPr>
        <w:pStyle w:val="16"/>
        <w:ind w:firstLine="0" w:firstLineChars="0"/>
        <w:rPr>
          <w:rFonts w:hAnsi="宋体" w:cs="宋体"/>
          <w:szCs w:val="28"/>
        </w:rPr>
      </w:pPr>
      <w:r>
        <w:rPr>
          <w:rFonts w:hint="eastAsia" w:hAnsi="宋体" w:cs="宋体"/>
          <w:szCs w:val="28"/>
        </w:rPr>
        <w:t xml:space="preserve">     原双氧水储罐安装在尾气吸收脱硫塔旁的地下槽内，因不符合安全距离，现搬迁至原料场新建一储罐区内，按相关规定标准设置安全设施。</w:t>
      </w:r>
    </w:p>
    <w:p>
      <w:pPr>
        <w:pStyle w:val="16"/>
        <w:ind w:firstLine="560"/>
        <w:rPr>
          <w:rFonts w:hAnsi="宋体" w:cs="宋体"/>
          <w:szCs w:val="28"/>
        </w:rPr>
      </w:pPr>
      <w:r>
        <w:rPr>
          <w:rFonts w:hint="eastAsia" w:hAnsi="宋体" w:cs="宋体"/>
          <w:szCs w:val="28"/>
        </w:rPr>
        <w:t>（6）尾气烟囱的变更</w:t>
      </w:r>
    </w:p>
    <w:p>
      <w:pPr>
        <w:pStyle w:val="16"/>
        <w:ind w:firstLine="560"/>
        <w:rPr>
          <w:rFonts w:hAnsi="宋体" w:cs="宋体"/>
          <w:szCs w:val="28"/>
        </w:rPr>
      </w:pPr>
      <w:r>
        <w:rPr>
          <w:rFonts w:hint="eastAsia" w:hAnsi="宋体" w:cs="宋体"/>
          <w:szCs w:val="28"/>
        </w:rPr>
        <w:t>原两条生产线各设置有一个烟囱，后来办理排污许可证时，将两个烟囱合并为一个烟囱，现烟囱安装在四万吨转化与吸收塔交界处。</w:t>
      </w:r>
    </w:p>
    <w:p>
      <w:pPr>
        <w:pStyle w:val="16"/>
        <w:ind w:firstLine="560"/>
        <w:rPr>
          <w:rFonts w:hAnsi="宋体" w:cs="宋体"/>
          <w:szCs w:val="28"/>
        </w:rPr>
      </w:pPr>
      <w:r>
        <w:rPr>
          <w:rFonts w:hint="eastAsia" w:hAnsi="宋体" w:cs="宋体"/>
          <w:szCs w:val="28"/>
        </w:rPr>
        <w:t>（7）新增安全设施</w:t>
      </w:r>
    </w:p>
    <w:p>
      <w:pPr>
        <w:pStyle w:val="16"/>
        <w:ind w:firstLine="560"/>
        <w:rPr>
          <w:rFonts w:hAnsi="宋体" w:cs="宋体"/>
          <w:szCs w:val="28"/>
        </w:rPr>
      </w:pPr>
      <w:r>
        <w:rPr>
          <w:rFonts w:hint="eastAsia"/>
          <w:szCs w:val="28"/>
        </w:rPr>
        <w:t>将原四万吨净化工段前闲置房屋拆除，改建一座凉水塔，在质检部楼后面新建一座凉水塔；在原料堆场新建一个1500立方的事故应急池。</w:t>
      </w:r>
    </w:p>
    <w:p>
      <w:pPr>
        <w:pStyle w:val="2"/>
        <w:rPr>
          <w:rFonts w:ascii="楷体" w:hAnsi="楷体" w:eastAsia="楷体" w:cs="楷体"/>
          <w:b/>
          <w:bCs w:val="0"/>
          <w:color w:val="000000" w:themeColor="text1"/>
        </w:rPr>
      </w:pPr>
      <w:bookmarkStart w:id="1454" w:name="_Toc5120"/>
      <w:bookmarkStart w:id="1455" w:name="_Toc7311"/>
      <w:bookmarkStart w:id="1456" w:name="_Toc17320"/>
      <w:bookmarkStart w:id="1457" w:name="_Toc23363"/>
      <w:bookmarkStart w:id="1458" w:name="_Toc17665"/>
      <w:bookmarkStart w:id="1459" w:name="_Toc6285"/>
      <w:bookmarkStart w:id="1460" w:name="_Toc4007"/>
      <w:bookmarkStart w:id="1461" w:name="_Toc12527"/>
      <w:bookmarkStart w:id="1462" w:name="_Toc3678"/>
      <w:bookmarkStart w:id="1463" w:name="_Toc9616"/>
      <w:bookmarkStart w:id="1464" w:name="_Toc28624"/>
      <w:bookmarkStart w:id="1465" w:name="_Toc20341"/>
      <w:r>
        <w:rPr>
          <w:rFonts w:hint="eastAsia" w:ascii="楷体" w:hAnsi="楷体" w:eastAsia="楷体" w:cs="楷体"/>
          <w:b/>
          <w:bCs w:val="0"/>
          <w:color w:val="000000" w:themeColor="text1"/>
        </w:rPr>
        <w:t>3  危险和有害因素辨识结果</w:t>
      </w:r>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54"/>
      <w:bookmarkEnd w:id="1455"/>
      <w:bookmarkEnd w:id="1456"/>
      <w:bookmarkEnd w:id="1457"/>
      <w:bookmarkEnd w:id="1458"/>
      <w:bookmarkEnd w:id="1459"/>
      <w:bookmarkEnd w:id="1460"/>
      <w:bookmarkEnd w:id="1461"/>
      <w:bookmarkEnd w:id="1462"/>
      <w:bookmarkEnd w:id="1463"/>
      <w:bookmarkEnd w:id="1464"/>
      <w:bookmarkEnd w:id="1465"/>
      <w:bookmarkStart w:id="1466" w:name="_Toc17618"/>
      <w:bookmarkStart w:id="1467" w:name="_Toc12427"/>
      <w:bookmarkStart w:id="1468" w:name="_Toc11499"/>
      <w:bookmarkStart w:id="1469" w:name="_Toc20345"/>
      <w:bookmarkStart w:id="1470" w:name="_Toc16664"/>
      <w:bookmarkStart w:id="1471" w:name="_Toc118297930"/>
      <w:bookmarkStart w:id="1472" w:name="_Toc2705"/>
      <w:bookmarkStart w:id="1473" w:name="_Toc23647"/>
    </w:p>
    <w:p>
      <w:pPr>
        <w:ind w:firstLine="560"/>
      </w:pPr>
    </w:p>
    <w:p>
      <w:pPr>
        <w:pStyle w:val="3"/>
        <w:keepNext w:val="0"/>
        <w:keepLines w:val="0"/>
        <w:ind w:firstLine="562"/>
        <w:rPr>
          <w:rFonts w:ascii="黑体" w:hAnsi="黑体" w:eastAsia="黑体" w:cs="黑体"/>
          <w:color w:val="000000" w:themeColor="text1"/>
        </w:rPr>
      </w:pPr>
      <w:bookmarkStart w:id="1474" w:name="_Toc8705"/>
      <w:bookmarkStart w:id="1475" w:name="_Toc23231"/>
      <w:bookmarkStart w:id="1476" w:name="_Toc22235"/>
      <w:bookmarkStart w:id="1477" w:name="_Toc29795"/>
      <w:bookmarkStart w:id="1478" w:name="_Toc16229"/>
      <w:bookmarkStart w:id="1479" w:name="_Toc31183"/>
      <w:bookmarkStart w:id="1480" w:name="_Toc6305"/>
      <w:bookmarkStart w:id="1481" w:name="_Toc6263"/>
      <w:bookmarkStart w:id="1482" w:name="_Toc2306"/>
      <w:bookmarkStart w:id="1483" w:name="_Toc30457"/>
      <w:bookmarkStart w:id="1484" w:name="_Toc24046"/>
      <w:bookmarkStart w:id="1485" w:name="_Toc30743"/>
      <w:bookmarkStart w:id="1486" w:name="_Toc11035"/>
      <w:bookmarkStart w:id="1487" w:name="_Toc17778"/>
      <w:bookmarkStart w:id="1488" w:name="_Toc31998"/>
      <w:bookmarkStart w:id="1489" w:name="_Toc21750"/>
      <w:bookmarkStart w:id="1490" w:name="_Toc26728"/>
      <w:bookmarkStart w:id="1491" w:name="_Toc15348"/>
      <w:bookmarkStart w:id="1492" w:name="_Toc935"/>
      <w:bookmarkStart w:id="1493" w:name="_Toc3339"/>
      <w:bookmarkStart w:id="1494" w:name="_Toc21393"/>
      <w:bookmarkStart w:id="1495" w:name="_Toc30160"/>
      <w:bookmarkStart w:id="1496" w:name="_Toc31329"/>
      <w:bookmarkStart w:id="1497" w:name="_Toc10289"/>
      <w:bookmarkStart w:id="1498" w:name="_Toc6009"/>
      <w:r>
        <w:rPr>
          <w:rFonts w:hint="eastAsia" w:ascii="黑体" w:hAnsi="黑体" w:eastAsia="黑体" w:cs="黑体"/>
          <w:color w:val="000000" w:themeColor="text1"/>
        </w:rPr>
        <w:t>3.1 主要危险、有害物质辨识及物质的危险性分析结果</w:t>
      </w:r>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p>
    <w:p>
      <w:pPr>
        <w:pStyle w:val="4"/>
        <w:ind w:firstLine="562"/>
      </w:pPr>
      <w:bookmarkStart w:id="1499" w:name="_Toc12663"/>
      <w:bookmarkStart w:id="1500" w:name="_Toc15342"/>
      <w:bookmarkStart w:id="1501" w:name="_Toc28949"/>
      <w:bookmarkStart w:id="1502" w:name="_Toc553"/>
      <w:bookmarkStart w:id="1503" w:name="_Toc23092"/>
      <w:bookmarkStart w:id="1504" w:name="_Toc15169"/>
      <w:bookmarkStart w:id="1505" w:name="_Toc22344"/>
      <w:bookmarkStart w:id="1506" w:name="_Toc25272"/>
      <w:bookmarkStart w:id="1507" w:name="_Toc8797"/>
      <w:bookmarkStart w:id="1508" w:name="_Toc7676"/>
      <w:bookmarkStart w:id="1509" w:name="_Toc25152"/>
      <w:bookmarkStart w:id="1510" w:name="_Toc27388"/>
      <w:bookmarkStart w:id="1511" w:name="_Toc16895"/>
      <w:bookmarkStart w:id="1512" w:name="_Toc26109"/>
      <w:bookmarkStart w:id="1513" w:name="_Toc24193"/>
      <w:bookmarkStart w:id="1514" w:name="_Toc12713"/>
      <w:bookmarkStart w:id="1515" w:name="_Toc23403"/>
      <w:bookmarkStart w:id="1516" w:name="_Toc118297931"/>
      <w:bookmarkStart w:id="1517" w:name="_Toc7869"/>
      <w:bookmarkStart w:id="1518" w:name="_Toc15802"/>
      <w:bookmarkStart w:id="1519" w:name="_Toc16328"/>
      <w:bookmarkStart w:id="1520" w:name="_Toc7978"/>
      <w:bookmarkStart w:id="1521" w:name="_Toc7134"/>
      <w:r>
        <w:rPr>
          <w:rFonts w:hint="eastAsia"/>
        </w:rPr>
        <w:t>3.1.1 主要危险、有害物质辨识结果</w:t>
      </w:r>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p>
    <w:p>
      <w:pPr>
        <w:pStyle w:val="62"/>
        <w:topLinePunct/>
        <w:ind w:firstLine="560"/>
        <w:rPr>
          <w:rFonts w:ascii="宋体" w:hAnsi="宋体"/>
          <w:color w:val="auto"/>
          <w:szCs w:val="28"/>
        </w:rPr>
      </w:pPr>
      <w:r>
        <w:rPr>
          <w:rFonts w:hint="eastAsia"/>
        </w:rPr>
        <w:t>由本报告F2.4.1“危险化学品辨识”的结果可知：本项目生产过程中涉及的主要危险、有害物质有：</w:t>
      </w:r>
      <w:r>
        <w:rPr>
          <w:rFonts w:hint="eastAsia"/>
          <w:color w:val="auto"/>
          <w:kern w:val="0"/>
          <w:szCs w:val="28"/>
        </w:rPr>
        <w:t>硫酸、二氧化硫、三氧化硫、双氧水（27.5%）、五氧化二钒及柴油</w:t>
      </w:r>
      <w:r>
        <w:rPr>
          <w:rFonts w:hint="eastAsia" w:ascii="宋体" w:hAnsi="宋体"/>
          <w:color w:val="auto"/>
          <w:szCs w:val="28"/>
        </w:rPr>
        <w:t>。</w:t>
      </w:r>
      <w:r>
        <w:rPr>
          <w:rFonts w:ascii="宋体" w:hAnsi="宋体"/>
          <w:color w:val="auto"/>
          <w:szCs w:val="28"/>
        </w:rPr>
        <w:t xml:space="preserve"> </w:t>
      </w:r>
    </w:p>
    <w:p>
      <w:pPr>
        <w:pStyle w:val="62"/>
        <w:topLinePunct/>
        <w:ind w:firstLine="560"/>
        <w:rPr>
          <w:rFonts w:ascii="宋体" w:hAnsi="宋体"/>
          <w:color w:val="auto"/>
          <w:szCs w:val="28"/>
        </w:rPr>
      </w:pPr>
      <w:r>
        <w:rPr>
          <w:rFonts w:hint="eastAsia"/>
        </w:rPr>
        <w:t>根据《危险化学品目录》（2022调整版）中的规定可知：</w:t>
      </w:r>
      <w:r>
        <w:rPr>
          <w:rFonts w:hint="eastAsia"/>
          <w:color w:val="auto"/>
          <w:kern w:val="0"/>
          <w:szCs w:val="28"/>
        </w:rPr>
        <w:t>硫酸、二氧化硫、三氧化硫、双氧水（27.5%）、五氧化二钒及柴油</w:t>
      </w:r>
      <w:r>
        <w:rPr>
          <w:rFonts w:hint="eastAsia"/>
        </w:rPr>
        <w:t>属于危险化学品。</w:t>
      </w:r>
    </w:p>
    <w:p>
      <w:pPr>
        <w:pStyle w:val="4"/>
        <w:ind w:firstLine="562"/>
      </w:pPr>
      <w:bookmarkStart w:id="1522" w:name="_Toc23997"/>
      <w:bookmarkStart w:id="1523" w:name="_Toc5397"/>
      <w:bookmarkStart w:id="1524" w:name="_Toc10195"/>
      <w:bookmarkStart w:id="1525" w:name="_Toc30000"/>
      <w:bookmarkStart w:id="1526" w:name="_Toc5841"/>
      <w:bookmarkStart w:id="1527" w:name="_Toc14555"/>
      <w:bookmarkStart w:id="1528" w:name="_Toc7705"/>
      <w:bookmarkStart w:id="1529" w:name="_Toc21418"/>
      <w:bookmarkStart w:id="1530" w:name="_Toc6667"/>
      <w:bookmarkStart w:id="1531" w:name="_Toc12204"/>
      <w:bookmarkStart w:id="1532" w:name="_Toc16441"/>
      <w:bookmarkStart w:id="1533" w:name="_Toc29575"/>
      <w:bookmarkStart w:id="1534" w:name="_Toc2769"/>
      <w:bookmarkStart w:id="1535" w:name="_Toc24847"/>
      <w:bookmarkStart w:id="1536" w:name="_Toc7904"/>
      <w:bookmarkStart w:id="1537" w:name="_Toc32150"/>
      <w:bookmarkStart w:id="1538" w:name="_Toc27945"/>
      <w:bookmarkStart w:id="1539" w:name="_Toc118297932"/>
      <w:bookmarkStart w:id="1540" w:name="_Toc27728"/>
      <w:bookmarkStart w:id="1541" w:name="_Toc25750"/>
      <w:bookmarkStart w:id="1542" w:name="_Toc14463"/>
      <w:bookmarkStart w:id="1543" w:name="_Toc844"/>
      <w:bookmarkStart w:id="1544" w:name="_Toc26307"/>
      <w:r>
        <w:rPr>
          <w:rFonts w:hint="eastAsia"/>
        </w:rPr>
        <w:t>3.1.2 主要危险、有害物质的危险性分析结果</w:t>
      </w:r>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p>
    <w:p>
      <w:pPr>
        <w:ind w:firstLine="560"/>
      </w:pPr>
      <w:r>
        <w:rPr>
          <w:rFonts w:hint="eastAsia"/>
        </w:rPr>
        <w:t>由本报告F2.4.3“主要危险、有害物质的特性”的结果可知：该项目生产过程中涉及到的主要危险、有害物质的危险性分析结果见下表：</w:t>
      </w:r>
    </w:p>
    <w:p>
      <w:pPr>
        <w:pStyle w:val="92"/>
        <w:rPr>
          <w:sz w:val="24"/>
          <w:szCs w:val="24"/>
        </w:rPr>
      </w:pPr>
      <w:r>
        <w:rPr>
          <w:rFonts w:hint="eastAsia"/>
          <w:sz w:val="24"/>
          <w:szCs w:val="24"/>
        </w:rPr>
        <w:t>表3.1-1 主要危险、有害物质的危险性分析结果</w:t>
      </w:r>
    </w:p>
    <w:tbl>
      <w:tblPr>
        <w:tblStyle w:val="3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91"/>
        <w:gridCol w:w="1164"/>
        <w:gridCol w:w="1599"/>
        <w:gridCol w:w="642"/>
        <w:gridCol w:w="2718"/>
        <w:gridCol w:w="1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9" w:type="dxa"/>
            <w:shd w:val="clear" w:color="auto" w:fill="auto"/>
            <w:vAlign w:val="center"/>
          </w:tcPr>
          <w:p>
            <w:pPr>
              <w:widowControl/>
              <w:adjustRightInd/>
              <w:snapToGrid/>
              <w:spacing w:line="240" w:lineRule="auto"/>
              <w:ind w:firstLine="0" w:firstLineChars="0"/>
              <w:rPr>
                <w:rFonts w:ascii="宋体" w:hAnsi="宋体" w:cs="宋体"/>
                <w:b/>
                <w:color w:val="auto"/>
                <w:kern w:val="0"/>
                <w:sz w:val="21"/>
                <w:szCs w:val="21"/>
              </w:rPr>
            </w:pPr>
            <w:r>
              <w:rPr>
                <w:rFonts w:hint="eastAsia" w:ascii="宋体" w:hAnsi="宋体" w:cs="宋体"/>
                <w:b/>
                <w:color w:val="auto"/>
                <w:kern w:val="0"/>
                <w:sz w:val="21"/>
                <w:szCs w:val="21"/>
              </w:rPr>
              <w:t>序号</w:t>
            </w:r>
          </w:p>
        </w:tc>
        <w:tc>
          <w:tcPr>
            <w:tcW w:w="891" w:type="dxa"/>
            <w:shd w:val="clear" w:color="auto" w:fill="auto"/>
            <w:vAlign w:val="center"/>
          </w:tcPr>
          <w:p>
            <w:pPr>
              <w:widowControl/>
              <w:adjustRightInd/>
              <w:snapToGrid/>
              <w:spacing w:line="240" w:lineRule="auto"/>
              <w:ind w:firstLine="0" w:firstLineChars="0"/>
              <w:jc w:val="center"/>
              <w:rPr>
                <w:b/>
                <w:color w:val="auto"/>
                <w:kern w:val="0"/>
                <w:sz w:val="21"/>
                <w:szCs w:val="21"/>
              </w:rPr>
            </w:pPr>
            <w:r>
              <w:rPr>
                <w:b/>
                <w:color w:val="auto"/>
                <w:kern w:val="0"/>
                <w:sz w:val="21"/>
                <w:szCs w:val="21"/>
              </w:rPr>
              <w:t>1</w:t>
            </w:r>
          </w:p>
        </w:tc>
        <w:tc>
          <w:tcPr>
            <w:tcW w:w="1164" w:type="dxa"/>
            <w:shd w:val="clear" w:color="auto" w:fill="auto"/>
            <w:vAlign w:val="center"/>
          </w:tcPr>
          <w:p>
            <w:pPr>
              <w:widowControl/>
              <w:adjustRightInd/>
              <w:snapToGrid/>
              <w:spacing w:line="240" w:lineRule="auto"/>
              <w:ind w:firstLine="0" w:firstLineChars="0"/>
              <w:jc w:val="center"/>
              <w:rPr>
                <w:b/>
                <w:color w:val="auto"/>
                <w:kern w:val="0"/>
                <w:sz w:val="21"/>
                <w:szCs w:val="21"/>
              </w:rPr>
            </w:pPr>
            <w:r>
              <w:rPr>
                <w:b/>
                <w:color w:val="auto"/>
                <w:kern w:val="0"/>
                <w:sz w:val="21"/>
                <w:szCs w:val="21"/>
              </w:rPr>
              <w:t>2</w:t>
            </w:r>
          </w:p>
        </w:tc>
        <w:tc>
          <w:tcPr>
            <w:tcW w:w="1599" w:type="dxa"/>
            <w:shd w:val="clear" w:color="auto" w:fill="auto"/>
            <w:vAlign w:val="center"/>
          </w:tcPr>
          <w:p>
            <w:pPr>
              <w:widowControl/>
              <w:adjustRightInd/>
              <w:snapToGrid/>
              <w:spacing w:line="240" w:lineRule="auto"/>
              <w:ind w:firstLine="0" w:firstLineChars="0"/>
              <w:jc w:val="center"/>
              <w:rPr>
                <w:b/>
                <w:color w:val="auto"/>
                <w:kern w:val="0"/>
                <w:sz w:val="21"/>
                <w:szCs w:val="21"/>
              </w:rPr>
            </w:pPr>
            <w:r>
              <w:rPr>
                <w:b/>
                <w:color w:val="auto"/>
                <w:kern w:val="0"/>
                <w:sz w:val="21"/>
                <w:szCs w:val="21"/>
              </w:rPr>
              <w:t>3</w:t>
            </w:r>
          </w:p>
        </w:tc>
        <w:tc>
          <w:tcPr>
            <w:tcW w:w="642" w:type="dxa"/>
            <w:shd w:val="clear" w:color="auto" w:fill="auto"/>
            <w:vAlign w:val="center"/>
          </w:tcPr>
          <w:p>
            <w:pPr>
              <w:widowControl/>
              <w:adjustRightInd/>
              <w:snapToGrid/>
              <w:spacing w:line="240" w:lineRule="auto"/>
              <w:ind w:firstLine="0" w:firstLineChars="0"/>
              <w:jc w:val="center"/>
              <w:rPr>
                <w:b/>
                <w:color w:val="auto"/>
                <w:kern w:val="0"/>
                <w:sz w:val="21"/>
                <w:szCs w:val="21"/>
              </w:rPr>
            </w:pPr>
            <w:r>
              <w:rPr>
                <w:b/>
                <w:color w:val="auto"/>
                <w:kern w:val="0"/>
                <w:sz w:val="21"/>
                <w:szCs w:val="21"/>
              </w:rPr>
              <w:t>4</w:t>
            </w:r>
          </w:p>
        </w:tc>
        <w:tc>
          <w:tcPr>
            <w:tcW w:w="2718" w:type="dxa"/>
            <w:vAlign w:val="center"/>
          </w:tcPr>
          <w:p>
            <w:pPr>
              <w:widowControl/>
              <w:adjustRightInd/>
              <w:snapToGrid/>
              <w:spacing w:line="240" w:lineRule="auto"/>
              <w:ind w:firstLine="0" w:firstLineChars="0"/>
              <w:jc w:val="center"/>
              <w:rPr>
                <w:b/>
                <w:color w:val="auto"/>
                <w:kern w:val="0"/>
                <w:sz w:val="21"/>
                <w:szCs w:val="21"/>
              </w:rPr>
            </w:pPr>
            <w:r>
              <w:rPr>
                <w:rFonts w:hint="eastAsia"/>
                <w:b/>
                <w:color w:val="auto"/>
                <w:kern w:val="0"/>
                <w:sz w:val="21"/>
                <w:szCs w:val="21"/>
              </w:rPr>
              <w:t>5</w:t>
            </w:r>
          </w:p>
        </w:tc>
        <w:tc>
          <w:tcPr>
            <w:tcW w:w="1349" w:type="dxa"/>
            <w:vAlign w:val="center"/>
          </w:tcPr>
          <w:p>
            <w:pPr>
              <w:widowControl/>
              <w:adjustRightInd/>
              <w:snapToGrid/>
              <w:spacing w:line="240" w:lineRule="auto"/>
              <w:ind w:firstLine="0" w:firstLineChars="0"/>
              <w:jc w:val="center"/>
              <w:rPr>
                <w:b/>
                <w:color w:val="auto"/>
                <w:kern w:val="0"/>
                <w:sz w:val="21"/>
                <w:szCs w:val="21"/>
              </w:rPr>
            </w:pPr>
            <w:r>
              <w:rPr>
                <w:rFonts w:hint="eastAsia"/>
                <w:b/>
                <w:color w:val="auto"/>
                <w:kern w:val="0"/>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shd w:val="clear" w:color="auto" w:fill="auto"/>
            <w:vAlign w:val="center"/>
          </w:tcPr>
          <w:p>
            <w:pPr>
              <w:widowControl/>
              <w:adjustRightInd/>
              <w:snapToGrid/>
              <w:spacing w:line="240" w:lineRule="auto"/>
              <w:ind w:firstLine="0" w:firstLineChars="0"/>
              <w:jc w:val="center"/>
              <w:rPr>
                <w:rFonts w:ascii="宋体" w:hAnsi="宋体" w:cs="宋体"/>
                <w:b/>
                <w:color w:val="auto"/>
                <w:kern w:val="0"/>
                <w:sz w:val="21"/>
                <w:szCs w:val="21"/>
              </w:rPr>
            </w:pPr>
            <w:r>
              <w:rPr>
                <w:rFonts w:hint="eastAsia" w:ascii="宋体" w:hAnsi="宋体" w:cs="宋体"/>
                <w:b/>
                <w:color w:val="auto"/>
                <w:kern w:val="0"/>
                <w:sz w:val="21"/>
                <w:szCs w:val="21"/>
              </w:rPr>
              <w:t>物料名称</w:t>
            </w:r>
          </w:p>
        </w:tc>
        <w:tc>
          <w:tcPr>
            <w:tcW w:w="891" w:type="dxa"/>
            <w:shd w:val="clear" w:color="auto" w:fill="auto"/>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硫酸</w:t>
            </w:r>
          </w:p>
        </w:tc>
        <w:tc>
          <w:tcPr>
            <w:tcW w:w="1164" w:type="dxa"/>
            <w:shd w:val="clear" w:color="auto" w:fill="auto"/>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二氧化硫</w:t>
            </w:r>
          </w:p>
        </w:tc>
        <w:tc>
          <w:tcPr>
            <w:tcW w:w="1599" w:type="dxa"/>
            <w:shd w:val="clear" w:color="auto" w:fill="auto"/>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三氧化硫</w:t>
            </w:r>
          </w:p>
        </w:tc>
        <w:tc>
          <w:tcPr>
            <w:tcW w:w="642" w:type="dxa"/>
            <w:shd w:val="clear" w:color="auto" w:fill="auto"/>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柴油</w:t>
            </w:r>
          </w:p>
        </w:tc>
        <w:tc>
          <w:tcPr>
            <w:tcW w:w="2718" w:type="dxa"/>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触媒（含五氧化二钒）</w:t>
            </w:r>
          </w:p>
        </w:tc>
        <w:tc>
          <w:tcPr>
            <w:tcW w:w="1349" w:type="dxa"/>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双氧水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709" w:type="dxa"/>
            <w:shd w:val="clear" w:color="auto" w:fill="auto"/>
            <w:vAlign w:val="center"/>
          </w:tcPr>
          <w:p>
            <w:pPr>
              <w:widowControl/>
              <w:adjustRightInd/>
              <w:snapToGrid/>
              <w:spacing w:line="240" w:lineRule="auto"/>
              <w:ind w:firstLine="0" w:firstLineChars="0"/>
              <w:jc w:val="center"/>
              <w:rPr>
                <w:rFonts w:ascii="宋体" w:hAnsi="宋体" w:cs="宋体"/>
                <w:b/>
                <w:color w:val="auto"/>
                <w:kern w:val="0"/>
                <w:sz w:val="21"/>
                <w:szCs w:val="21"/>
              </w:rPr>
            </w:pPr>
            <w:r>
              <w:rPr>
                <w:rFonts w:hint="eastAsia" w:ascii="宋体" w:hAnsi="宋体" w:cs="宋体"/>
                <w:b/>
                <w:color w:val="auto"/>
                <w:kern w:val="0"/>
                <w:sz w:val="21"/>
                <w:szCs w:val="21"/>
              </w:rPr>
              <w:t>危险化学品分类</w:t>
            </w:r>
          </w:p>
        </w:tc>
        <w:tc>
          <w:tcPr>
            <w:tcW w:w="891" w:type="dxa"/>
            <w:shd w:val="clear" w:color="auto" w:fill="auto"/>
            <w:vAlign w:val="center"/>
          </w:tcPr>
          <w:p>
            <w:pPr>
              <w:widowControl/>
              <w:spacing w:line="240" w:lineRule="auto"/>
              <w:ind w:firstLine="0" w:firstLineChars="0"/>
              <w:rPr>
                <w:rFonts w:ascii="宋体" w:hAnsi="宋体" w:cs="宋体"/>
                <w:color w:val="auto"/>
                <w:kern w:val="0"/>
                <w:sz w:val="20"/>
                <w:szCs w:val="20"/>
              </w:rPr>
            </w:pPr>
            <w:r>
              <w:rPr>
                <w:rFonts w:hint="eastAsia" w:ascii="宋体" w:hAnsi="宋体" w:cs="宋体"/>
                <w:color w:val="auto"/>
                <w:kern w:val="0"/>
                <w:sz w:val="20"/>
                <w:szCs w:val="20"/>
              </w:rPr>
              <w:t>皮肤腐蚀/刺激,类别1A</w:t>
            </w:r>
          </w:p>
          <w:p>
            <w:pPr>
              <w:widowControl/>
              <w:adjustRightInd/>
              <w:snapToGrid/>
              <w:spacing w:line="240" w:lineRule="auto"/>
              <w:ind w:firstLine="0" w:firstLineChars="0"/>
              <w:rPr>
                <w:rFonts w:ascii="宋体" w:hAnsi="宋体" w:cs="宋体"/>
                <w:color w:val="auto"/>
                <w:kern w:val="0"/>
                <w:sz w:val="21"/>
                <w:szCs w:val="21"/>
              </w:rPr>
            </w:pPr>
            <w:r>
              <w:rPr>
                <w:rFonts w:hint="eastAsia" w:ascii="宋体" w:hAnsi="宋体" w:cs="宋体"/>
                <w:color w:val="auto"/>
                <w:kern w:val="0"/>
                <w:sz w:val="20"/>
                <w:szCs w:val="20"/>
              </w:rPr>
              <w:t>严重眼损伤/眼刺激,类别1</w:t>
            </w:r>
          </w:p>
        </w:tc>
        <w:tc>
          <w:tcPr>
            <w:tcW w:w="1164" w:type="dxa"/>
            <w:shd w:val="clear" w:color="auto" w:fill="auto"/>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急性毒性-吸入,类别3、皮肤腐蚀/刺激,类别1B严重眼损伤/眼刺激,类别1</w:t>
            </w:r>
          </w:p>
        </w:tc>
        <w:tc>
          <w:tcPr>
            <w:tcW w:w="1599" w:type="dxa"/>
            <w:shd w:val="clear" w:color="auto" w:fill="auto"/>
            <w:vAlign w:val="center"/>
          </w:tcPr>
          <w:p>
            <w:pPr>
              <w:widowControl/>
              <w:adjustRightInd/>
              <w:snapToGrid/>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rPr>
              <w:t>皮肤腐蚀/刺激,类别1A；</w:t>
            </w:r>
          </w:p>
          <w:p>
            <w:pPr>
              <w:widowControl/>
              <w:adjustRightInd/>
              <w:snapToGrid/>
              <w:spacing w:line="240" w:lineRule="auto"/>
              <w:ind w:firstLine="0" w:firstLineChars="0"/>
              <w:jc w:val="center"/>
              <w:rPr>
                <w:color w:val="auto"/>
                <w:kern w:val="0"/>
                <w:sz w:val="21"/>
                <w:szCs w:val="21"/>
              </w:rPr>
            </w:pPr>
            <w:r>
              <w:rPr>
                <w:rFonts w:hint="eastAsia" w:ascii="宋体" w:hAnsi="宋体" w:cs="宋体"/>
                <w:color w:val="auto"/>
                <w:kern w:val="0"/>
                <w:sz w:val="21"/>
                <w:szCs w:val="21"/>
              </w:rPr>
              <w:t>严重眼损伤/眼刺激,类别1；特异性靶器官毒性-一次接触,类别3（呼吸道刺激）</w:t>
            </w:r>
          </w:p>
        </w:tc>
        <w:tc>
          <w:tcPr>
            <w:tcW w:w="642" w:type="dxa"/>
            <w:shd w:val="clear" w:color="auto" w:fill="auto"/>
            <w:vAlign w:val="center"/>
          </w:tcPr>
          <w:p>
            <w:pPr>
              <w:widowControl/>
              <w:adjustRightInd/>
              <w:snapToGrid/>
              <w:spacing w:line="240" w:lineRule="auto"/>
              <w:ind w:firstLine="0" w:firstLineChars="0"/>
              <w:rPr>
                <w:rFonts w:ascii="宋体" w:hAnsi="宋体" w:cs="宋体"/>
                <w:color w:val="auto"/>
                <w:kern w:val="0"/>
                <w:sz w:val="20"/>
                <w:szCs w:val="20"/>
              </w:rPr>
            </w:pPr>
            <w:r>
              <w:rPr>
                <w:rFonts w:hint="eastAsia" w:ascii="宋体" w:hAnsi="宋体" w:cs="宋体"/>
                <w:color w:val="auto"/>
                <w:kern w:val="0"/>
                <w:sz w:val="20"/>
                <w:szCs w:val="20"/>
              </w:rPr>
              <w:t>易燃液体,类别3</w:t>
            </w:r>
          </w:p>
        </w:tc>
        <w:tc>
          <w:tcPr>
            <w:tcW w:w="2718" w:type="dxa"/>
          </w:tcPr>
          <w:p>
            <w:pPr>
              <w:widowControl/>
              <w:adjustRightInd/>
              <w:snapToGrid/>
              <w:spacing w:line="240" w:lineRule="auto"/>
              <w:ind w:firstLine="0" w:firstLineChars="0"/>
              <w:rPr>
                <w:rFonts w:ascii="宋体" w:hAnsi="宋体" w:cs="宋体"/>
                <w:color w:val="auto"/>
                <w:kern w:val="0"/>
                <w:sz w:val="20"/>
                <w:szCs w:val="20"/>
              </w:rPr>
            </w:pPr>
            <w:r>
              <w:rPr>
                <w:rFonts w:hint="eastAsia" w:ascii="宋体" w:hAnsi="宋体" w:cs="宋体"/>
                <w:color w:val="auto"/>
                <w:kern w:val="0"/>
                <w:sz w:val="20"/>
                <w:szCs w:val="20"/>
              </w:rPr>
              <w:t>急性毒性-经口,类别2</w:t>
            </w:r>
          </w:p>
          <w:p>
            <w:pPr>
              <w:widowControl/>
              <w:adjustRightInd/>
              <w:snapToGrid/>
              <w:spacing w:line="240" w:lineRule="auto"/>
              <w:ind w:firstLine="0" w:firstLineChars="0"/>
              <w:rPr>
                <w:rFonts w:ascii="宋体" w:hAnsi="宋体" w:cs="宋体"/>
                <w:color w:val="auto"/>
                <w:kern w:val="0"/>
                <w:sz w:val="20"/>
                <w:szCs w:val="20"/>
              </w:rPr>
            </w:pPr>
            <w:r>
              <w:rPr>
                <w:rFonts w:hint="eastAsia" w:ascii="宋体" w:hAnsi="宋体" w:cs="宋体"/>
                <w:color w:val="auto"/>
                <w:kern w:val="0"/>
                <w:sz w:val="20"/>
                <w:szCs w:val="20"/>
              </w:rPr>
              <w:t>生殖细胞致突变性,类别2、致癌性,类别2、生殖毒性,类别2、特异性靶器官毒性-反复接触,类别1、特异性靶器官毒性-一次接触,类别3（呼吸道刺激）、危害水生环境-急性危害,类别2、危害水生环境-长期危害,类别2</w:t>
            </w:r>
          </w:p>
        </w:tc>
        <w:tc>
          <w:tcPr>
            <w:tcW w:w="1349" w:type="dxa"/>
          </w:tcPr>
          <w:p>
            <w:pPr>
              <w:widowControl/>
              <w:adjustRightInd/>
              <w:snapToGrid/>
              <w:spacing w:line="240" w:lineRule="auto"/>
              <w:ind w:firstLine="0" w:firstLineChars="0"/>
              <w:rPr>
                <w:rFonts w:ascii="宋体" w:hAnsi="宋体" w:cs="宋体"/>
                <w:color w:val="auto"/>
                <w:kern w:val="0"/>
                <w:sz w:val="20"/>
                <w:szCs w:val="20"/>
              </w:rPr>
            </w:pPr>
            <w:r>
              <w:rPr>
                <w:rFonts w:ascii="宋体" w:hAnsi="宋体" w:cs="宋体"/>
                <w:color w:val="auto"/>
                <w:kern w:val="0"/>
                <w:sz w:val="20"/>
                <w:szCs w:val="20"/>
              </w:rPr>
              <w:t>氧化性液体,类别2</w:t>
            </w:r>
            <w:r>
              <w:rPr>
                <w:rFonts w:hint="eastAsia" w:ascii="宋体" w:hAnsi="宋体" w:cs="宋体"/>
                <w:color w:val="auto"/>
                <w:kern w:val="0"/>
                <w:sz w:val="20"/>
                <w:szCs w:val="20"/>
              </w:rPr>
              <w:t>、</w:t>
            </w:r>
            <w:r>
              <w:rPr>
                <w:rFonts w:ascii="宋体" w:hAnsi="宋体" w:cs="宋体"/>
                <w:color w:val="auto"/>
                <w:kern w:val="0"/>
                <w:sz w:val="20"/>
                <w:szCs w:val="20"/>
              </w:rPr>
              <w:t>皮肤腐蚀/刺激,类别1A</w:t>
            </w:r>
            <w:r>
              <w:rPr>
                <w:rFonts w:hint="eastAsia" w:ascii="宋体" w:hAnsi="宋体" w:cs="宋体"/>
                <w:color w:val="auto"/>
                <w:kern w:val="0"/>
                <w:sz w:val="20"/>
                <w:szCs w:val="20"/>
              </w:rPr>
              <w:t>、</w:t>
            </w:r>
            <w:r>
              <w:rPr>
                <w:rFonts w:ascii="宋体" w:hAnsi="宋体" w:cs="宋体"/>
                <w:color w:val="auto"/>
                <w:kern w:val="0"/>
                <w:sz w:val="20"/>
                <w:szCs w:val="20"/>
              </w:rPr>
              <w:t>严重眼损伤/眼刺激,类别1</w:t>
            </w:r>
            <w:r>
              <w:rPr>
                <w:rFonts w:hint="eastAsia" w:ascii="宋体" w:hAnsi="宋体" w:cs="宋体"/>
                <w:color w:val="auto"/>
                <w:kern w:val="0"/>
                <w:sz w:val="20"/>
                <w:szCs w:val="20"/>
              </w:rPr>
              <w:t>、</w:t>
            </w:r>
            <w:r>
              <w:rPr>
                <w:rFonts w:ascii="宋体" w:hAnsi="宋体" w:cs="宋体"/>
                <w:color w:val="auto"/>
                <w:kern w:val="0"/>
                <w:sz w:val="20"/>
                <w:szCs w:val="20"/>
              </w:rPr>
              <w:t>特异性靶器官毒性-一次接触,类别3</w:t>
            </w:r>
          </w:p>
        </w:tc>
      </w:tr>
      <w:bookmarkEnd w:id="1449"/>
      <w:bookmarkEnd w:id="1450"/>
      <w:bookmarkEnd w:id="1451"/>
      <w:bookmarkEnd w:id="1452"/>
      <w:bookmarkEnd w:id="1453"/>
    </w:tbl>
    <w:p>
      <w:pPr>
        <w:pStyle w:val="16"/>
        <w:ind w:firstLine="0" w:firstLineChars="0"/>
        <w:rPr>
          <w:sz w:val="21"/>
        </w:rPr>
      </w:pPr>
      <w:bookmarkStart w:id="1545" w:name="_Toc11611"/>
      <w:bookmarkStart w:id="1546" w:name="_Toc13469"/>
      <w:bookmarkStart w:id="1547" w:name="_Toc7668"/>
      <w:bookmarkStart w:id="1548" w:name="_Toc26738"/>
      <w:bookmarkStart w:id="1549" w:name="_Toc10103"/>
      <w:bookmarkStart w:id="1550" w:name="_Toc19219"/>
      <w:bookmarkStart w:id="1551" w:name="_Toc503269866"/>
      <w:bookmarkStart w:id="1552" w:name="_Toc174244031"/>
      <w:bookmarkStart w:id="1553" w:name="_Toc246965449"/>
    </w:p>
    <w:p>
      <w:pPr>
        <w:pStyle w:val="4"/>
        <w:keepNext w:val="0"/>
        <w:keepLines w:val="0"/>
        <w:ind w:firstLine="562"/>
      </w:pPr>
      <w:bookmarkStart w:id="1554" w:name="_Toc6762"/>
      <w:bookmarkStart w:id="1555" w:name="_Toc806"/>
      <w:bookmarkStart w:id="1556" w:name="_Toc20226"/>
      <w:bookmarkStart w:id="1557" w:name="_Toc27914"/>
      <w:bookmarkStart w:id="1558" w:name="_Toc3700"/>
      <w:bookmarkStart w:id="1559" w:name="_Toc6391"/>
      <w:bookmarkStart w:id="1560" w:name="_Toc17027"/>
      <w:bookmarkStart w:id="1561" w:name="_Toc19540"/>
      <w:bookmarkStart w:id="1562" w:name="_Toc6076"/>
      <w:bookmarkStart w:id="1563" w:name="_Toc32251"/>
      <w:bookmarkStart w:id="1564" w:name="_Toc1489"/>
      <w:bookmarkStart w:id="1565" w:name="_Toc12917"/>
      <w:bookmarkStart w:id="1566" w:name="_Toc27638"/>
      <w:bookmarkStart w:id="1567" w:name="_Toc13735"/>
      <w:bookmarkStart w:id="1568" w:name="_Toc4900"/>
      <w:bookmarkStart w:id="1569" w:name="_Toc20509"/>
      <w:r>
        <w:rPr>
          <w:rFonts w:hint="eastAsia"/>
        </w:rPr>
        <w:t>3.1.3 危险和有害因素分布情况</w:t>
      </w:r>
      <w:bookmarkEnd w:id="1545"/>
      <w:bookmarkEnd w:id="1546"/>
      <w:bookmarkEnd w:id="1547"/>
      <w:bookmarkEnd w:id="1548"/>
      <w:bookmarkEnd w:id="1549"/>
      <w:bookmarkEnd w:id="1550"/>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p>
    <w:p>
      <w:pPr>
        <w:ind w:firstLine="560"/>
        <w:rPr>
          <w:b/>
          <w:bCs/>
          <w:sz w:val="24"/>
        </w:rPr>
      </w:pPr>
      <w:r>
        <w:rPr>
          <w:rFonts w:hint="eastAsia"/>
        </w:rPr>
        <w:t>由本报告F2.4.4“主要危险、有害物质的存在部位”的结果可知：该项目生产过程中涉及到的主要危险、有害因素的存在部位结果见下表：</w:t>
      </w:r>
    </w:p>
    <w:p>
      <w:pPr>
        <w:ind w:firstLine="0" w:firstLineChars="0"/>
        <w:jc w:val="center"/>
        <w:rPr>
          <w:b/>
          <w:bCs/>
          <w:sz w:val="24"/>
        </w:rPr>
      </w:pPr>
      <w:r>
        <w:rPr>
          <w:rFonts w:hint="eastAsia"/>
          <w:b/>
          <w:bCs/>
          <w:sz w:val="24"/>
        </w:rPr>
        <w:t>表3.1-2主要危险、有害因素存在位置</w:t>
      </w:r>
    </w:p>
    <w:tbl>
      <w:tblPr>
        <w:tblStyle w:val="3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2190"/>
        <w:gridCol w:w="6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blHeader/>
          <w:jc w:val="center"/>
        </w:trPr>
        <w:tc>
          <w:tcPr>
            <w:tcW w:w="386" w:type="pct"/>
            <w:vAlign w:val="center"/>
          </w:tcPr>
          <w:p>
            <w:pPr>
              <w:topLinePunct/>
              <w:spacing w:line="240" w:lineRule="auto"/>
              <w:ind w:firstLine="0" w:firstLineChars="0"/>
              <w:jc w:val="center"/>
              <w:rPr>
                <w:rFonts w:ascii="宋体" w:hAnsi="宋体"/>
                <w:b/>
                <w:color w:val="auto"/>
                <w:sz w:val="21"/>
                <w:szCs w:val="21"/>
              </w:rPr>
            </w:pPr>
            <w:bookmarkStart w:id="1570" w:name="_Hlk68135734"/>
            <w:bookmarkStart w:id="1571" w:name="_Toc18434"/>
            <w:bookmarkStart w:id="1572" w:name="_Toc7778"/>
            <w:bookmarkStart w:id="1573" w:name="_Toc118297934"/>
            <w:bookmarkStart w:id="1574" w:name="_Toc12234"/>
            <w:bookmarkStart w:id="1575" w:name="_Toc22370"/>
            <w:bookmarkStart w:id="1576" w:name="_Toc5005"/>
            <w:bookmarkStart w:id="1577" w:name="_Toc12287"/>
            <w:bookmarkStart w:id="1578" w:name="_Toc1713"/>
            <w:r>
              <w:rPr>
                <w:rFonts w:hint="eastAsia" w:ascii="宋体" w:hAnsi="宋体"/>
                <w:b/>
                <w:color w:val="auto"/>
                <w:sz w:val="21"/>
                <w:szCs w:val="21"/>
              </w:rPr>
              <w:t>序号</w:t>
            </w:r>
          </w:p>
        </w:tc>
        <w:tc>
          <w:tcPr>
            <w:tcW w:w="1179" w:type="pct"/>
            <w:vAlign w:val="center"/>
          </w:tcPr>
          <w:p>
            <w:pPr>
              <w:topLinePunct/>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事故类别</w:t>
            </w:r>
          </w:p>
        </w:tc>
        <w:tc>
          <w:tcPr>
            <w:tcW w:w="3433" w:type="pct"/>
            <w:vAlign w:val="center"/>
          </w:tcPr>
          <w:p>
            <w:pPr>
              <w:topLinePunct/>
              <w:spacing w:line="240" w:lineRule="auto"/>
              <w:ind w:firstLine="0" w:firstLineChars="0"/>
              <w:jc w:val="center"/>
              <w:rPr>
                <w:rFonts w:ascii="宋体" w:hAnsi="宋体"/>
                <w:b/>
                <w:color w:val="auto"/>
                <w:sz w:val="21"/>
                <w:szCs w:val="21"/>
              </w:rPr>
            </w:pPr>
            <w:r>
              <w:rPr>
                <w:rFonts w:hint="eastAsia" w:ascii="宋体" w:hAnsi="宋体"/>
                <w:b/>
                <w:color w:val="auto"/>
                <w:sz w:val="21"/>
                <w:szCs w:val="21"/>
              </w:rPr>
              <w:t>存在部位或场所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1</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中毒窒息</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沸腾炉平台、余热锅炉平台、旋风除尘器平台、电除尘器平台、净化工序、SO</w:t>
            </w:r>
            <w:r>
              <w:rPr>
                <w:rFonts w:hint="eastAsia" w:ascii="宋体" w:hAnsi="宋体"/>
                <w:color w:val="auto"/>
                <w:sz w:val="21"/>
                <w:szCs w:val="21"/>
                <w:vertAlign w:val="subscript"/>
              </w:rPr>
              <w:t>2</w:t>
            </w:r>
            <w:r>
              <w:rPr>
                <w:rFonts w:hint="eastAsia" w:ascii="宋体" w:hAnsi="宋体"/>
                <w:color w:val="auto"/>
                <w:sz w:val="21"/>
                <w:szCs w:val="21"/>
              </w:rPr>
              <w:t>风机房、转化工序、干吸工序、尾气工序、污水处理、有限空间、设备安装、检修过程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2</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化学灼伤、化学腐蚀</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净化工序、干吸工序、尾气工序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3</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灼烫</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沸腾炉、余热锅炉、转化器等设备的安装、检修过程；烟气管道等本体及周围；蒸汽管道、阀门接口处。文氏管、填料塔；尾吸塔、干吸塔、硫酸储罐以及相配套的管道、泵、装车区域。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4</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机械伤害</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风机、泵、皮带输送机等运转机械设备作业点、设备安装、检修过程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5</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电气伤害</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配电柜、各用电设备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6</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物体打击</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在设备安装、试车、检修和房屋检修过程中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7</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高处坠落</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沸腾炉平台、余热锅炉平台、旋风除尘器平台、电除尘器平台、净化工序、转化工序、干吸工序、尾气工序、设备安装、检修过程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8</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起重伤害</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发电机起重机作业点、设备安装、检修过程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9</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车辆伤害</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厂区道路、装车区域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10</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淹溺</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污水收集池、澄清池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11</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噪声</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整个厂区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ascii="宋体" w:hAnsi="宋体"/>
                <w:color w:val="auto"/>
                <w:sz w:val="21"/>
                <w:szCs w:val="21"/>
              </w:rPr>
              <w:t>12</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火灾、爆炸</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沸腾炉点火升温点、设备安装、检修过程、余热锅炉、蒸汽管道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86"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1</w:t>
            </w:r>
            <w:r>
              <w:rPr>
                <w:rFonts w:ascii="宋体" w:hAnsi="宋体"/>
                <w:color w:val="auto"/>
                <w:sz w:val="21"/>
                <w:szCs w:val="21"/>
              </w:rPr>
              <w:t>3</w:t>
            </w:r>
          </w:p>
        </w:tc>
        <w:tc>
          <w:tcPr>
            <w:tcW w:w="1179"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粉尘伤害</w:t>
            </w:r>
          </w:p>
        </w:tc>
        <w:tc>
          <w:tcPr>
            <w:tcW w:w="3433" w:type="pct"/>
            <w:vAlign w:val="center"/>
          </w:tcPr>
          <w:p>
            <w:pPr>
              <w:topLinePunct/>
              <w:spacing w:line="240" w:lineRule="auto"/>
              <w:ind w:firstLine="0" w:firstLineChars="0"/>
              <w:jc w:val="center"/>
              <w:rPr>
                <w:rFonts w:ascii="宋体" w:hAnsi="宋体"/>
                <w:color w:val="auto"/>
                <w:sz w:val="21"/>
                <w:szCs w:val="21"/>
              </w:rPr>
            </w:pPr>
            <w:r>
              <w:rPr>
                <w:rFonts w:hint="eastAsia" w:ascii="宋体" w:hAnsi="宋体"/>
                <w:color w:val="auto"/>
                <w:sz w:val="21"/>
                <w:szCs w:val="21"/>
              </w:rPr>
              <w:t>原料堆场、渣库</w:t>
            </w:r>
          </w:p>
        </w:tc>
      </w:tr>
      <w:bookmarkEnd w:id="1570"/>
    </w:tbl>
    <w:p>
      <w:pPr>
        <w:pStyle w:val="16"/>
        <w:ind w:firstLine="560"/>
      </w:pPr>
    </w:p>
    <w:p>
      <w:pPr>
        <w:pStyle w:val="3"/>
        <w:keepNext w:val="0"/>
        <w:keepLines w:val="0"/>
        <w:ind w:firstLine="562"/>
        <w:rPr>
          <w:rFonts w:ascii="黑体" w:hAnsi="黑体" w:eastAsia="黑体" w:cs="黑体"/>
          <w:color w:val="000000" w:themeColor="text1"/>
        </w:rPr>
      </w:pPr>
      <w:bookmarkStart w:id="1579" w:name="_Toc12857"/>
      <w:bookmarkStart w:id="1580" w:name="_Toc12915"/>
      <w:bookmarkStart w:id="1581" w:name="_Toc19853"/>
      <w:bookmarkStart w:id="1582" w:name="_Toc30585"/>
      <w:bookmarkStart w:id="1583" w:name="_Toc26813"/>
      <w:bookmarkStart w:id="1584" w:name="_Toc22825"/>
      <w:bookmarkStart w:id="1585" w:name="_Toc4261"/>
      <w:bookmarkStart w:id="1586" w:name="_Toc31076"/>
      <w:bookmarkStart w:id="1587" w:name="_Toc4209"/>
      <w:bookmarkStart w:id="1588" w:name="_Toc3726"/>
      <w:bookmarkStart w:id="1589" w:name="_Toc8858"/>
      <w:bookmarkStart w:id="1590" w:name="_Toc17251"/>
      <w:bookmarkStart w:id="1591" w:name="_Toc26206"/>
      <w:bookmarkStart w:id="1592" w:name="_Toc1863"/>
      <w:bookmarkStart w:id="1593" w:name="_Toc12671"/>
      <w:bookmarkStart w:id="1594" w:name="_Toc20276"/>
      <w:bookmarkStart w:id="1595" w:name="_Toc7003"/>
      <w:bookmarkStart w:id="1596" w:name="_Toc13481"/>
      <w:bookmarkStart w:id="1597" w:name="_Toc7073"/>
      <w:bookmarkStart w:id="1598" w:name="_Toc12511"/>
      <w:bookmarkStart w:id="1599" w:name="_Toc5616"/>
      <w:bookmarkStart w:id="1600" w:name="_Toc11379"/>
      <w:bookmarkStart w:id="1601" w:name="_Toc820"/>
      <w:bookmarkStart w:id="1602" w:name="_Toc8857"/>
      <w:bookmarkStart w:id="1603" w:name="_Toc12367"/>
      <w:r>
        <w:rPr>
          <w:rFonts w:hint="eastAsia" w:ascii="黑体" w:hAnsi="黑体" w:eastAsia="黑体" w:cs="黑体"/>
          <w:color w:val="000000" w:themeColor="text1"/>
        </w:rPr>
        <w:t>3.2 主要危险和有害因素辨识分析结果</w:t>
      </w:r>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p>
    <w:p>
      <w:pPr>
        <w:ind w:firstLine="560"/>
        <w:rPr>
          <w:color w:val="000000" w:themeColor="text1"/>
        </w:rPr>
      </w:pPr>
      <w:r>
        <w:t>由本报告</w:t>
      </w:r>
      <w:r>
        <w:rPr>
          <w:rFonts w:hint="eastAsia"/>
        </w:rPr>
        <w:t>F</w:t>
      </w:r>
      <w:r>
        <w:t>2.5“主要</w:t>
      </w:r>
      <w:r>
        <w:rPr>
          <w:rFonts w:hint="eastAsia"/>
        </w:rPr>
        <w:t>危险和有害因素</w:t>
      </w:r>
      <w:r>
        <w:t>分析”的结果可知：</w:t>
      </w:r>
      <w:r>
        <w:rPr>
          <w:rFonts w:hint="eastAsia"/>
          <w:color w:val="000000" w:themeColor="text1"/>
        </w:rPr>
        <w:t>跃进化工生产过程可能发生</w:t>
      </w:r>
      <w:r>
        <w:rPr>
          <w:rFonts w:hint="eastAsia" w:ascii="宋体" w:hAnsi="宋体"/>
          <w:color w:val="auto"/>
          <w:szCs w:val="28"/>
        </w:rPr>
        <w:t>中毒窒息、化学灼伤、腐蚀、灼烫、机械伤害、电气伤害、物体打击、高处坠落、起重伤害、车辆伤害、淹溺、噪声、火灾、爆炸、粉尘伤害</w:t>
      </w:r>
      <w:r>
        <w:rPr>
          <w:rFonts w:hint="eastAsia"/>
          <w:color w:val="auto"/>
        </w:rPr>
        <w:t>等危险和有害因素</w:t>
      </w:r>
      <w:r>
        <w:rPr>
          <w:rFonts w:hint="eastAsia"/>
          <w:color w:val="000000" w:themeColor="text1"/>
          <w:szCs w:val="28"/>
        </w:rPr>
        <w:t>。</w:t>
      </w:r>
    </w:p>
    <w:p>
      <w:pPr>
        <w:pStyle w:val="3"/>
        <w:keepNext w:val="0"/>
        <w:keepLines w:val="0"/>
        <w:ind w:firstLine="562"/>
        <w:rPr>
          <w:rFonts w:ascii="黑体" w:hAnsi="黑体" w:eastAsia="黑体" w:cs="黑体"/>
          <w:color w:val="000000" w:themeColor="text1"/>
        </w:rPr>
      </w:pPr>
      <w:bookmarkStart w:id="1604" w:name="_Toc3915"/>
      <w:bookmarkStart w:id="1605" w:name="_Toc24466"/>
      <w:bookmarkStart w:id="1606" w:name="_Toc1580"/>
      <w:bookmarkStart w:id="1607" w:name="_Toc26142"/>
      <w:bookmarkStart w:id="1608" w:name="_Toc13021"/>
      <w:bookmarkStart w:id="1609" w:name="_Toc23655"/>
      <w:bookmarkStart w:id="1610" w:name="_Toc3217"/>
      <w:bookmarkStart w:id="1611" w:name="_Toc7757"/>
      <w:bookmarkStart w:id="1612" w:name="_Toc30638"/>
      <w:bookmarkStart w:id="1613" w:name="_Toc24859"/>
      <w:bookmarkStart w:id="1614" w:name="_Toc4336"/>
      <w:bookmarkStart w:id="1615" w:name="_Toc13105"/>
      <w:bookmarkStart w:id="1616" w:name="_Toc28201"/>
      <w:bookmarkStart w:id="1617" w:name="_Toc25535"/>
      <w:bookmarkStart w:id="1618" w:name="_Toc7347"/>
      <w:bookmarkStart w:id="1619" w:name="_Toc10847"/>
      <w:bookmarkStart w:id="1620" w:name="_Toc23233"/>
      <w:bookmarkStart w:id="1621" w:name="_Toc118297935"/>
      <w:bookmarkStart w:id="1622" w:name="_Toc18890"/>
      <w:bookmarkStart w:id="1623" w:name="_Toc24931"/>
      <w:bookmarkStart w:id="1624" w:name="_Toc22006"/>
      <w:bookmarkStart w:id="1625" w:name="_Toc577"/>
      <w:bookmarkStart w:id="1626" w:name="_Toc673"/>
      <w:bookmarkStart w:id="1627" w:name="_Toc13964"/>
      <w:bookmarkStart w:id="1628" w:name="_Toc25345"/>
      <w:bookmarkStart w:id="1629" w:name="_Toc12762"/>
      <w:bookmarkStart w:id="1630" w:name="_Toc5940"/>
      <w:bookmarkStart w:id="1631" w:name="_Toc13954"/>
      <w:bookmarkStart w:id="1632" w:name="_Toc18018"/>
      <w:bookmarkStart w:id="1633" w:name="_Toc32763"/>
      <w:bookmarkStart w:id="1634" w:name="_Toc22248"/>
      <w:bookmarkStart w:id="1635" w:name="_Toc23830"/>
      <w:bookmarkStart w:id="1636" w:name="_Toc2939"/>
      <w:r>
        <w:rPr>
          <w:rFonts w:hint="eastAsia" w:ascii="黑体" w:hAnsi="黑体" w:eastAsia="黑体" w:cs="黑体"/>
          <w:color w:val="000000" w:themeColor="text1"/>
        </w:rPr>
        <w:t>3.3 危险化学品重大危险源辨识结果</w:t>
      </w:r>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p>
    <w:p>
      <w:pPr>
        <w:ind w:firstLine="560"/>
      </w:pPr>
      <w:r>
        <w:rPr>
          <w:rFonts w:hint="eastAsia"/>
        </w:rPr>
        <w:t>根据报告F2.7“危险化学品重大危险源辨识”的结果可知：跃进化工涉及的危险化学品不构成危险化学品重大危险源。</w:t>
      </w:r>
    </w:p>
    <w:p>
      <w:pPr>
        <w:pStyle w:val="3"/>
        <w:keepNext w:val="0"/>
        <w:keepLines w:val="0"/>
        <w:ind w:firstLine="562"/>
        <w:rPr>
          <w:rFonts w:ascii="黑体" w:hAnsi="黑体" w:eastAsia="黑体" w:cs="黑体"/>
          <w:color w:val="000000" w:themeColor="text1"/>
        </w:rPr>
      </w:pPr>
      <w:bookmarkStart w:id="1637" w:name="_Toc19775"/>
      <w:bookmarkStart w:id="1638" w:name="_Toc7623"/>
      <w:bookmarkStart w:id="1639" w:name="_Toc26802"/>
      <w:bookmarkStart w:id="1640" w:name="_Toc14345"/>
      <w:bookmarkStart w:id="1641" w:name="_Toc7780"/>
      <w:bookmarkStart w:id="1642" w:name="_Toc28435"/>
      <w:bookmarkStart w:id="1643" w:name="_Toc118297936"/>
      <w:bookmarkStart w:id="1644" w:name="_Toc26937"/>
      <w:bookmarkStart w:id="1645" w:name="_Toc1226"/>
      <w:bookmarkStart w:id="1646" w:name="_Toc12954"/>
      <w:bookmarkStart w:id="1647" w:name="_Toc24313"/>
      <w:bookmarkStart w:id="1648" w:name="_Toc23345"/>
      <w:bookmarkStart w:id="1649" w:name="_Toc1627"/>
      <w:bookmarkStart w:id="1650" w:name="_Toc6165"/>
      <w:bookmarkStart w:id="1651" w:name="_Toc23834"/>
      <w:bookmarkStart w:id="1652" w:name="_Toc767"/>
      <w:bookmarkStart w:id="1653" w:name="_Toc28758"/>
      <w:bookmarkStart w:id="1654" w:name="_Toc18143"/>
      <w:bookmarkStart w:id="1655" w:name="_Toc15324"/>
      <w:bookmarkStart w:id="1656" w:name="_Toc2770"/>
      <w:bookmarkStart w:id="1657" w:name="_Toc13366"/>
      <w:bookmarkStart w:id="1658" w:name="_Toc26412"/>
      <w:bookmarkStart w:id="1659" w:name="_Toc7124"/>
      <w:bookmarkStart w:id="1660" w:name="_Toc9378"/>
      <w:bookmarkStart w:id="1661" w:name="_Toc12617"/>
      <w:bookmarkStart w:id="1662" w:name="_Toc409"/>
      <w:bookmarkStart w:id="1663" w:name="_Toc28018"/>
      <w:bookmarkStart w:id="1664" w:name="_Toc24628"/>
      <w:bookmarkStart w:id="1665" w:name="_Toc26470"/>
      <w:bookmarkStart w:id="1666" w:name="_Toc22703"/>
      <w:bookmarkStart w:id="1667" w:name="_Toc13471"/>
      <w:bookmarkStart w:id="1668" w:name="_Toc9724"/>
      <w:bookmarkStart w:id="1669" w:name="_Toc29179"/>
      <w:r>
        <w:rPr>
          <w:rFonts w:hint="eastAsia" w:ascii="黑体" w:hAnsi="黑体" w:eastAsia="黑体" w:cs="黑体"/>
          <w:color w:val="000000" w:themeColor="text1"/>
        </w:rPr>
        <w:t>3.4 剧毒品、易制毒危险化学品、易制爆危险化学品辨识结果</w:t>
      </w:r>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p>
    <w:p>
      <w:pPr>
        <w:ind w:firstLine="560"/>
        <w:rPr>
          <w:rFonts w:ascii="宋体" w:hAnsi="宋体"/>
        </w:rPr>
      </w:pPr>
      <w:r>
        <w:rPr>
          <w:rFonts w:hint="eastAsia" w:ascii="宋体" w:hAnsi="宋体"/>
        </w:rPr>
        <w:t>根据报告F2.8“剧毒品、易制毒化学品、易制爆化学品辨识”的结果可知：该项目生产过程中涉及的危险化学品不属于剧毒品。</w:t>
      </w:r>
    </w:p>
    <w:p>
      <w:pPr>
        <w:pStyle w:val="62"/>
        <w:topLinePunct/>
        <w:ind w:firstLine="560"/>
        <w:rPr>
          <w:rFonts w:ascii="宋体" w:hAnsi="宋体"/>
          <w:color w:val="auto"/>
          <w:szCs w:val="28"/>
        </w:rPr>
      </w:pPr>
      <w:bookmarkStart w:id="1670" w:name="_Toc20737"/>
      <w:bookmarkStart w:id="1671" w:name="_Toc28331"/>
      <w:bookmarkStart w:id="1672" w:name="_Toc16960"/>
      <w:bookmarkStart w:id="1673" w:name="_Toc3609"/>
      <w:bookmarkStart w:id="1674" w:name="_Toc13927"/>
      <w:bookmarkStart w:id="1675" w:name="_Toc4790"/>
      <w:bookmarkStart w:id="1676" w:name="_Toc27407"/>
      <w:bookmarkStart w:id="1677" w:name="_Toc8623"/>
      <w:bookmarkStart w:id="1678" w:name="_Toc1017"/>
      <w:bookmarkStart w:id="1679" w:name="_Toc13753"/>
      <w:bookmarkStart w:id="1680" w:name="_Toc21549"/>
      <w:bookmarkStart w:id="1681" w:name="_Toc32486"/>
      <w:bookmarkStart w:id="1682" w:name="_Toc9693"/>
      <w:bookmarkStart w:id="1683" w:name="_Toc2097"/>
      <w:bookmarkStart w:id="1684" w:name="_Toc118297937"/>
      <w:bookmarkStart w:id="1685" w:name="_Toc29785"/>
      <w:bookmarkStart w:id="1686" w:name="_Toc9476"/>
      <w:bookmarkStart w:id="1687" w:name="_Toc23565"/>
      <w:bookmarkStart w:id="1688" w:name="_Toc4215"/>
      <w:bookmarkStart w:id="1689" w:name="_Toc17543"/>
      <w:bookmarkStart w:id="1690" w:name="_Toc8148"/>
      <w:r>
        <w:rPr>
          <w:rFonts w:hint="eastAsia" w:ascii="宋体" w:hAnsi="宋体"/>
          <w:color w:val="auto"/>
          <w:szCs w:val="28"/>
        </w:rPr>
        <w:t>根据《易制毒化学品管理条例》（中华人民共和国国务院令第445号，第653号第一次修订，第666号第二次修订，第703号第三次修订，2018年9月18日起施行）有关规定，对跃进化工生产过程涉及的危险化学品进行辩识，硫酸属于第三类易制毒危险化学品。</w:t>
      </w:r>
    </w:p>
    <w:p>
      <w:pPr>
        <w:pStyle w:val="62"/>
        <w:topLinePunct/>
        <w:ind w:firstLine="536"/>
        <w:rPr>
          <w:rFonts w:ascii="宋体" w:hAnsi="宋体"/>
          <w:color w:val="auto"/>
          <w:spacing w:val="-6"/>
          <w:szCs w:val="28"/>
        </w:rPr>
      </w:pPr>
      <w:r>
        <w:rPr>
          <w:rFonts w:hint="eastAsia" w:ascii="宋体" w:hAnsi="宋体"/>
          <w:color w:val="auto"/>
          <w:spacing w:val="-6"/>
          <w:szCs w:val="28"/>
        </w:rPr>
        <w:t>根据《易制爆化学品名录》（2017年版）有关规定，对跃进化工生产过程涉及的危险化学品进行辩识，双氧水属于易制爆危险化学品。</w:t>
      </w:r>
    </w:p>
    <w:p>
      <w:pPr>
        <w:pStyle w:val="3"/>
        <w:keepNext w:val="0"/>
        <w:keepLines w:val="0"/>
        <w:ind w:firstLine="562"/>
        <w:rPr>
          <w:rFonts w:ascii="黑体" w:hAnsi="黑体" w:eastAsia="黑体" w:cs="黑体"/>
          <w:color w:val="000000" w:themeColor="text1"/>
        </w:rPr>
      </w:pPr>
      <w:bookmarkStart w:id="1691" w:name="_Toc18819"/>
      <w:bookmarkStart w:id="1692" w:name="_Toc5039"/>
      <w:bookmarkStart w:id="1693" w:name="_Toc18460"/>
      <w:bookmarkStart w:id="1694" w:name="_Toc32021"/>
      <w:bookmarkStart w:id="1695" w:name="_Toc25781"/>
      <w:bookmarkStart w:id="1696" w:name="_Toc29255"/>
      <w:bookmarkStart w:id="1697" w:name="_Toc7843"/>
      <w:bookmarkStart w:id="1698" w:name="_Toc1812"/>
      <w:bookmarkStart w:id="1699" w:name="_Toc11265"/>
      <w:bookmarkStart w:id="1700" w:name="_Toc25006"/>
      <w:bookmarkStart w:id="1701" w:name="_Toc5064"/>
      <w:bookmarkStart w:id="1702" w:name="_Toc6818"/>
      <w:r>
        <w:rPr>
          <w:rFonts w:hint="eastAsia" w:ascii="黑体" w:hAnsi="黑体" w:eastAsia="黑体" w:cs="黑体"/>
          <w:color w:val="000000" w:themeColor="text1"/>
        </w:rPr>
        <w:t>3.5 重点监管的危险化学品辨识结果</w:t>
      </w:r>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p>
    <w:p>
      <w:pPr>
        <w:pStyle w:val="62"/>
        <w:topLinePunct/>
        <w:ind w:firstLine="560"/>
        <w:rPr>
          <w:rFonts w:ascii="宋体" w:hAnsi="宋体"/>
          <w:color w:val="auto"/>
          <w:szCs w:val="28"/>
        </w:rPr>
      </w:pPr>
      <w:r>
        <w:rPr>
          <w:rFonts w:ascii="宋体" w:hAnsi="宋体"/>
        </w:rPr>
        <w:t>根据报告</w:t>
      </w:r>
      <w:r>
        <w:rPr>
          <w:rFonts w:hint="eastAsia" w:ascii="宋体" w:hAnsi="宋体"/>
        </w:rPr>
        <w:t>F</w:t>
      </w:r>
      <w:r>
        <w:rPr>
          <w:rFonts w:ascii="宋体" w:hAnsi="宋体"/>
        </w:rPr>
        <w:t>2.</w:t>
      </w:r>
      <w:r>
        <w:rPr>
          <w:rFonts w:hint="eastAsia" w:ascii="宋体" w:hAnsi="宋体"/>
        </w:rPr>
        <w:t>9</w:t>
      </w:r>
      <w:r>
        <w:rPr>
          <w:rFonts w:ascii="宋体" w:hAnsi="宋体"/>
        </w:rPr>
        <w:t>“重点监管的危险化学品辨识”的结果可知：</w:t>
      </w:r>
      <w:bookmarkStart w:id="1703" w:name="_Toc22062"/>
      <w:bookmarkStart w:id="1704" w:name="_Toc13997"/>
      <w:bookmarkStart w:id="1705" w:name="_Toc11064"/>
      <w:bookmarkStart w:id="1706" w:name="_Toc118297938"/>
      <w:bookmarkStart w:id="1707" w:name="_Toc6719"/>
      <w:bookmarkStart w:id="1708" w:name="_Toc24372"/>
      <w:bookmarkStart w:id="1709" w:name="_Toc3627"/>
      <w:bookmarkStart w:id="1710" w:name="_Toc30997"/>
      <w:bookmarkStart w:id="1711" w:name="_Toc8916"/>
      <w:bookmarkStart w:id="1712" w:name="_Toc27149"/>
      <w:bookmarkStart w:id="1713" w:name="_Toc85"/>
      <w:bookmarkStart w:id="1714" w:name="_Toc672"/>
      <w:bookmarkStart w:id="1715" w:name="_Toc6869"/>
      <w:bookmarkStart w:id="1716" w:name="_Toc901"/>
      <w:bookmarkStart w:id="1717" w:name="_Toc13506"/>
      <w:bookmarkStart w:id="1718" w:name="_Toc30151"/>
      <w:bookmarkStart w:id="1719" w:name="_Toc7714"/>
      <w:bookmarkStart w:id="1720" w:name="_Toc13049"/>
      <w:bookmarkStart w:id="1721" w:name="_Toc12190"/>
      <w:bookmarkStart w:id="1722" w:name="_Toc30009"/>
      <w:bookmarkStart w:id="1723" w:name="_Toc21854"/>
      <w:r>
        <w:rPr>
          <w:rFonts w:hint="eastAsia" w:ascii="宋体" w:hAnsi="宋体"/>
          <w:color w:val="auto"/>
          <w:szCs w:val="28"/>
        </w:rPr>
        <w:t>依据《国家安全监管总局关于公布首批重点监管的危险化学品名录的通知》（安监总管三〔2011〕95号）有关规定，本项目生产过程涉及的危险化学品中，二氧化硫、三氧化硫为首批重点监管的危险化学品，但在装置中二氧化硫、三氧化硫为中间产物，在烟气和尾气中的存在，含量较低，且不涉及储存。</w:t>
      </w:r>
    </w:p>
    <w:p>
      <w:pPr>
        <w:pStyle w:val="62"/>
        <w:topLinePunct/>
        <w:ind w:firstLine="560"/>
        <w:rPr>
          <w:rFonts w:ascii="宋体" w:hAnsi="宋体"/>
          <w:color w:val="auto"/>
          <w:szCs w:val="28"/>
        </w:rPr>
      </w:pPr>
      <w:r>
        <w:rPr>
          <w:rFonts w:hint="eastAsia" w:ascii="宋体" w:hAnsi="宋体"/>
          <w:color w:val="auto"/>
          <w:szCs w:val="28"/>
        </w:rPr>
        <w:t>根据国家安全监管总局《关于公布第二批重点监管危险化学品名录的通知》（安监总管三〔2013〕12号）有关规定，跃进化工生产过程涉及的危险化学品中，未涉及第二批重点监管的危险化学品。</w:t>
      </w:r>
    </w:p>
    <w:p>
      <w:pPr>
        <w:pStyle w:val="3"/>
        <w:keepNext w:val="0"/>
        <w:keepLines w:val="0"/>
        <w:ind w:firstLine="562"/>
        <w:rPr>
          <w:rFonts w:ascii="黑体" w:hAnsi="黑体" w:eastAsia="黑体" w:cs="黑体"/>
          <w:color w:val="000000" w:themeColor="text1"/>
        </w:rPr>
      </w:pPr>
      <w:bookmarkStart w:id="1724" w:name="_Toc32318"/>
      <w:bookmarkStart w:id="1725" w:name="_Toc1625"/>
      <w:bookmarkStart w:id="1726" w:name="_Toc27131"/>
      <w:bookmarkStart w:id="1727" w:name="_Toc414"/>
      <w:bookmarkStart w:id="1728" w:name="_Toc19742"/>
      <w:bookmarkStart w:id="1729" w:name="_Toc19594"/>
      <w:bookmarkStart w:id="1730" w:name="_Toc6765"/>
      <w:bookmarkStart w:id="1731" w:name="_Toc24366"/>
      <w:bookmarkStart w:id="1732" w:name="_Toc10059"/>
      <w:bookmarkStart w:id="1733" w:name="_Toc1865"/>
      <w:bookmarkStart w:id="1734" w:name="_Toc5876"/>
      <w:bookmarkStart w:id="1735" w:name="_Toc18967"/>
      <w:r>
        <w:rPr>
          <w:rFonts w:hint="eastAsia" w:ascii="黑体" w:hAnsi="黑体" w:eastAsia="黑体" w:cs="黑体"/>
          <w:color w:val="000000" w:themeColor="text1"/>
        </w:rPr>
        <w:t>3.6 重点监管的危险化工工艺辨识结果</w:t>
      </w:r>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p>
    <w:p>
      <w:pPr>
        <w:ind w:firstLine="560"/>
        <w:rPr>
          <w:rFonts w:ascii="宋体" w:hAnsi="宋体"/>
        </w:rPr>
      </w:pPr>
      <w:r>
        <w:rPr>
          <w:rFonts w:ascii="宋体" w:hAnsi="宋体"/>
        </w:rPr>
        <w:t>根据报告</w:t>
      </w:r>
      <w:r>
        <w:rPr>
          <w:rFonts w:hint="eastAsia" w:ascii="宋体" w:hAnsi="宋体"/>
        </w:rPr>
        <w:t>F</w:t>
      </w:r>
      <w:r>
        <w:rPr>
          <w:rFonts w:ascii="宋体" w:hAnsi="宋体"/>
        </w:rPr>
        <w:t>“2.</w:t>
      </w:r>
      <w:r>
        <w:rPr>
          <w:rFonts w:hint="eastAsia" w:ascii="宋体" w:hAnsi="宋体"/>
        </w:rPr>
        <w:t>10</w:t>
      </w:r>
      <w:r>
        <w:rPr>
          <w:rFonts w:ascii="宋体" w:hAnsi="宋体"/>
        </w:rPr>
        <w:t>重点监管的危险化工工艺辨识”的结果可知：</w:t>
      </w:r>
      <w:r>
        <w:rPr>
          <w:rFonts w:hint="eastAsia" w:ascii="宋体" w:hAnsi="宋体"/>
        </w:rPr>
        <w:t>跃进化工</w:t>
      </w:r>
      <w:r>
        <w:rPr>
          <w:rFonts w:ascii="宋体" w:hAnsi="宋体"/>
        </w:rPr>
        <w:t>生产工艺</w:t>
      </w:r>
      <w:r>
        <w:rPr>
          <w:rFonts w:hint="eastAsia" w:ascii="宋体" w:hAnsi="宋体"/>
        </w:rPr>
        <w:t>不</w:t>
      </w:r>
      <w:r>
        <w:rPr>
          <w:rFonts w:ascii="宋体" w:hAnsi="宋体"/>
        </w:rPr>
        <w:t>属于重点监管的危险化工工艺</w:t>
      </w:r>
      <w:r>
        <w:rPr>
          <w:rFonts w:hint="eastAsia" w:ascii="宋体" w:hAnsi="宋体"/>
        </w:rPr>
        <w:t>。</w:t>
      </w:r>
    </w:p>
    <w:p>
      <w:pPr>
        <w:pStyle w:val="3"/>
        <w:keepNext w:val="0"/>
        <w:keepLines w:val="0"/>
        <w:ind w:firstLine="562"/>
        <w:rPr>
          <w:rFonts w:ascii="黑体" w:hAnsi="黑体" w:eastAsia="黑体" w:cs="黑体"/>
          <w:color w:val="000000" w:themeColor="text1"/>
        </w:rPr>
      </w:pPr>
      <w:bookmarkStart w:id="1736" w:name="_Toc17843"/>
      <w:bookmarkStart w:id="1737" w:name="_Toc25709"/>
      <w:bookmarkStart w:id="1738" w:name="_Toc10696"/>
      <w:bookmarkStart w:id="1739" w:name="_Toc13589"/>
      <w:bookmarkStart w:id="1740" w:name="_Toc31080"/>
      <w:bookmarkStart w:id="1741" w:name="_Toc8737"/>
      <w:bookmarkStart w:id="1742" w:name="_Toc24534"/>
      <w:bookmarkStart w:id="1743" w:name="_Toc8702"/>
      <w:bookmarkStart w:id="1744" w:name="_Toc28204"/>
      <w:bookmarkStart w:id="1745" w:name="_Toc32765"/>
      <w:bookmarkStart w:id="1746" w:name="_Toc28653"/>
      <w:bookmarkStart w:id="1747" w:name="_Toc15075"/>
      <w:bookmarkStart w:id="1748" w:name="_Toc6861"/>
      <w:bookmarkStart w:id="1749" w:name="_Toc9353"/>
      <w:bookmarkStart w:id="1750" w:name="_Toc12057"/>
      <w:bookmarkStart w:id="1751" w:name="_Toc13491"/>
      <w:bookmarkStart w:id="1752" w:name="_Toc11595"/>
      <w:bookmarkStart w:id="1753" w:name="_Toc17280"/>
      <w:bookmarkStart w:id="1754" w:name="_Toc11314"/>
      <w:bookmarkStart w:id="1755" w:name="_Toc128056440"/>
      <w:bookmarkStart w:id="1756" w:name="_Toc16834"/>
      <w:bookmarkStart w:id="1757" w:name="_Toc4327"/>
      <w:bookmarkStart w:id="1758" w:name="_Toc29163"/>
      <w:bookmarkStart w:id="1759" w:name="_Toc23310"/>
      <w:bookmarkStart w:id="1760" w:name="_Toc23674"/>
      <w:bookmarkStart w:id="1761" w:name="_Toc915"/>
      <w:bookmarkStart w:id="1762" w:name="_Toc18139"/>
      <w:bookmarkStart w:id="1763" w:name="_Toc31154"/>
      <w:bookmarkStart w:id="1764" w:name="_Toc13677"/>
      <w:bookmarkStart w:id="1765" w:name="_Toc14071"/>
      <w:bookmarkStart w:id="1766" w:name="_Toc8543"/>
      <w:bookmarkStart w:id="1767" w:name="_Toc7256"/>
      <w:bookmarkStart w:id="1768" w:name="_Toc18172"/>
      <w:bookmarkStart w:id="1769" w:name="_Toc30938"/>
      <w:bookmarkStart w:id="1770" w:name="_Toc15791"/>
      <w:bookmarkStart w:id="1771" w:name="_Toc20820"/>
      <w:r>
        <w:rPr>
          <w:rFonts w:hint="eastAsia" w:ascii="黑体" w:hAnsi="黑体" w:eastAsia="黑体" w:cs="黑体"/>
          <w:color w:val="000000" w:themeColor="text1"/>
        </w:rPr>
        <w:t xml:space="preserve">3.7 </w:t>
      </w:r>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r>
        <w:rPr>
          <w:rFonts w:hint="eastAsia" w:ascii="黑体" w:hAnsi="黑体" w:eastAsia="黑体" w:cs="黑体"/>
          <w:color w:val="000000" w:themeColor="text1"/>
        </w:rPr>
        <w:t>高毒物品辨识结果</w:t>
      </w:r>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p>
    <w:p>
      <w:pPr>
        <w:pStyle w:val="62"/>
        <w:topLinePunct/>
        <w:ind w:firstLine="560"/>
        <w:rPr>
          <w:rFonts w:ascii="宋体" w:hAnsi="宋体"/>
          <w:color w:val="auto"/>
          <w:szCs w:val="28"/>
        </w:rPr>
      </w:pPr>
      <w:r>
        <w:rPr>
          <w:rFonts w:ascii="宋体" w:hAnsi="宋体"/>
        </w:rPr>
        <w:t>根据报告</w:t>
      </w:r>
      <w:r>
        <w:rPr>
          <w:rFonts w:hint="eastAsia" w:ascii="宋体" w:hAnsi="宋体"/>
        </w:rPr>
        <w:t>F</w:t>
      </w:r>
      <w:r>
        <w:rPr>
          <w:rFonts w:ascii="宋体" w:hAnsi="宋体"/>
        </w:rPr>
        <w:t>2.</w:t>
      </w:r>
      <w:r>
        <w:rPr>
          <w:rFonts w:hint="eastAsia" w:ascii="宋体" w:hAnsi="宋体"/>
        </w:rPr>
        <w:t>11</w:t>
      </w:r>
      <w:r>
        <w:rPr>
          <w:rFonts w:ascii="宋体" w:hAnsi="宋体"/>
        </w:rPr>
        <w:t>“</w:t>
      </w:r>
      <w:r>
        <w:rPr>
          <w:rFonts w:hint="eastAsia" w:ascii="宋体" w:hAnsi="宋体"/>
          <w:color w:val="auto"/>
          <w:szCs w:val="28"/>
        </w:rPr>
        <w:t>高毒物品</w:t>
      </w:r>
      <w:r>
        <w:rPr>
          <w:rFonts w:ascii="宋体" w:hAnsi="宋体"/>
        </w:rPr>
        <w:t>辨识”的结果可知：</w:t>
      </w:r>
      <w:r>
        <w:rPr>
          <w:rFonts w:hint="eastAsia" w:ascii="宋体" w:hAnsi="宋体"/>
          <w:color w:val="auto"/>
          <w:szCs w:val="28"/>
        </w:rPr>
        <w:t>跃进化工生产经营过程不涉及高毒物品。</w:t>
      </w:r>
    </w:p>
    <w:p>
      <w:pPr>
        <w:pStyle w:val="3"/>
        <w:keepNext w:val="0"/>
        <w:keepLines w:val="0"/>
        <w:ind w:firstLine="562"/>
        <w:rPr>
          <w:rFonts w:ascii="黑体" w:hAnsi="黑体" w:eastAsia="黑体" w:cs="黑体"/>
          <w:color w:val="000000" w:themeColor="text1"/>
        </w:rPr>
      </w:pPr>
      <w:bookmarkStart w:id="1772" w:name="_Toc8492"/>
      <w:bookmarkStart w:id="1773" w:name="_Toc3858"/>
      <w:bookmarkStart w:id="1774" w:name="_Toc12161"/>
      <w:bookmarkStart w:id="1775" w:name="_Toc10094"/>
      <w:bookmarkStart w:id="1776" w:name="_Toc30653"/>
      <w:bookmarkStart w:id="1777" w:name="_Toc18994"/>
      <w:bookmarkStart w:id="1778" w:name="_Toc23970"/>
      <w:bookmarkStart w:id="1779" w:name="_Toc13006"/>
      <w:bookmarkStart w:id="1780" w:name="_Toc20466"/>
      <w:bookmarkStart w:id="1781" w:name="_Toc19338"/>
      <w:bookmarkStart w:id="1782" w:name="_Toc23785"/>
      <w:bookmarkStart w:id="1783" w:name="_Toc24692"/>
      <w:bookmarkStart w:id="1784" w:name="_Toc220"/>
      <w:bookmarkStart w:id="1785" w:name="_Toc30433"/>
      <w:bookmarkStart w:id="1786" w:name="_Toc31097"/>
      <w:bookmarkStart w:id="1787" w:name="_Toc15808"/>
      <w:r>
        <w:rPr>
          <w:rFonts w:hint="eastAsia" w:ascii="黑体" w:hAnsi="黑体" w:eastAsia="黑体" w:cs="黑体"/>
          <w:color w:val="000000" w:themeColor="text1"/>
        </w:rPr>
        <w:t>3.8特别管控危险化学品辨识结果</w:t>
      </w:r>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p>
    <w:p>
      <w:pPr>
        <w:pStyle w:val="62"/>
        <w:topLinePunct/>
        <w:ind w:firstLine="560"/>
        <w:rPr>
          <w:rFonts w:ascii="宋体" w:hAnsi="宋体"/>
          <w:color w:val="auto"/>
          <w:szCs w:val="28"/>
        </w:rPr>
      </w:pPr>
      <w:r>
        <w:rPr>
          <w:rFonts w:ascii="宋体" w:hAnsi="宋体"/>
        </w:rPr>
        <w:t>根据报告</w:t>
      </w:r>
      <w:r>
        <w:rPr>
          <w:rFonts w:hint="eastAsia" w:ascii="宋体" w:hAnsi="宋体"/>
        </w:rPr>
        <w:t>F</w:t>
      </w:r>
      <w:r>
        <w:rPr>
          <w:rFonts w:ascii="宋体" w:hAnsi="宋体"/>
        </w:rPr>
        <w:t>2.</w:t>
      </w:r>
      <w:r>
        <w:rPr>
          <w:rFonts w:hint="eastAsia" w:ascii="宋体" w:hAnsi="宋体"/>
        </w:rPr>
        <w:t>12</w:t>
      </w:r>
      <w:r>
        <w:rPr>
          <w:rFonts w:ascii="宋体" w:hAnsi="宋体"/>
        </w:rPr>
        <w:t>“</w:t>
      </w:r>
      <w:r>
        <w:rPr>
          <w:rFonts w:hint="eastAsia" w:ascii="宋体" w:hAnsi="宋体"/>
        </w:rPr>
        <w:t>特别管控</w:t>
      </w:r>
      <w:r>
        <w:rPr>
          <w:rFonts w:ascii="宋体" w:hAnsi="宋体"/>
        </w:rPr>
        <w:t>的危险化学品辨识”的结果可知：</w:t>
      </w:r>
      <w:r>
        <w:rPr>
          <w:rFonts w:hint="eastAsia" w:ascii="宋体" w:hAnsi="宋体"/>
          <w:color w:val="auto"/>
          <w:szCs w:val="28"/>
        </w:rPr>
        <w:t>跃进化工生产经营过程涉及的危险化学品中不涉及特别管控的危险化学品。</w:t>
      </w:r>
    </w:p>
    <w:p>
      <w:pPr>
        <w:pStyle w:val="3"/>
        <w:keepNext w:val="0"/>
        <w:keepLines w:val="0"/>
        <w:ind w:firstLine="562"/>
        <w:rPr>
          <w:rFonts w:hint="eastAsia" w:ascii="黑体" w:hAnsi="黑体" w:eastAsia="黑体" w:cs="黑体"/>
          <w:color w:val="000000" w:themeColor="text1"/>
        </w:rPr>
      </w:pPr>
      <w:bookmarkStart w:id="1788" w:name="_Toc16315"/>
      <w:bookmarkStart w:id="1789" w:name="_Toc11738"/>
      <w:bookmarkStart w:id="1790" w:name="_Toc21522"/>
      <w:bookmarkStart w:id="1791" w:name="_Toc17052"/>
      <w:r>
        <w:rPr>
          <w:rFonts w:hint="eastAsia" w:ascii="黑体" w:hAnsi="黑体" w:eastAsia="黑体" w:cs="黑体"/>
          <w:color w:val="000000" w:themeColor="text1"/>
          <w:lang w:val="en-US" w:eastAsia="zh-CN"/>
        </w:rPr>
        <w:t>3.9</w:t>
      </w:r>
      <w:r>
        <w:rPr>
          <w:rFonts w:hint="eastAsia" w:ascii="黑体" w:hAnsi="黑体" w:eastAsia="黑体" w:cs="黑体"/>
          <w:color w:val="000000" w:themeColor="text1"/>
        </w:rPr>
        <w:t>淘汰落后危险化学品安全生产工艺技术设备辨识结果</w:t>
      </w:r>
      <w:bookmarkEnd w:id="1788"/>
      <w:bookmarkEnd w:id="1789"/>
      <w:bookmarkEnd w:id="1790"/>
      <w:bookmarkEnd w:id="1791"/>
    </w:p>
    <w:p>
      <w:pPr>
        <w:pStyle w:val="62"/>
        <w:topLinePunct/>
        <w:ind w:firstLine="560" w:firstLineChars="0"/>
        <w:rPr>
          <w:rFonts w:hint="default" w:ascii="宋体" w:hAnsi="宋体" w:eastAsia="宋体"/>
          <w:color w:val="auto"/>
          <w:szCs w:val="28"/>
          <w:lang w:val="en-US" w:eastAsia="zh-CN"/>
        </w:rPr>
      </w:pPr>
      <w:r>
        <w:rPr>
          <w:rFonts w:ascii="宋体" w:hAnsi="宋体"/>
        </w:rPr>
        <w:t>根据报告</w:t>
      </w:r>
      <w:r>
        <w:rPr>
          <w:rFonts w:hint="eastAsia" w:ascii="宋体" w:hAnsi="宋体"/>
        </w:rPr>
        <w:t>F</w:t>
      </w:r>
      <w:r>
        <w:rPr>
          <w:rFonts w:ascii="宋体" w:hAnsi="宋体"/>
        </w:rPr>
        <w:t>2.</w:t>
      </w:r>
      <w:r>
        <w:rPr>
          <w:rFonts w:hint="eastAsia" w:ascii="宋体" w:hAnsi="宋体"/>
        </w:rPr>
        <w:t>1</w:t>
      </w:r>
      <w:r>
        <w:rPr>
          <w:rFonts w:hint="eastAsia" w:ascii="宋体" w:hAnsi="宋体"/>
          <w:lang w:val="en-US" w:eastAsia="zh-CN"/>
        </w:rPr>
        <w:t>3</w:t>
      </w:r>
      <w:r>
        <w:rPr>
          <w:rFonts w:ascii="宋体" w:hAnsi="宋体"/>
        </w:rPr>
        <w:t>“</w:t>
      </w:r>
      <w:r>
        <w:rPr>
          <w:rFonts w:hint="eastAsia" w:ascii="宋体" w:hAnsi="宋体" w:eastAsia="宋体" w:cs="宋体"/>
          <w:b w:val="0"/>
          <w:bCs w:val="0"/>
          <w:sz w:val="28"/>
          <w:szCs w:val="28"/>
          <w:u w:val="none" w:color="auto"/>
          <w:shd w:val="clear" w:fill="FFFFFF"/>
        </w:rPr>
        <w:t>淘汰落后危险化学品安全生产工艺技术设备</w:t>
      </w:r>
      <w:r>
        <w:rPr>
          <w:rFonts w:hint="eastAsia" w:ascii="宋体" w:hAnsi="宋体" w:eastAsia="宋体" w:cs="宋体"/>
          <w:b w:val="0"/>
          <w:bCs w:val="0"/>
          <w:color w:val="000000" w:themeColor="text1"/>
        </w:rPr>
        <w:t>辨识</w:t>
      </w:r>
      <w:r>
        <w:rPr>
          <w:rFonts w:ascii="宋体" w:hAnsi="宋体"/>
        </w:rPr>
        <w:t>”的结果可知：</w:t>
      </w:r>
      <w:r>
        <w:rPr>
          <w:rFonts w:hint="eastAsia" w:ascii="宋体" w:hAnsi="宋体"/>
          <w:color w:val="auto"/>
          <w:szCs w:val="28"/>
        </w:rPr>
        <w:t>跃进化工生产</w:t>
      </w:r>
      <w:r>
        <w:rPr>
          <w:rFonts w:hint="eastAsia" w:ascii="宋体" w:hAnsi="宋体"/>
          <w:color w:val="auto"/>
          <w:szCs w:val="28"/>
          <w:lang w:val="en-US" w:eastAsia="zh-CN"/>
        </w:rPr>
        <w:t>工艺技术设备不</w:t>
      </w:r>
      <w:r>
        <w:rPr>
          <w:rFonts w:hint="eastAsia" w:ascii="宋体" w:hAnsi="宋体"/>
          <w:color w:val="auto"/>
          <w:szCs w:val="28"/>
        </w:rPr>
        <w:t>涉及</w:t>
      </w:r>
      <w:r>
        <w:rPr>
          <w:rFonts w:hint="eastAsia" w:ascii="宋体" w:hAnsi="宋体" w:cs="宋体"/>
          <w:color w:val="000000" w:themeColor="text1"/>
        </w:rPr>
        <w:t>《淘汰落后危险化学品安全生产工艺技术设备目录（第一批）》</w:t>
      </w:r>
      <w:r>
        <w:rPr>
          <w:rFonts w:hint="eastAsia" w:ascii="宋体" w:hAnsi="宋体" w:cs="宋体"/>
          <w:color w:val="000000" w:themeColor="text1"/>
          <w:lang w:eastAsia="zh-CN"/>
        </w:rPr>
        <w:t>、</w:t>
      </w:r>
      <w:r>
        <w:rPr>
          <w:rFonts w:hint="eastAsia" w:ascii="宋体" w:hAnsi="宋体" w:eastAsia="宋体" w:cs="宋体"/>
          <w:b w:val="0"/>
          <w:bCs w:val="0"/>
          <w:color w:val="auto"/>
          <w:sz w:val="28"/>
          <w:szCs w:val="28"/>
          <w:u w:val="none" w:color="auto"/>
          <w:lang w:val="en-US" w:eastAsia="zh-CN"/>
        </w:rPr>
        <w:t>《淘汰落后危险化学品安全生产工艺技术设备目录（第二批）》</w:t>
      </w:r>
      <w:r>
        <w:rPr>
          <w:rFonts w:hint="eastAsia" w:ascii="宋体" w:hAnsi="宋体"/>
          <w:color w:val="auto"/>
          <w:szCs w:val="28"/>
        </w:rPr>
        <w:t>。</w:t>
      </w:r>
    </w:p>
    <w:p>
      <w:pPr>
        <w:pStyle w:val="2"/>
        <w:rPr>
          <w:rFonts w:ascii="楷体" w:hAnsi="楷体" w:eastAsia="楷体" w:cs="楷体"/>
          <w:b/>
          <w:bCs w:val="0"/>
          <w:color w:val="000000" w:themeColor="text1"/>
        </w:rPr>
      </w:pPr>
      <w:bookmarkStart w:id="1792" w:name="_Toc503269885"/>
      <w:bookmarkStart w:id="1793" w:name="_Toc62740947"/>
      <w:bookmarkStart w:id="1794" w:name="_Toc11095"/>
      <w:bookmarkStart w:id="1795" w:name="_Toc21667"/>
      <w:bookmarkStart w:id="1796" w:name="_Toc25003"/>
      <w:bookmarkStart w:id="1797" w:name="_Toc21580"/>
      <w:bookmarkStart w:id="1798" w:name="_Toc8464"/>
      <w:bookmarkStart w:id="1799" w:name="_Toc6998"/>
      <w:bookmarkStart w:id="1800" w:name="_Toc2879"/>
      <w:bookmarkStart w:id="1801" w:name="_Toc28015"/>
      <w:bookmarkStart w:id="1802" w:name="_Toc128056442"/>
      <w:bookmarkStart w:id="1803" w:name="_Toc7542"/>
      <w:bookmarkStart w:id="1804" w:name="_Toc25850"/>
      <w:bookmarkStart w:id="1805" w:name="_Toc13870"/>
      <w:bookmarkStart w:id="1806" w:name="_Toc19726"/>
      <w:bookmarkStart w:id="1807" w:name="_Toc11054"/>
      <w:bookmarkStart w:id="1808" w:name="_Toc29051"/>
      <w:bookmarkStart w:id="1809" w:name="_Toc29157"/>
      <w:bookmarkStart w:id="1810" w:name="_Toc27548"/>
      <w:bookmarkStart w:id="1811" w:name="_Toc24223"/>
      <w:bookmarkStart w:id="1812" w:name="_Toc26163"/>
      <w:bookmarkStart w:id="1813" w:name="_Toc20450"/>
      <w:bookmarkStart w:id="1814" w:name="_Toc28053"/>
      <w:bookmarkStart w:id="1815" w:name="_Toc32131"/>
      <w:bookmarkStart w:id="1816" w:name="_Toc30744"/>
      <w:bookmarkStart w:id="1817" w:name="_Toc16092"/>
      <w:bookmarkStart w:id="1818" w:name="_Toc28260"/>
      <w:bookmarkStart w:id="1819" w:name="_Toc21448"/>
      <w:bookmarkStart w:id="1820" w:name="_Toc14456"/>
      <w:bookmarkStart w:id="1821" w:name="_Toc18052"/>
      <w:bookmarkStart w:id="1822" w:name="_Toc5557"/>
      <w:bookmarkStart w:id="1823" w:name="_Toc31681"/>
      <w:bookmarkStart w:id="1824" w:name="_Toc32217"/>
      <w:bookmarkStart w:id="1825" w:name="_Toc22723"/>
      <w:bookmarkStart w:id="1826" w:name="_Toc14429"/>
      <w:bookmarkStart w:id="1827" w:name="_Toc796"/>
      <w:bookmarkStart w:id="1828" w:name="_Toc16470"/>
      <w:bookmarkStart w:id="1829" w:name="_Toc18902"/>
      <w:r>
        <w:rPr>
          <w:rFonts w:hint="eastAsia" w:ascii="楷体" w:hAnsi="楷体" w:eastAsia="楷体" w:cs="楷体"/>
          <w:b/>
          <w:bCs w:val="0"/>
          <w:color w:val="000000" w:themeColor="text1"/>
        </w:rPr>
        <w:t>4  安全评价单元的划分和评价方法</w:t>
      </w:r>
      <w:bookmarkEnd w:id="1792"/>
      <w:bookmarkEnd w:id="1793"/>
      <w:r>
        <w:rPr>
          <w:rFonts w:hint="eastAsia" w:ascii="楷体" w:hAnsi="楷体" w:eastAsia="楷体" w:cs="楷体"/>
          <w:b/>
          <w:bCs w:val="0"/>
          <w:color w:val="000000" w:themeColor="text1"/>
        </w:rPr>
        <w:t>选择</w:t>
      </w:r>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p>
    <w:p>
      <w:pPr>
        <w:pStyle w:val="16"/>
        <w:ind w:firstLine="482"/>
        <w:rPr>
          <w:b/>
          <w:sz w:val="24"/>
          <w:szCs w:val="24"/>
        </w:rPr>
      </w:pPr>
      <w:bookmarkStart w:id="1830" w:name="_Toc128056443"/>
      <w:bookmarkStart w:id="1831" w:name="_Toc188863909"/>
      <w:bookmarkStart w:id="1832" w:name="_Toc187699914"/>
      <w:bookmarkStart w:id="1833" w:name="_Toc32621"/>
      <w:bookmarkStart w:id="1834" w:name="_Toc9582"/>
      <w:bookmarkStart w:id="1835" w:name="_Toc156661663"/>
      <w:bookmarkStart w:id="1836" w:name="_Toc8024"/>
      <w:bookmarkStart w:id="1837" w:name="_Toc125057630"/>
      <w:bookmarkStart w:id="1838" w:name="_Toc26982"/>
      <w:bookmarkStart w:id="1839" w:name="_Toc15597"/>
      <w:bookmarkStart w:id="1840" w:name="_Toc17511"/>
      <w:bookmarkStart w:id="1841" w:name="_Toc195156252"/>
      <w:bookmarkStart w:id="1842" w:name="_Toc19314"/>
      <w:bookmarkStart w:id="1843" w:name="_Toc23250"/>
      <w:bookmarkStart w:id="1844" w:name="_Toc10095"/>
      <w:bookmarkStart w:id="1845" w:name="_Toc11859"/>
      <w:bookmarkStart w:id="1846" w:name="_Toc32462"/>
      <w:bookmarkStart w:id="1847" w:name="_Toc151881416"/>
      <w:bookmarkStart w:id="1848" w:name="_Toc11450"/>
      <w:bookmarkStart w:id="1849" w:name="_Toc11527"/>
    </w:p>
    <w:p>
      <w:pPr>
        <w:pStyle w:val="3"/>
        <w:keepNext w:val="0"/>
        <w:keepLines w:val="0"/>
        <w:ind w:firstLine="562"/>
        <w:rPr>
          <w:rFonts w:ascii="黑体" w:hAnsi="黑体" w:eastAsia="黑体" w:cs="黑体"/>
          <w:color w:val="000000" w:themeColor="text1"/>
        </w:rPr>
      </w:pPr>
      <w:bookmarkStart w:id="1850" w:name="_Toc15466"/>
      <w:bookmarkStart w:id="1851" w:name="_Toc8973"/>
      <w:bookmarkStart w:id="1852" w:name="_Toc18227"/>
      <w:bookmarkStart w:id="1853" w:name="_Toc14346"/>
      <w:bookmarkStart w:id="1854" w:name="_Toc11603"/>
      <w:bookmarkStart w:id="1855" w:name="_Toc6813"/>
      <w:bookmarkStart w:id="1856" w:name="_Toc21148"/>
      <w:bookmarkStart w:id="1857" w:name="_Toc28384"/>
      <w:bookmarkStart w:id="1858" w:name="_Toc20385"/>
      <w:bookmarkStart w:id="1859" w:name="_Toc28521"/>
      <w:bookmarkStart w:id="1860" w:name="_Toc32506"/>
      <w:bookmarkStart w:id="1861" w:name="_Toc7166"/>
      <w:bookmarkStart w:id="1862" w:name="_Toc7600"/>
      <w:bookmarkStart w:id="1863" w:name="_Toc23588"/>
      <w:bookmarkStart w:id="1864" w:name="_Toc1985"/>
      <w:bookmarkStart w:id="1865" w:name="_Toc13023"/>
      <w:bookmarkStart w:id="1866" w:name="_Toc15617"/>
      <w:bookmarkStart w:id="1867" w:name="_Toc9883"/>
      <w:bookmarkStart w:id="1868" w:name="_Toc5543"/>
      <w:bookmarkStart w:id="1869" w:name="_Toc8243"/>
      <w:bookmarkStart w:id="1870" w:name="_Toc5923"/>
      <w:bookmarkStart w:id="1871" w:name="_Toc11072"/>
      <w:bookmarkStart w:id="1872" w:name="_Toc15402"/>
      <w:bookmarkStart w:id="1873" w:name="_Toc16390"/>
      <w:bookmarkStart w:id="1874" w:name="_Toc7611"/>
      <w:r>
        <w:rPr>
          <w:rFonts w:hint="eastAsia" w:ascii="黑体" w:hAnsi="黑体" w:eastAsia="黑体" w:cs="黑体"/>
          <w:color w:val="000000" w:themeColor="text1"/>
        </w:rPr>
        <w:t>4.1 安全评价单元划分</w:t>
      </w:r>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p>
    <w:p>
      <w:pPr>
        <w:pStyle w:val="4"/>
        <w:ind w:firstLine="562"/>
      </w:pPr>
      <w:bookmarkStart w:id="1875" w:name="_Toc15154"/>
      <w:bookmarkStart w:id="1876" w:name="_Toc28956"/>
      <w:bookmarkStart w:id="1877" w:name="_Toc4304"/>
      <w:bookmarkStart w:id="1878" w:name="_Toc9957"/>
      <w:bookmarkStart w:id="1879" w:name="_Toc10217"/>
      <w:bookmarkStart w:id="1880" w:name="_Toc10170"/>
      <w:bookmarkStart w:id="1881" w:name="_Toc5685"/>
      <w:bookmarkStart w:id="1882" w:name="_Toc187699915"/>
      <w:bookmarkStart w:id="1883" w:name="_Toc27092"/>
      <w:bookmarkStart w:id="1884" w:name="_Toc125057631"/>
      <w:bookmarkStart w:id="1885" w:name="_Toc31967"/>
      <w:bookmarkStart w:id="1886" w:name="_Toc24805"/>
      <w:bookmarkStart w:id="1887" w:name="_Toc26484"/>
      <w:bookmarkStart w:id="1888" w:name="_Toc5733"/>
      <w:bookmarkStart w:id="1889" w:name="_Toc21647"/>
      <w:bookmarkStart w:id="1890" w:name="_Toc15070"/>
      <w:bookmarkStart w:id="1891" w:name="_Toc128056444"/>
      <w:bookmarkStart w:id="1892" w:name="_Toc6080"/>
      <w:bookmarkStart w:id="1893" w:name="_Toc27081"/>
      <w:bookmarkStart w:id="1894" w:name="_Toc22381"/>
      <w:bookmarkStart w:id="1895" w:name="_Toc8278"/>
      <w:bookmarkStart w:id="1896" w:name="_Toc32139"/>
      <w:bookmarkStart w:id="1897" w:name="_Toc188863910"/>
      <w:bookmarkStart w:id="1898" w:name="_Toc24874"/>
      <w:bookmarkStart w:id="1899" w:name="_Toc30063"/>
      <w:bookmarkStart w:id="1900" w:name="_Toc32608"/>
      <w:bookmarkStart w:id="1901" w:name="_Toc5714"/>
      <w:bookmarkStart w:id="1902" w:name="_Toc29192"/>
      <w:bookmarkStart w:id="1903" w:name="_Toc9170"/>
      <w:bookmarkStart w:id="1904" w:name="_Toc2470"/>
      <w:bookmarkStart w:id="1905" w:name="_Toc27216"/>
      <w:bookmarkStart w:id="1906" w:name="_Toc15560"/>
      <w:r>
        <w:rPr>
          <w:rFonts w:hint="eastAsia"/>
        </w:rPr>
        <w:t>4.1.1 评价单元划分原则</w:t>
      </w:r>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p>
    <w:p>
      <w:pPr>
        <w:ind w:firstLine="560"/>
        <w:rPr>
          <w:color w:val="000000" w:themeColor="text1"/>
        </w:rPr>
      </w:pPr>
      <w:bookmarkStart w:id="1907" w:name="_Toc191730035"/>
      <w:bookmarkStart w:id="1908" w:name="_Toc191728191"/>
      <w:bookmarkStart w:id="1909" w:name="_Toc194389949"/>
      <w:bookmarkStart w:id="1910" w:name="_Toc208398744"/>
      <w:bookmarkStart w:id="1911" w:name="_Toc191729751"/>
      <w:bookmarkStart w:id="1912" w:name="_Toc151353654"/>
      <w:bookmarkStart w:id="1913" w:name="_Toc26421"/>
      <w:r>
        <w:rPr>
          <w:rFonts w:hint="eastAsia"/>
          <w:color w:val="000000" w:themeColor="text1"/>
        </w:rPr>
        <w:t>评价单元划分是在对危险有害因素辨识的基础上，根据评价项目和评价方法的需要，将系统分成若干需要评价的单元，以提高评价的客观性和准确性。</w:t>
      </w:r>
    </w:p>
    <w:p>
      <w:pPr>
        <w:ind w:firstLine="560"/>
        <w:rPr>
          <w:color w:val="000000" w:themeColor="text1"/>
        </w:rPr>
      </w:pPr>
      <w:r>
        <w:rPr>
          <w:rFonts w:hint="eastAsia"/>
          <w:color w:val="000000" w:themeColor="text1"/>
        </w:rPr>
        <w:t>评价单元的划分，一般将生产工艺、工艺装置、物料的特性及危险有害因素类别、分布状况综合考虑后，进行划分。</w:t>
      </w:r>
    </w:p>
    <w:p>
      <w:pPr>
        <w:pStyle w:val="4"/>
        <w:ind w:firstLine="562"/>
      </w:pPr>
      <w:bookmarkStart w:id="1914" w:name="_Toc30459"/>
      <w:bookmarkStart w:id="1915" w:name="_Toc10018"/>
      <w:bookmarkStart w:id="1916" w:name="_Toc280"/>
      <w:bookmarkStart w:id="1917" w:name="_Toc24271"/>
      <w:bookmarkStart w:id="1918" w:name="_Toc6322"/>
      <w:bookmarkStart w:id="1919" w:name="_Toc8194"/>
      <w:bookmarkStart w:id="1920" w:name="_Toc22575"/>
      <w:bookmarkStart w:id="1921" w:name="_Toc10303"/>
      <w:bookmarkStart w:id="1922" w:name="_Toc128056445"/>
      <w:bookmarkStart w:id="1923" w:name="_Toc13281"/>
      <w:bookmarkStart w:id="1924" w:name="_Toc19119"/>
      <w:bookmarkStart w:id="1925" w:name="_Toc9867"/>
      <w:bookmarkStart w:id="1926" w:name="_Toc30566"/>
      <w:bookmarkStart w:id="1927" w:name="_Toc9497"/>
      <w:bookmarkStart w:id="1928" w:name="_Toc7406"/>
      <w:bookmarkStart w:id="1929" w:name="_Toc8061"/>
      <w:bookmarkStart w:id="1930" w:name="_Toc10240"/>
      <w:bookmarkStart w:id="1931" w:name="_Toc125057632"/>
      <w:bookmarkStart w:id="1932" w:name="_Toc23390"/>
      <w:bookmarkStart w:id="1933" w:name="_Toc16719"/>
      <w:bookmarkStart w:id="1934" w:name="_Toc12769"/>
      <w:bookmarkStart w:id="1935" w:name="_Toc4533"/>
      <w:bookmarkStart w:id="1936" w:name="_Toc32441"/>
      <w:bookmarkStart w:id="1937" w:name="_Toc3243"/>
      <w:bookmarkStart w:id="1938" w:name="_Toc16801"/>
      <w:bookmarkStart w:id="1939" w:name="_Toc14557"/>
      <w:bookmarkStart w:id="1940" w:name="_Toc29853"/>
      <w:r>
        <w:rPr>
          <w:rFonts w:hint="eastAsia"/>
        </w:rPr>
        <w:t>4.1.2 评价单元划分方法</w:t>
      </w:r>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p>
    <w:p>
      <w:pPr>
        <w:ind w:firstLine="560"/>
        <w:rPr>
          <w:color w:val="000000" w:themeColor="text1"/>
        </w:rPr>
      </w:pPr>
      <w:r>
        <w:rPr>
          <w:rFonts w:hint="eastAsia"/>
          <w:color w:val="000000" w:themeColor="text1"/>
        </w:rPr>
        <w:t>常用的评价单元划分方法有：</w:t>
      </w:r>
    </w:p>
    <w:p>
      <w:pPr>
        <w:ind w:firstLine="560"/>
        <w:rPr>
          <w:color w:val="000000" w:themeColor="text1"/>
        </w:rPr>
      </w:pPr>
      <w:r>
        <w:rPr>
          <w:rFonts w:hint="eastAsia"/>
          <w:color w:val="000000" w:themeColor="text1"/>
        </w:rPr>
        <w:t>以危险有害因素的类别为主划分评价单元。</w:t>
      </w:r>
    </w:p>
    <w:p>
      <w:pPr>
        <w:ind w:firstLine="560"/>
        <w:rPr>
          <w:color w:val="000000" w:themeColor="text1"/>
        </w:rPr>
      </w:pPr>
      <w:r>
        <w:rPr>
          <w:rFonts w:hint="eastAsia"/>
          <w:color w:val="000000" w:themeColor="text1"/>
        </w:rPr>
        <w:t>（1）对工艺方案、总体布置及自然条件、环境对系统影响等综合方面的危险有害因素的分析和评价，可将整个系统作为一个评价单元。</w:t>
      </w:r>
    </w:p>
    <w:p>
      <w:pPr>
        <w:ind w:firstLine="560"/>
        <w:rPr>
          <w:color w:val="000000" w:themeColor="text1"/>
        </w:rPr>
      </w:pPr>
      <w:r>
        <w:rPr>
          <w:rFonts w:hint="eastAsia"/>
          <w:color w:val="000000" w:themeColor="text1"/>
        </w:rPr>
        <w:t>（2）将具有共性危险因素、有害因素的场所和装置划为一个单元。</w:t>
      </w:r>
    </w:p>
    <w:p>
      <w:pPr>
        <w:ind w:firstLine="560"/>
        <w:rPr>
          <w:color w:val="000000" w:themeColor="text1"/>
        </w:rPr>
      </w:pPr>
      <w:r>
        <w:rPr>
          <w:rFonts w:hint="eastAsia"/>
          <w:color w:val="000000" w:themeColor="text1"/>
        </w:rPr>
        <w:t>以装置和物质特征划分评价单元。</w:t>
      </w:r>
    </w:p>
    <w:p>
      <w:pPr>
        <w:ind w:firstLine="560"/>
        <w:rPr>
          <w:color w:val="000000" w:themeColor="text1"/>
        </w:rPr>
      </w:pPr>
      <w:r>
        <w:rPr>
          <w:rFonts w:hint="eastAsia"/>
          <w:color w:val="000000" w:themeColor="text1"/>
        </w:rPr>
        <w:t>（1）按装置工艺功能划分。</w:t>
      </w:r>
    </w:p>
    <w:p>
      <w:pPr>
        <w:ind w:firstLine="560"/>
        <w:rPr>
          <w:color w:val="000000" w:themeColor="text1"/>
        </w:rPr>
      </w:pPr>
      <w:r>
        <w:rPr>
          <w:rFonts w:hint="eastAsia"/>
          <w:color w:val="000000" w:themeColor="text1"/>
        </w:rPr>
        <w:t>（2）按布置的相对独立性划分。</w:t>
      </w:r>
    </w:p>
    <w:p>
      <w:pPr>
        <w:ind w:firstLine="560"/>
        <w:rPr>
          <w:color w:val="000000" w:themeColor="text1"/>
        </w:rPr>
      </w:pPr>
      <w:r>
        <w:rPr>
          <w:rFonts w:hint="eastAsia"/>
          <w:color w:val="000000" w:themeColor="text1"/>
        </w:rPr>
        <w:t>（3）按工艺条件划分评价单元。</w:t>
      </w:r>
    </w:p>
    <w:p>
      <w:pPr>
        <w:ind w:firstLine="560"/>
        <w:rPr>
          <w:color w:val="000000" w:themeColor="text1"/>
        </w:rPr>
      </w:pPr>
      <w:r>
        <w:rPr>
          <w:rFonts w:hint="eastAsia"/>
          <w:color w:val="000000" w:themeColor="text1"/>
        </w:rPr>
        <w:t>（4）按贮存、处理危险物品的潜在化学能、毒性和危险物品的数量划分评价单元。</w:t>
      </w:r>
    </w:p>
    <w:p>
      <w:pPr>
        <w:ind w:firstLine="560"/>
        <w:rPr>
          <w:color w:val="000000" w:themeColor="text1"/>
        </w:rPr>
      </w:pPr>
      <w:r>
        <w:rPr>
          <w:rFonts w:hint="eastAsia"/>
          <w:color w:val="000000" w:themeColor="text1"/>
        </w:rPr>
        <w:t>（5）根据以往事故资料，将发生事故能导致停产、波及范围大、造成巨大损失和伤害的关键设备作为一个单元。</w:t>
      </w:r>
    </w:p>
    <w:p>
      <w:pPr>
        <w:ind w:firstLine="560"/>
        <w:rPr>
          <w:color w:val="000000" w:themeColor="text1"/>
        </w:rPr>
      </w:pPr>
      <w:r>
        <w:rPr>
          <w:rFonts w:hint="eastAsia"/>
          <w:color w:val="000000" w:themeColor="text1"/>
        </w:rPr>
        <w:t>（6）将危险性大且资金密度大的区域作为一个评价单元。</w:t>
      </w:r>
    </w:p>
    <w:p>
      <w:pPr>
        <w:ind w:firstLine="560"/>
        <w:rPr>
          <w:color w:val="000000" w:themeColor="text1"/>
        </w:rPr>
      </w:pPr>
      <w:r>
        <w:rPr>
          <w:rFonts w:hint="eastAsia"/>
          <w:color w:val="000000" w:themeColor="text1"/>
        </w:rPr>
        <w:t>（7）将危险性特别大的区域、装置作为一个评价单元。</w:t>
      </w:r>
    </w:p>
    <w:p>
      <w:pPr>
        <w:ind w:firstLine="560"/>
        <w:rPr>
          <w:color w:val="000000" w:themeColor="text1"/>
        </w:rPr>
      </w:pPr>
      <w:r>
        <w:rPr>
          <w:rFonts w:hint="eastAsia"/>
          <w:color w:val="000000" w:themeColor="text1"/>
        </w:rPr>
        <w:t>（</w:t>
      </w:r>
      <w:r>
        <w:rPr>
          <w:color w:val="000000" w:themeColor="text1"/>
        </w:rPr>
        <w:t>8）将具有类似危险性潜能的单元合并为一个大单元。</w:t>
      </w:r>
    </w:p>
    <w:p>
      <w:pPr>
        <w:pStyle w:val="4"/>
        <w:ind w:firstLine="562"/>
      </w:pPr>
      <w:bookmarkStart w:id="1941" w:name="_Toc20244"/>
      <w:bookmarkStart w:id="1942" w:name="_Toc29329"/>
      <w:bookmarkStart w:id="1943" w:name="_Toc16706"/>
      <w:bookmarkStart w:id="1944" w:name="_Toc14731"/>
      <w:bookmarkStart w:id="1945" w:name="_Toc20046"/>
      <w:bookmarkStart w:id="1946" w:name="_Toc2664"/>
      <w:bookmarkStart w:id="1947" w:name="_Toc31849"/>
      <w:bookmarkStart w:id="1948" w:name="_Toc31031"/>
      <w:bookmarkStart w:id="1949" w:name="_Toc128056446"/>
      <w:bookmarkStart w:id="1950" w:name="_Toc8716"/>
      <w:bookmarkStart w:id="1951" w:name="_Toc7692"/>
      <w:bookmarkStart w:id="1952" w:name="_Toc25588"/>
      <w:bookmarkStart w:id="1953" w:name="_Toc13881"/>
      <w:bookmarkStart w:id="1954" w:name="_Toc5257"/>
      <w:bookmarkStart w:id="1955" w:name="_Toc18891"/>
      <w:bookmarkStart w:id="1956" w:name="_Toc4503"/>
      <w:bookmarkStart w:id="1957" w:name="_Toc9332"/>
      <w:bookmarkStart w:id="1958" w:name="_Toc2101"/>
      <w:bookmarkStart w:id="1959" w:name="_Toc11058"/>
      <w:bookmarkStart w:id="1960" w:name="_Toc13072"/>
      <w:bookmarkStart w:id="1961" w:name="_Toc23838"/>
      <w:bookmarkStart w:id="1962" w:name="_Toc23061"/>
      <w:bookmarkStart w:id="1963" w:name="_Toc15279"/>
      <w:bookmarkStart w:id="1964" w:name="_Toc14565"/>
      <w:bookmarkStart w:id="1965" w:name="_Toc9951"/>
      <w:bookmarkStart w:id="1966" w:name="_Toc125057633"/>
      <w:bookmarkStart w:id="1967" w:name="_Toc9252"/>
      <w:bookmarkStart w:id="1968" w:name="_Toc32731"/>
      <w:bookmarkStart w:id="1969" w:name="_Toc29382"/>
      <w:bookmarkStart w:id="1970" w:name="_Toc19843"/>
      <w:r>
        <w:rPr>
          <w:rFonts w:hint="eastAsia"/>
        </w:rPr>
        <w:t>4.1.3 评价单元的划分</w:t>
      </w:r>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p>
    <w:p>
      <w:pPr>
        <w:ind w:firstLine="560"/>
        <w:rPr>
          <w:color w:val="000000" w:themeColor="text1"/>
        </w:rPr>
      </w:pPr>
      <w:r>
        <w:rPr>
          <w:rFonts w:hint="eastAsia"/>
          <w:color w:val="000000" w:themeColor="text1"/>
        </w:rPr>
        <w:t>根据本次</w:t>
      </w:r>
      <w:r>
        <w:rPr>
          <w:color w:val="000000" w:themeColor="text1"/>
        </w:rPr>
        <w:t>安全评</w:t>
      </w:r>
      <w:r>
        <w:rPr>
          <w:rFonts w:hint="eastAsia"/>
          <w:color w:val="000000" w:themeColor="text1"/>
        </w:rPr>
        <w:t>价</w:t>
      </w:r>
      <w:r>
        <w:rPr>
          <w:color w:val="000000" w:themeColor="text1"/>
        </w:rPr>
        <w:t>的特点，本报告对</w:t>
      </w:r>
      <w:r>
        <w:rPr>
          <w:rFonts w:hint="eastAsia"/>
          <w:color w:val="000000" w:themeColor="text1"/>
        </w:rPr>
        <w:t>项目</w:t>
      </w:r>
      <w:r>
        <w:rPr>
          <w:color w:val="000000" w:themeColor="text1"/>
        </w:rPr>
        <w:t>共分</w:t>
      </w:r>
      <w:r>
        <w:rPr>
          <w:rFonts w:hint="eastAsia"/>
          <w:color w:val="000000" w:themeColor="text1"/>
        </w:rPr>
        <w:t>如下</w:t>
      </w:r>
      <w:r>
        <w:rPr>
          <w:color w:val="000000" w:themeColor="text1"/>
        </w:rPr>
        <w:t>单元进行评价</w:t>
      </w:r>
      <w:r>
        <w:rPr>
          <w:rFonts w:hint="eastAsia"/>
          <w:color w:val="000000" w:themeColor="text1"/>
        </w:rPr>
        <w:t>：</w:t>
      </w:r>
    </w:p>
    <w:p>
      <w:pPr>
        <w:topLinePunct/>
        <w:ind w:firstLine="560"/>
        <w:rPr>
          <w:rFonts w:ascii="宋体" w:hAnsi="宋体"/>
          <w:color w:val="000000" w:themeColor="text1"/>
        </w:rPr>
      </w:pPr>
      <w:r>
        <w:rPr>
          <w:rFonts w:hint="eastAsia" w:ascii="宋体" w:hAnsi="宋体"/>
          <w:color w:val="000000" w:themeColor="text1"/>
        </w:rPr>
        <w:t>（1）厂址及总平面布置单元。</w:t>
      </w:r>
    </w:p>
    <w:p>
      <w:pPr>
        <w:topLinePunct/>
        <w:ind w:firstLine="560"/>
        <w:rPr>
          <w:rFonts w:ascii="宋体" w:hAnsi="宋体"/>
          <w:color w:val="000000" w:themeColor="text1"/>
        </w:rPr>
      </w:pPr>
      <w:r>
        <w:rPr>
          <w:rFonts w:hint="eastAsia" w:ascii="宋体" w:hAnsi="宋体"/>
          <w:color w:val="000000" w:themeColor="text1"/>
        </w:rPr>
        <w:t>（2）生产工艺及设备设施单元。</w:t>
      </w:r>
    </w:p>
    <w:p>
      <w:pPr>
        <w:topLinePunct/>
        <w:ind w:firstLine="560"/>
        <w:rPr>
          <w:rFonts w:ascii="宋体" w:hAnsi="宋体"/>
          <w:color w:val="000000" w:themeColor="text1"/>
        </w:rPr>
      </w:pPr>
      <w:r>
        <w:rPr>
          <w:rFonts w:hint="eastAsia" w:ascii="宋体" w:hAnsi="宋体"/>
          <w:color w:val="000000" w:themeColor="text1"/>
        </w:rPr>
        <w:t>（3）公用工程及辅助设施单元。</w:t>
      </w:r>
    </w:p>
    <w:p>
      <w:pPr>
        <w:topLinePunct/>
        <w:ind w:firstLine="560"/>
        <w:rPr>
          <w:rFonts w:ascii="宋体" w:hAnsi="宋体"/>
          <w:color w:val="000000" w:themeColor="text1"/>
        </w:rPr>
      </w:pPr>
      <w:r>
        <w:rPr>
          <w:rFonts w:hint="eastAsia" w:ascii="宋体" w:hAnsi="宋体"/>
          <w:color w:val="000000" w:themeColor="text1"/>
        </w:rPr>
        <w:t>（4）安全管理及应急救援单元。</w:t>
      </w:r>
    </w:p>
    <w:p>
      <w:pPr>
        <w:topLinePunct/>
        <w:ind w:firstLine="560"/>
        <w:rPr>
          <w:rFonts w:ascii="宋体" w:hAnsi="宋体"/>
          <w:color w:val="000000" w:themeColor="text1"/>
        </w:rPr>
      </w:pPr>
      <w:r>
        <w:rPr>
          <w:rFonts w:hint="eastAsia" w:ascii="宋体" w:hAnsi="宋体"/>
          <w:color w:val="000000" w:themeColor="text1"/>
        </w:rPr>
        <w:t>（</w:t>
      </w:r>
      <w:r>
        <w:rPr>
          <w:rFonts w:ascii="宋体" w:hAnsi="宋体"/>
          <w:color w:val="000000" w:themeColor="text1"/>
        </w:rPr>
        <w:t>5</w:t>
      </w:r>
      <w:r>
        <w:rPr>
          <w:rFonts w:hint="eastAsia" w:ascii="宋体" w:hAnsi="宋体"/>
          <w:color w:val="000000" w:themeColor="text1"/>
        </w:rPr>
        <w:t>）危险化学品生产单位申请换证条件单元。</w:t>
      </w:r>
    </w:p>
    <w:p>
      <w:pPr>
        <w:pStyle w:val="3"/>
        <w:keepNext w:val="0"/>
        <w:keepLines w:val="0"/>
        <w:ind w:firstLine="562"/>
        <w:rPr>
          <w:rFonts w:ascii="黑体" w:hAnsi="黑体" w:eastAsia="黑体" w:cs="黑体"/>
          <w:color w:val="000000" w:themeColor="text1"/>
        </w:rPr>
      </w:pPr>
      <w:bookmarkStart w:id="1971" w:name="_Toc472693304"/>
      <w:bookmarkStart w:id="1972" w:name="_Toc247620202"/>
      <w:bookmarkStart w:id="1973" w:name="_Toc18581"/>
      <w:bookmarkStart w:id="1974" w:name="_Toc25687"/>
      <w:bookmarkStart w:id="1975" w:name="_Toc13576"/>
      <w:bookmarkStart w:id="1976" w:name="_Toc14917"/>
      <w:bookmarkStart w:id="1977" w:name="_Toc14134"/>
      <w:bookmarkStart w:id="1978" w:name="_Toc26530"/>
      <w:bookmarkStart w:id="1979" w:name="_Toc24683"/>
      <w:bookmarkStart w:id="1980" w:name="_Toc18312"/>
      <w:bookmarkStart w:id="1981" w:name="_Toc3710"/>
      <w:bookmarkStart w:id="1982" w:name="_Toc19711"/>
      <w:bookmarkStart w:id="1983" w:name="_Toc25114"/>
      <w:bookmarkStart w:id="1984" w:name="_Toc16932"/>
      <w:bookmarkStart w:id="1985" w:name="_Toc62740949"/>
      <w:bookmarkStart w:id="1986" w:name="_Toc12732"/>
      <w:bookmarkStart w:id="1987" w:name="_Toc10196"/>
      <w:bookmarkStart w:id="1988" w:name="_Toc5873"/>
      <w:bookmarkStart w:id="1989" w:name="_Toc11252"/>
      <w:bookmarkStart w:id="1990" w:name="_Toc31752"/>
      <w:bookmarkStart w:id="1991" w:name="_Toc11184"/>
      <w:bookmarkStart w:id="1992" w:name="_Toc14108"/>
      <w:bookmarkStart w:id="1993" w:name="_Toc21676"/>
      <w:bookmarkStart w:id="1994" w:name="_Toc31591"/>
      <w:bookmarkStart w:id="1995" w:name="_Toc503269889"/>
      <w:bookmarkStart w:id="1996" w:name="_Toc24792"/>
      <w:bookmarkStart w:id="1997" w:name="_Toc14451"/>
      <w:bookmarkStart w:id="1998" w:name="_Toc7008"/>
      <w:bookmarkStart w:id="1999" w:name="_Toc32661"/>
      <w:bookmarkStart w:id="2000" w:name="_Toc26555"/>
      <w:bookmarkStart w:id="2001" w:name="_Toc5145"/>
      <w:bookmarkStart w:id="2002" w:name="_Toc25113"/>
      <w:bookmarkStart w:id="2003" w:name="_Toc128056447"/>
      <w:bookmarkStart w:id="2004" w:name="_Toc3917"/>
      <w:bookmarkStart w:id="2005" w:name="_Toc14824"/>
      <w:bookmarkStart w:id="2006" w:name="_Toc6128"/>
      <w:bookmarkStart w:id="2007" w:name="_Toc30933"/>
      <w:bookmarkStart w:id="2008" w:name="_Toc14339"/>
      <w:bookmarkStart w:id="2009" w:name="_Toc207003180"/>
      <w:bookmarkStart w:id="2010" w:name="_Toc6886"/>
      <w:bookmarkStart w:id="2011" w:name="_Toc1310"/>
      <w:r>
        <w:rPr>
          <w:rFonts w:hint="eastAsia" w:ascii="黑体" w:hAnsi="黑体" w:eastAsia="黑体" w:cs="黑体"/>
          <w:color w:val="000000" w:themeColor="text1"/>
        </w:rPr>
        <w:t>4.2 评价方法的选择</w:t>
      </w:r>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p>
    <w:p>
      <w:pPr>
        <w:topLinePunct/>
        <w:ind w:firstLine="560"/>
        <w:rPr>
          <w:rFonts w:ascii="宋体" w:hAnsi="宋体"/>
          <w:color w:val="000000" w:themeColor="text1"/>
        </w:rPr>
      </w:pPr>
      <w:bookmarkStart w:id="2012" w:name="_Toc287516384"/>
      <w:bookmarkStart w:id="2013" w:name="_Toc297723511"/>
      <w:bookmarkStart w:id="2014" w:name="_Toc291600583"/>
      <w:r>
        <w:rPr>
          <w:rFonts w:ascii="宋体" w:hAnsi="宋体"/>
          <w:color w:val="000000" w:themeColor="text1"/>
        </w:rPr>
        <w:t>安全评价方法是对系统的各种危险、危害因素进行分析、评价的工具。目前已开发出数十种，每一种评价方法的原理、目标、应用条件、适用对象不尽相同，各有其特点和优缺点。</w:t>
      </w:r>
    </w:p>
    <w:p>
      <w:pPr>
        <w:topLinePunct/>
        <w:ind w:firstLine="560"/>
        <w:rPr>
          <w:rFonts w:ascii="宋体" w:hAnsi="宋体"/>
          <w:color w:val="000000" w:themeColor="text1"/>
        </w:rPr>
      </w:pPr>
      <w:r>
        <w:rPr>
          <w:rFonts w:ascii="宋体" w:hAnsi="宋体"/>
          <w:color w:val="000000" w:themeColor="text1"/>
        </w:rPr>
        <w:t>根据有关规定对评价方法的具体要求为：</w:t>
      </w:r>
      <w:r>
        <w:rPr>
          <w:rFonts w:hint="eastAsia" w:ascii="宋体" w:hAnsi="宋体"/>
          <w:color w:val="000000" w:themeColor="text1"/>
        </w:rPr>
        <w:t>①</w:t>
      </w:r>
      <w:r>
        <w:rPr>
          <w:rFonts w:ascii="宋体" w:hAnsi="宋体"/>
          <w:color w:val="000000" w:themeColor="text1"/>
        </w:rPr>
        <w:t>安全生产条件的安全评价，以安全检查表的方法为主，其他方法为辅。</w:t>
      </w:r>
      <w:r>
        <w:rPr>
          <w:rFonts w:hint="eastAsia" w:ascii="宋体" w:hAnsi="宋体"/>
          <w:color w:val="000000" w:themeColor="text1"/>
        </w:rPr>
        <w:t>②</w:t>
      </w:r>
      <w:r>
        <w:rPr>
          <w:rFonts w:ascii="宋体" w:hAnsi="宋体"/>
          <w:color w:val="000000" w:themeColor="text1"/>
        </w:rPr>
        <w:t>其他方面的安全评价，根据生产的实际情况，可选择国际、国内通行的安全评价方法。</w:t>
      </w:r>
    </w:p>
    <w:p>
      <w:pPr>
        <w:topLinePunct/>
        <w:ind w:firstLine="560"/>
        <w:rPr>
          <w:rFonts w:ascii="宋体" w:hAnsi="宋体"/>
          <w:color w:val="000000" w:themeColor="text1"/>
          <w:szCs w:val="28"/>
        </w:rPr>
      </w:pPr>
      <w:r>
        <w:rPr>
          <w:rFonts w:ascii="宋体" w:hAnsi="宋体"/>
          <w:color w:val="000000" w:themeColor="text1"/>
        </w:rPr>
        <w:t>据此，本次评价采用安全检查表法、作业条件危险性分析法（格雷厄姆法）评价方法对</w:t>
      </w:r>
      <w:r>
        <w:rPr>
          <w:rFonts w:hint="eastAsia" w:ascii="宋体" w:hAnsi="宋体"/>
          <w:color w:val="000000" w:themeColor="text1"/>
        </w:rPr>
        <w:t>跃进化工</w:t>
      </w:r>
      <w:r>
        <w:rPr>
          <w:rFonts w:ascii="宋体" w:hAnsi="宋体"/>
          <w:color w:val="000000" w:themeColor="text1"/>
        </w:rPr>
        <w:t>存在的</w:t>
      </w:r>
      <w:r>
        <w:rPr>
          <w:rFonts w:hint="eastAsia" w:ascii="宋体" w:hAnsi="宋体"/>
          <w:color w:val="000000" w:themeColor="text1"/>
        </w:rPr>
        <w:t>危险和有害</w:t>
      </w:r>
      <w:r>
        <w:rPr>
          <w:rFonts w:ascii="宋体" w:hAnsi="宋体"/>
          <w:color w:val="000000" w:themeColor="text1"/>
        </w:rPr>
        <w:t>因素进行定性、定量分析。</w:t>
      </w:r>
      <w:r>
        <w:rPr>
          <w:rFonts w:hint="eastAsia" w:ascii="宋体" w:hAnsi="宋体"/>
          <w:color w:val="000000" w:themeColor="text1"/>
        </w:rPr>
        <w:t>跃进化工</w:t>
      </w:r>
      <w:r>
        <w:rPr>
          <w:rFonts w:ascii="宋体" w:hAnsi="宋体"/>
          <w:color w:val="000000" w:themeColor="text1"/>
        </w:rPr>
        <w:t>各单元选择的评价方法及选择</w:t>
      </w:r>
      <w:r>
        <w:rPr>
          <w:rFonts w:ascii="宋体" w:hAnsi="宋体"/>
          <w:color w:val="000000" w:themeColor="text1"/>
          <w:szCs w:val="28"/>
        </w:rPr>
        <w:t>理由见下表。</w:t>
      </w:r>
    </w:p>
    <w:p>
      <w:pPr>
        <w:pStyle w:val="92"/>
        <w:rPr>
          <w:sz w:val="24"/>
          <w:szCs w:val="24"/>
        </w:rPr>
      </w:pPr>
      <w:r>
        <w:rPr>
          <w:rFonts w:hint="eastAsia"/>
          <w:sz w:val="24"/>
          <w:szCs w:val="24"/>
        </w:rPr>
        <w:t xml:space="preserve">表4.2-1 </w:t>
      </w:r>
      <w:r>
        <w:rPr>
          <w:sz w:val="24"/>
          <w:szCs w:val="24"/>
        </w:rPr>
        <w:t>评价方法选择一览表</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3875"/>
        <w:gridCol w:w="4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61" w:type="dxa"/>
            <w:vAlign w:val="center"/>
          </w:tcPr>
          <w:p>
            <w:pPr>
              <w:spacing w:line="240" w:lineRule="auto"/>
              <w:ind w:firstLine="0" w:firstLineChars="0"/>
              <w:jc w:val="center"/>
              <w:rPr>
                <w:b/>
                <w:color w:val="000000" w:themeColor="text1"/>
                <w:sz w:val="21"/>
                <w:szCs w:val="21"/>
              </w:rPr>
            </w:pPr>
            <w:r>
              <w:rPr>
                <w:b/>
                <w:color w:val="000000" w:themeColor="text1"/>
                <w:sz w:val="21"/>
                <w:szCs w:val="21"/>
              </w:rPr>
              <w:t>序号</w:t>
            </w:r>
          </w:p>
        </w:tc>
        <w:tc>
          <w:tcPr>
            <w:tcW w:w="3875" w:type="dxa"/>
            <w:vAlign w:val="center"/>
          </w:tcPr>
          <w:p>
            <w:pPr>
              <w:spacing w:line="240" w:lineRule="auto"/>
              <w:ind w:firstLine="0" w:firstLineChars="0"/>
              <w:jc w:val="center"/>
              <w:rPr>
                <w:b/>
                <w:color w:val="000000" w:themeColor="text1"/>
                <w:sz w:val="21"/>
                <w:szCs w:val="21"/>
              </w:rPr>
            </w:pPr>
            <w:r>
              <w:rPr>
                <w:b/>
                <w:color w:val="000000" w:themeColor="text1"/>
                <w:sz w:val="21"/>
                <w:szCs w:val="21"/>
              </w:rPr>
              <w:t>评</w:t>
            </w:r>
            <w:r>
              <w:rPr>
                <w:rFonts w:hint="eastAsia"/>
                <w:b/>
                <w:color w:val="000000" w:themeColor="text1"/>
                <w:sz w:val="21"/>
                <w:szCs w:val="21"/>
              </w:rPr>
              <w:t xml:space="preserve"> </w:t>
            </w:r>
            <w:r>
              <w:rPr>
                <w:b/>
                <w:color w:val="000000" w:themeColor="text1"/>
                <w:sz w:val="21"/>
                <w:szCs w:val="21"/>
              </w:rPr>
              <w:t>价</w:t>
            </w:r>
            <w:r>
              <w:rPr>
                <w:rFonts w:hint="eastAsia"/>
                <w:b/>
                <w:color w:val="000000" w:themeColor="text1"/>
                <w:sz w:val="21"/>
                <w:szCs w:val="21"/>
              </w:rPr>
              <w:t xml:space="preserve"> </w:t>
            </w:r>
            <w:r>
              <w:rPr>
                <w:b/>
                <w:color w:val="000000" w:themeColor="text1"/>
                <w:sz w:val="21"/>
                <w:szCs w:val="21"/>
              </w:rPr>
              <w:t>单</w:t>
            </w:r>
            <w:r>
              <w:rPr>
                <w:rFonts w:hint="eastAsia"/>
                <w:b/>
                <w:color w:val="000000" w:themeColor="text1"/>
                <w:sz w:val="21"/>
                <w:szCs w:val="21"/>
              </w:rPr>
              <w:t xml:space="preserve"> </w:t>
            </w:r>
            <w:r>
              <w:rPr>
                <w:b/>
                <w:color w:val="000000" w:themeColor="text1"/>
                <w:sz w:val="21"/>
                <w:szCs w:val="21"/>
              </w:rPr>
              <w:t>元</w:t>
            </w:r>
            <w:r>
              <w:rPr>
                <w:rFonts w:hint="eastAsia"/>
                <w:b/>
                <w:color w:val="000000" w:themeColor="text1"/>
                <w:sz w:val="21"/>
                <w:szCs w:val="21"/>
              </w:rPr>
              <w:t xml:space="preserve"> </w:t>
            </w:r>
            <w:r>
              <w:rPr>
                <w:b/>
                <w:color w:val="000000" w:themeColor="text1"/>
                <w:sz w:val="21"/>
                <w:szCs w:val="21"/>
              </w:rPr>
              <w:t>划</w:t>
            </w:r>
            <w:r>
              <w:rPr>
                <w:rFonts w:hint="eastAsia"/>
                <w:b/>
                <w:color w:val="000000" w:themeColor="text1"/>
                <w:sz w:val="21"/>
                <w:szCs w:val="21"/>
              </w:rPr>
              <w:t xml:space="preserve"> </w:t>
            </w:r>
            <w:r>
              <w:rPr>
                <w:b/>
                <w:color w:val="000000" w:themeColor="text1"/>
                <w:sz w:val="21"/>
                <w:szCs w:val="21"/>
              </w:rPr>
              <w:t>分</w:t>
            </w:r>
          </w:p>
        </w:tc>
        <w:tc>
          <w:tcPr>
            <w:tcW w:w="4533" w:type="dxa"/>
            <w:vAlign w:val="center"/>
          </w:tcPr>
          <w:p>
            <w:pPr>
              <w:spacing w:line="240" w:lineRule="auto"/>
              <w:ind w:firstLine="0" w:firstLineChars="0"/>
              <w:jc w:val="center"/>
              <w:rPr>
                <w:b/>
                <w:color w:val="000000" w:themeColor="text1"/>
                <w:sz w:val="21"/>
                <w:szCs w:val="21"/>
              </w:rPr>
            </w:pPr>
            <w:r>
              <w:rPr>
                <w:b/>
                <w:color w:val="000000" w:themeColor="text1"/>
                <w:sz w:val="21"/>
                <w:szCs w:val="21"/>
              </w:rPr>
              <w:t>评</w:t>
            </w:r>
            <w:r>
              <w:rPr>
                <w:rFonts w:hint="eastAsia"/>
                <w:b/>
                <w:color w:val="000000" w:themeColor="text1"/>
                <w:sz w:val="21"/>
                <w:szCs w:val="21"/>
              </w:rPr>
              <w:t xml:space="preserve"> </w:t>
            </w:r>
            <w:r>
              <w:rPr>
                <w:b/>
                <w:color w:val="000000" w:themeColor="text1"/>
                <w:sz w:val="21"/>
                <w:szCs w:val="21"/>
              </w:rPr>
              <w:t>价</w:t>
            </w:r>
            <w:r>
              <w:rPr>
                <w:rFonts w:hint="eastAsia"/>
                <w:b/>
                <w:color w:val="000000" w:themeColor="text1"/>
                <w:sz w:val="21"/>
                <w:szCs w:val="21"/>
              </w:rPr>
              <w:t xml:space="preserve"> </w:t>
            </w:r>
            <w:r>
              <w:rPr>
                <w:b/>
                <w:color w:val="000000" w:themeColor="text1"/>
                <w:sz w:val="21"/>
                <w:szCs w:val="21"/>
              </w:rPr>
              <w:t>方</w:t>
            </w:r>
            <w:r>
              <w:rPr>
                <w:rFonts w:hint="eastAsia"/>
                <w:b/>
                <w:color w:val="000000" w:themeColor="text1"/>
                <w:sz w:val="21"/>
                <w:szCs w:val="21"/>
              </w:rPr>
              <w:t xml:space="preserve"> </w:t>
            </w:r>
            <w:r>
              <w:rPr>
                <w:b/>
                <w:color w:val="000000" w:themeColor="text1"/>
                <w:sz w:val="21"/>
                <w:szCs w:val="21"/>
              </w:rPr>
              <w:t>法</w:t>
            </w:r>
            <w:r>
              <w:rPr>
                <w:rFonts w:hint="eastAsia"/>
                <w:b/>
                <w:color w:val="000000" w:themeColor="text1"/>
                <w:sz w:val="21"/>
                <w:szCs w:val="21"/>
              </w:rPr>
              <w:t xml:space="preserve"> </w:t>
            </w:r>
            <w:r>
              <w:rPr>
                <w:b/>
                <w:color w:val="000000" w:themeColor="text1"/>
                <w:sz w:val="21"/>
                <w:szCs w:val="21"/>
              </w:rPr>
              <w:t>选</w:t>
            </w:r>
            <w:r>
              <w:rPr>
                <w:rFonts w:hint="eastAsia"/>
                <w:b/>
                <w:color w:val="000000" w:themeColor="text1"/>
                <w:sz w:val="21"/>
                <w:szCs w:val="21"/>
              </w:rPr>
              <w:t xml:space="preserve"> </w:t>
            </w:r>
            <w:r>
              <w:rPr>
                <w:b/>
                <w:color w:val="000000" w:themeColor="text1"/>
                <w:sz w:val="21"/>
                <w:szCs w:val="21"/>
              </w:rPr>
              <w:t>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厂</w:t>
            </w:r>
            <w:r>
              <w:rPr>
                <w:color w:val="000000" w:themeColor="text1"/>
                <w:sz w:val="21"/>
                <w:szCs w:val="21"/>
              </w:rPr>
              <w:t>址及总平面布置单元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2</w:t>
            </w:r>
          </w:p>
        </w:tc>
        <w:tc>
          <w:tcPr>
            <w:tcW w:w="3875" w:type="dxa"/>
            <w:vAlign w:val="center"/>
          </w:tcPr>
          <w:p>
            <w:pPr>
              <w:spacing w:line="240" w:lineRule="auto"/>
              <w:ind w:firstLine="0" w:firstLineChars="0"/>
              <w:rPr>
                <w:color w:val="000000" w:themeColor="text1"/>
                <w:sz w:val="21"/>
                <w:szCs w:val="21"/>
              </w:rPr>
            </w:pPr>
            <w:r>
              <w:rPr>
                <w:color w:val="000000" w:themeColor="text1"/>
                <w:sz w:val="21"/>
                <w:szCs w:val="21"/>
              </w:rPr>
              <w:t>生产工艺及设备设施单元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安全检查表法、作业条件危险性分析法</w:t>
            </w:r>
            <w:r>
              <w:rPr>
                <w:bCs/>
                <w:color w:val="000000" w:themeColor="text1"/>
                <w:sz w:val="21"/>
              </w:rPr>
              <w:t>（格雷厄姆法）</w:t>
            </w:r>
            <w:r>
              <w:rPr>
                <w:rFonts w:hint="eastAsia"/>
                <w:bCs/>
                <w:color w:val="000000" w:themeColor="text1"/>
                <w:sz w:val="21"/>
              </w:rPr>
              <w:t>、道化学火灾爆炸指数法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3</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公用工程及辅助设施单元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4</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安全管理及应急救援单元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5</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危险化学品生产单位申请换证条件单元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bookmarkEnd w:id="2012"/>
      <w:bookmarkEnd w:id="2013"/>
      <w:bookmarkEnd w:id="2014"/>
    </w:tbl>
    <w:p>
      <w:pPr>
        <w:pStyle w:val="3"/>
        <w:keepNext w:val="0"/>
        <w:keepLines w:val="0"/>
        <w:ind w:firstLine="562"/>
        <w:rPr>
          <w:rFonts w:ascii="黑体" w:hAnsi="黑体" w:eastAsia="黑体" w:cs="黑体"/>
          <w:color w:val="000000" w:themeColor="text1"/>
        </w:rPr>
      </w:pPr>
      <w:bookmarkStart w:id="2015" w:name="_Toc23586"/>
      <w:bookmarkStart w:id="2016" w:name="_Toc1751"/>
      <w:bookmarkStart w:id="2017" w:name="_Toc11428"/>
      <w:bookmarkStart w:id="2018" w:name="_Toc20366"/>
      <w:bookmarkStart w:id="2019" w:name="_Toc7834"/>
      <w:bookmarkStart w:id="2020" w:name="_Toc528"/>
      <w:bookmarkStart w:id="2021" w:name="_Toc26764"/>
      <w:bookmarkStart w:id="2022" w:name="_Toc23577"/>
      <w:bookmarkStart w:id="2023" w:name="_Toc6098"/>
      <w:bookmarkStart w:id="2024" w:name="_Toc24329"/>
      <w:bookmarkStart w:id="2025" w:name="_Toc23327"/>
      <w:bookmarkStart w:id="2026" w:name="_Toc29723"/>
      <w:bookmarkStart w:id="2027" w:name="_Toc9571"/>
      <w:bookmarkStart w:id="2028" w:name="_Toc1600"/>
      <w:bookmarkStart w:id="2029" w:name="_Toc29989"/>
      <w:bookmarkStart w:id="2030" w:name="_Toc18609"/>
      <w:bookmarkStart w:id="2031" w:name="_Toc10816"/>
      <w:bookmarkStart w:id="2032" w:name="_Toc21381"/>
      <w:bookmarkStart w:id="2033" w:name="_Toc15626"/>
      <w:bookmarkStart w:id="2034" w:name="_Toc1440"/>
      <w:bookmarkStart w:id="2035" w:name="_Toc13074"/>
      <w:bookmarkStart w:id="2036" w:name="_Toc2582"/>
      <w:bookmarkStart w:id="2037" w:name="_Toc520"/>
      <w:bookmarkStart w:id="2038" w:name="_Toc12881"/>
      <w:bookmarkStart w:id="2039" w:name="_Toc13459"/>
      <w:bookmarkStart w:id="2040" w:name="_Toc6832"/>
      <w:bookmarkStart w:id="2041" w:name="_Toc6794"/>
      <w:bookmarkStart w:id="2042" w:name="_Toc21021"/>
      <w:bookmarkStart w:id="2043" w:name="_Toc5072"/>
      <w:bookmarkStart w:id="2044" w:name="_Toc30006"/>
      <w:bookmarkStart w:id="2045" w:name="_Toc62740950"/>
      <w:bookmarkStart w:id="2046" w:name="_Toc31631"/>
      <w:bookmarkStart w:id="2047" w:name="_Toc503269890"/>
      <w:bookmarkStart w:id="2048" w:name="_Toc7622"/>
      <w:bookmarkStart w:id="2049" w:name="_Toc128056448"/>
      <w:bookmarkStart w:id="2050" w:name="_Toc3110"/>
      <w:bookmarkStart w:id="2051" w:name="_Toc454199070"/>
      <w:bookmarkStart w:id="2052" w:name="_Toc472693305"/>
      <w:bookmarkStart w:id="2053" w:name="_Toc14447"/>
      <w:bookmarkStart w:id="2054" w:name="_Toc3313"/>
      <w:r>
        <w:rPr>
          <w:rFonts w:hint="eastAsia" w:ascii="黑体" w:hAnsi="黑体" w:eastAsia="黑体" w:cs="黑体"/>
          <w:color w:val="000000" w:themeColor="text1"/>
        </w:rPr>
        <w:t>4.3 评价方法简介</w:t>
      </w:r>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p>
    <w:p>
      <w:pPr>
        <w:pStyle w:val="16"/>
        <w:ind w:firstLine="560"/>
        <w:rPr>
          <w:rFonts w:hAnsi="宋体"/>
          <w:color w:val="000000" w:themeColor="text1"/>
          <w:szCs w:val="28"/>
        </w:rPr>
      </w:pPr>
      <w:r>
        <w:rPr>
          <w:rFonts w:hint="eastAsia"/>
          <w:color w:val="000000" w:themeColor="text1"/>
        </w:rPr>
        <w:t>本次评价所采用的评价方法的介绍见报告F3。</w:t>
      </w:r>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p>
    <w:bookmarkEnd w:id="1551"/>
    <w:bookmarkEnd w:id="1552"/>
    <w:bookmarkEnd w:id="1553"/>
    <w:p>
      <w:pPr>
        <w:pStyle w:val="2"/>
        <w:rPr>
          <w:rFonts w:ascii="楷体" w:hAnsi="楷体" w:eastAsia="楷体" w:cs="楷体"/>
          <w:b/>
          <w:bCs w:val="0"/>
          <w:color w:val="000000" w:themeColor="text1"/>
        </w:rPr>
      </w:pPr>
      <w:bookmarkStart w:id="2055" w:name="_Toc22335"/>
      <w:bookmarkStart w:id="2056" w:name="_Toc19395"/>
      <w:bookmarkStart w:id="2057" w:name="_Toc16259"/>
      <w:bookmarkStart w:id="2058" w:name="_Toc29835"/>
      <w:bookmarkStart w:id="2059" w:name="_Toc27444"/>
      <w:bookmarkStart w:id="2060" w:name="_Toc8547"/>
      <w:bookmarkStart w:id="2061" w:name="_Toc16563"/>
      <w:bookmarkStart w:id="2062" w:name="_Toc25718"/>
      <w:bookmarkStart w:id="2063" w:name="_Toc22693"/>
      <w:bookmarkStart w:id="2064" w:name="_Toc17084"/>
      <w:bookmarkStart w:id="2065" w:name="_Toc1330"/>
      <w:bookmarkStart w:id="2066" w:name="_Toc6780"/>
      <w:bookmarkStart w:id="2067" w:name="_Toc26069"/>
      <w:bookmarkStart w:id="2068" w:name="_Toc27557"/>
      <w:bookmarkStart w:id="2069" w:name="_Toc11219"/>
      <w:bookmarkStart w:id="2070" w:name="_Toc17637"/>
      <w:bookmarkStart w:id="2071" w:name="_Toc15225"/>
      <w:bookmarkStart w:id="2072" w:name="_Toc7458"/>
      <w:bookmarkStart w:id="2073" w:name="_Toc128056449"/>
      <w:bookmarkStart w:id="2074" w:name="_Toc29752"/>
      <w:bookmarkStart w:id="2075" w:name="_Toc30944"/>
      <w:bookmarkStart w:id="2076" w:name="_Toc26511"/>
      <w:bookmarkStart w:id="2077" w:name="_Toc28343"/>
      <w:bookmarkStart w:id="2078" w:name="_Toc32530"/>
      <w:bookmarkStart w:id="2079" w:name="_Toc28353"/>
      <w:bookmarkStart w:id="2080" w:name="_Toc5834"/>
      <w:bookmarkStart w:id="2081" w:name="_Toc19381"/>
      <w:bookmarkStart w:id="2082" w:name="_Toc5421"/>
      <w:bookmarkStart w:id="2083" w:name="_Toc31324"/>
      <w:bookmarkStart w:id="2084" w:name="_Toc12852"/>
      <w:bookmarkStart w:id="2085" w:name="_Toc11129"/>
      <w:bookmarkStart w:id="2086" w:name="_Toc30357"/>
      <w:bookmarkStart w:id="2087" w:name="_Toc8919"/>
      <w:bookmarkStart w:id="2088" w:name="_Toc7268"/>
      <w:bookmarkStart w:id="2089" w:name="_Toc20723"/>
      <w:bookmarkStart w:id="2090" w:name="_Toc27105"/>
      <w:bookmarkStart w:id="2091" w:name="_Toc128056431"/>
      <w:bookmarkStart w:id="2092" w:name="_Toc30351"/>
      <w:bookmarkStart w:id="2093" w:name="_Toc21480"/>
      <w:bookmarkStart w:id="2094" w:name="_Toc16348"/>
      <w:r>
        <w:rPr>
          <w:rFonts w:hint="eastAsia" w:ascii="楷体" w:hAnsi="楷体" w:eastAsia="楷体" w:cs="楷体"/>
          <w:b/>
          <w:bCs w:val="0"/>
          <w:color w:val="000000" w:themeColor="text1"/>
        </w:rPr>
        <w:t xml:space="preserve">5  </w:t>
      </w:r>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Start w:id="2095" w:name="_Toc62740951"/>
      <w:r>
        <w:rPr>
          <w:rFonts w:hint="eastAsia" w:ascii="楷体" w:hAnsi="楷体" w:eastAsia="楷体" w:cs="楷体"/>
          <w:b/>
          <w:bCs w:val="0"/>
          <w:color w:val="000000" w:themeColor="text1"/>
        </w:rPr>
        <w:t>安全条件和安全生产条件分析评价结果</w:t>
      </w:r>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5"/>
    </w:p>
    <w:p>
      <w:pPr>
        <w:pStyle w:val="16"/>
        <w:ind w:firstLine="643"/>
        <w:rPr>
          <w:b/>
          <w:sz w:val="32"/>
          <w:szCs w:val="32"/>
        </w:rPr>
      </w:pPr>
      <w:bookmarkStart w:id="2096" w:name="_Toc32637"/>
      <w:bookmarkStart w:id="2097" w:name="_Toc17416"/>
      <w:bookmarkStart w:id="2098" w:name="_Toc10618"/>
      <w:bookmarkStart w:id="2099" w:name="_Toc21081"/>
      <w:bookmarkStart w:id="2100" w:name="_Toc9995"/>
      <w:bookmarkStart w:id="2101" w:name="_Toc6900"/>
      <w:bookmarkStart w:id="2102" w:name="_Toc42724661"/>
      <w:bookmarkStart w:id="2103" w:name="_Toc518768110"/>
      <w:bookmarkStart w:id="2104" w:name="_Toc24387"/>
      <w:bookmarkStart w:id="2105" w:name="_Toc15557"/>
      <w:bookmarkStart w:id="2106" w:name="_Toc23530"/>
      <w:bookmarkStart w:id="2107" w:name="_Toc128056450"/>
      <w:bookmarkStart w:id="2108" w:name="_Toc16613"/>
      <w:bookmarkStart w:id="2109" w:name="_Toc11704"/>
      <w:bookmarkStart w:id="2110" w:name="_Toc3133"/>
      <w:bookmarkStart w:id="2111" w:name="_Toc128056451"/>
      <w:bookmarkStart w:id="2112" w:name="_Toc24664"/>
      <w:bookmarkStart w:id="2113" w:name="_Toc503269894"/>
    </w:p>
    <w:bookmarkEnd w:id="2096"/>
    <w:bookmarkEnd w:id="2097"/>
    <w:bookmarkEnd w:id="2098"/>
    <w:bookmarkEnd w:id="2099"/>
    <w:bookmarkEnd w:id="2100"/>
    <w:bookmarkEnd w:id="2101"/>
    <w:bookmarkEnd w:id="2102"/>
    <w:bookmarkEnd w:id="2103"/>
    <w:bookmarkEnd w:id="2104"/>
    <w:bookmarkEnd w:id="2105"/>
    <w:bookmarkEnd w:id="2106"/>
    <w:bookmarkEnd w:id="2107"/>
    <w:bookmarkEnd w:id="2108"/>
    <w:p>
      <w:pPr>
        <w:pStyle w:val="3"/>
        <w:keepNext w:val="0"/>
        <w:keepLines w:val="0"/>
        <w:ind w:firstLine="562"/>
        <w:rPr>
          <w:rFonts w:ascii="黑体" w:hAnsi="黑体" w:eastAsia="黑体" w:cs="黑体"/>
          <w:color w:val="000000" w:themeColor="text1"/>
        </w:rPr>
      </w:pPr>
      <w:bookmarkStart w:id="2114" w:name="_Toc16602"/>
      <w:bookmarkStart w:id="2115" w:name="_Toc8667"/>
      <w:bookmarkStart w:id="2116" w:name="_Toc2604"/>
      <w:bookmarkStart w:id="2117" w:name="_Toc7207"/>
      <w:bookmarkStart w:id="2118" w:name="_Toc28183"/>
      <w:bookmarkStart w:id="2119" w:name="_Toc29005"/>
      <w:bookmarkStart w:id="2120" w:name="_Toc16089"/>
      <w:bookmarkStart w:id="2121" w:name="_Toc3028"/>
      <w:bookmarkStart w:id="2122" w:name="_Toc5937"/>
      <w:bookmarkStart w:id="2123" w:name="_Toc8170"/>
      <w:bookmarkStart w:id="2124" w:name="_Toc6523"/>
      <w:bookmarkStart w:id="2125" w:name="_Toc10518"/>
      <w:bookmarkStart w:id="2126" w:name="_Toc18238"/>
      <w:bookmarkStart w:id="2127" w:name="_Toc32716"/>
      <w:bookmarkStart w:id="2128" w:name="_Toc16701"/>
      <w:bookmarkStart w:id="2129" w:name="_Toc17771"/>
      <w:bookmarkStart w:id="2130" w:name="_Toc12821"/>
      <w:bookmarkStart w:id="2131" w:name="_Toc26846"/>
      <w:bookmarkStart w:id="2132" w:name="_Toc20605"/>
      <w:bookmarkStart w:id="2133" w:name="_Toc6320"/>
      <w:bookmarkStart w:id="2134" w:name="_Toc3735"/>
      <w:bookmarkStart w:id="2135" w:name="_Toc17624"/>
      <w:bookmarkStart w:id="2136" w:name="_Toc27125"/>
      <w:bookmarkStart w:id="2137" w:name="_Toc32686"/>
      <w:bookmarkStart w:id="2138" w:name="_Toc14394"/>
      <w:bookmarkStart w:id="2139" w:name="_Toc5279"/>
      <w:bookmarkStart w:id="2140" w:name="_Toc6033"/>
      <w:bookmarkStart w:id="2141" w:name="_Toc32578"/>
      <w:bookmarkStart w:id="2142" w:name="_Toc19320"/>
      <w:bookmarkStart w:id="2143" w:name="_Toc20813"/>
      <w:bookmarkStart w:id="2144" w:name="_Toc16341"/>
      <w:bookmarkStart w:id="2145" w:name="_Toc16281"/>
      <w:r>
        <w:rPr>
          <w:rFonts w:hint="eastAsia" w:ascii="黑体" w:hAnsi="黑体" w:eastAsia="黑体" w:cs="黑体"/>
          <w:color w:val="000000" w:themeColor="text1"/>
        </w:rPr>
        <w:t>5.1 厂址及总平面布置单元评价结果</w:t>
      </w:r>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Start w:id="2146" w:name="_Toc503269895"/>
      <w:bookmarkStart w:id="2147" w:name="_Toc472693308"/>
      <w:bookmarkStart w:id="2148" w:name="_Toc62740953"/>
      <w:bookmarkStart w:id="2149" w:name="_Toc15071"/>
      <w:bookmarkStart w:id="2150" w:name="_Toc128056455"/>
      <w:bookmarkStart w:id="2151" w:name="_Toc4256"/>
      <w:bookmarkStart w:id="2152" w:name="_Toc30358"/>
    </w:p>
    <w:p>
      <w:pPr>
        <w:ind w:firstLine="560"/>
        <w:rPr>
          <w:color w:val="000000" w:themeColor="text1"/>
        </w:rPr>
      </w:pPr>
      <w:r>
        <w:rPr>
          <w:rFonts w:hint="eastAsia"/>
        </w:rPr>
        <w:t>根据报告F4.1“厂址及总平面布置评价单元”分析评价可知：</w:t>
      </w:r>
    </w:p>
    <w:p>
      <w:pPr>
        <w:ind w:firstLine="560"/>
        <w:rPr>
          <w:color w:val="000000" w:themeColor="text1"/>
        </w:rPr>
      </w:pPr>
      <w:r>
        <w:rPr>
          <w:rFonts w:hint="eastAsia"/>
          <w:color w:val="000000" w:themeColor="text1"/>
        </w:rPr>
        <w:t>（1）漾濞县跃进化工有限责任公司厂址位于</w:t>
      </w:r>
      <w:r>
        <w:rPr>
          <w:rFonts w:hint="eastAsia" w:ascii="宋体" w:hAnsi="宋体" w:cs="宋体"/>
          <w:kern w:val="0"/>
          <w:szCs w:val="28"/>
        </w:rPr>
        <w:t>云南省大理白族自治州漾濞彝族自治县顺濞镇顺濞村</w:t>
      </w:r>
      <w:r>
        <w:rPr>
          <w:rFonts w:hint="eastAsia"/>
          <w:color w:val="000000" w:themeColor="text1"/>
          <w:lang w:val="zh-CN"/>
        </w:rPr>
        <w:t>，厂址周围无重点生态保护区，</w:t>
      </w:r>
      <w:r>
        <w:rPr>
          <w:color w:val="000000" w:themeColor="text1"/>
          <w:lang w:val="zh-CN"/>
        </w:rPr>
        <w:t>厂内按功能分区，布置合理</w:t>
      </w:r>
      <w:r>
        <w:rPr>
          <w:rFonts w:hint="eastAsia"/>
          <w:color w:val="000000" w:themeColor="text1"/>
          <w:lang w:val="zh-CN"/>
        </w:rPr>
        <w:t>，生产装置均位于厂区内部，</w:t>
      </w:r>
      <w:r>
        <w:rPr>
          <w:color w:val="000000" w:themeColor="text1"/>
        </w:rPr>
        <w:t>其</w:t>
      </w:r>
      <w:r>
        <w:rPr>
          <w:rFonts w:hint="eastAsia"/>
          <w:color w:val="000000" w:themeColor="text1"/>
        </w:rPr>
        <w:t>厂址及</w:t>
      </w:r>
      <w:r>
        <w:rPr>
          <w:color w:val="000000" w:themeColor="text1"/>
        </w:rPr>
        <w:t>总平面布置符合《工业企业总平面设计规范》(GB50187-2012)</w:t>
      </w:r>
      <w:r>
        <w:rPr>
          <w:rFonts w:hint="eastAsia"/>
          <w:color w:val="000000" w:themeColor="text1"/>
        </w:rPr>
        <w:t>、</w:t>
      </w:r>
      <w:r>
        <w:rPr>
          <w:color w:val="000000" w:themeColor="text1"/>
        </w:rPr>
        <w:t>《化工企业安全卫生设计规范》(HG20571-2014)、《建筑设计防火规范</w:t>
      </w:r>
      <w:r>
        <w:rPr>
          <w:rFonts w:hint="eastAsia"/>
          <w:color w:val="000000" w:themeColor="text1"/>
        </w:rPr>
        <w:t>（</w:t>
      </w:r>
      <w:r>
        <w:rPr>
          <w:color w:val="000000" w:themeColor="text1"/>
        </w:rPr>
        <w:t>2018年版</w:t>
      </w:r>
      <w:r>
        <w:rPr>
          <w:rFonts w:hint="eastAsia"/>
          <w:color w:val="000000" w:themeColor="text1"/>
        </w:rPr>
        <w:t>）》</w:t>
      </w:r>
      <w:r>
        <w:rPr>
          <w:color w:val="000000" w:themeColor="text1"/>
        </w:rPr>
        <w:t>(GB50016-2014)等标准、规范的要求。</w:t>
      </w:r>
    </w:p>
    <w:p>
      <w:pPr>
        <w:ind w:firstLine="560"/>
        <w:rPr>
          <w:color w:val="000000" w:themeColor="text1"/>
          <w:lang w:val="zh-CN"/>
        </w:rPr>
      </w:pPr>
      <w:r>
        <w:rPr>
          <w:rFonts w:hint="eastAsia"/>
          <w:color w:val="000000" w:themeColor="text1"/>
        </w:rPr>
        <w:t>（2）</w:t>
      </w:r>
      <w:r>
        <w:rPr>
          <w:rFonts w:hint="eastAsia"/>
          <w:color w:val="000000" w:themeColor="text1"/>
          <w:lang w:val="zh-CN"/>
        </w:rPr>
        <w:t>跃进化工</w:t>
      </w:r>
      <w:r>
        <w:rPr>
          <w:color w:val="000000" w:themeColor="text1"/>
          <w:lang w:val="zh-CN"/>
        </w:rPr>
        <w:t>与周边设施的</w:t>
      </w:r>
      <w:r>
        <w:rPr>
          <w:rFonts w:hint="eastAsia"/>
          <w:color w:val="000000" w:themeColor="text1"/>
          <w:lang w:val="zh-CN"/>
        </w:rPr>
        <w:t>防火</w:t>
      </w:r>
      <w:r>
        <w:rPr>
          <w:color w:val="000000" w:themeColor="text1"/>
          <w:lang w:val="zh-CN"/>
        </w:rPr>
        <w:t>距离</w:t>
      </w:r>
      <w:r>
        <w:rPr>
          <w:rFonts w:hint="eastAsia"/>
          <w:color w:val="000000" w:themeColor="text1"/>
        </w:rPr>
        <w:t>及跃进化工</w:t>
      </w:r>
      <w:r>
        <w:rPr>
          <w:color w:val="000000" w:themeColor="text1"/>
        </w:rPr>
        <w:t>区域内各建构筑物间的防火距离</w:t>
      </w:r>
      <w:r>
        <w:rPr>
          <w:rFonts w:hint="eastAsia"/>
          <w:color w:val="000000" w:themeColor="text1"/>
          <w:lang w:val="zh-CN"/>
        </w:rPr>
        <w:t>符合</w:t>
      </w:r>
      <w:r>
        <w:rPr>
          <w:color w:val="000000" w:themeColor="text1"/>
        </w:rPr>
        <w:t>《建筑设计防火规范</w:t>
      </w:r>
      <w:r>
        <w:rPr>
          <w:rFonts w:hint="eastAsia"/>
          <w:color w:val="000000" w:themeColor="text1"/>
        </w:rPr>
        <w:t>（</w:t>
      </w:r>
      <w:r>
        <w:rPr>
          <w:color w:val="000000" w:themeColor="text1"/>
        </w:rPr>
        <w:t>2018年版</w:t>
      </w:r>
      <w:r>
        <w:rPr>
          <w:rFonts w:hint="eastAsia"/>
          <w:color w:val="000000" w:themeColor="text1"/>
        </w:rPr>
        <w:t>）》</w:t>
      </w:r>
      <w:r>
        <w:rPr>
          <w:color w:val="000000" w:themeColor="text1"/>
        </w:rPr>
        <w:t>(GB50016-2014)</w:t>
      </w:r>
      <w:r>
        <w:rPr>
          <w:rFonts w:hint="eastAsia"/>
          <w:color w:val="000000" w:themeColor="text1"/>
        </w:rPr>
        <w:t>及</w:t>
      </w:r>
      <w:r>
        <w:rPr>
          <w:rFonts w:hint="eastAsia"/>
          <w:color w:val="auto"/>
        </w:rPr>
        <w:t>《危险化学品生产装置和储存设施外部安全防护距离确定方法》（GB/T37243-2019）的</w:t>
      </w:r>
      <w:r>
        <w:rPr>
          <w:rFonts w:hint="eastAsia"/>
          <w:color w:val="000000" w:themeColor="text1"/>
          <w:lang w:val="zh-CN"/>
        </w:rPr>
        <w:t>要求。</w:t>
      </w:r>
    </w:p>
    <w:p>
      <w:pPr>
        <w:ind w:firstLine="560"/>
        <w:rPr>
          <w:rFonts w:ascii="宋体" w:hAnsi="宋体"/>
          <w:color w:val="000000" w:themeColor="text1"/>
        </w:rPr>
      </w:pPr>
      <w:r>
        <w:rPr>
          <w:rFonts w:hint="eastAsia"/>
          <w:color w:val="000000" w:themeColor="text1"/>
        </w:rPr>
        <w:t>（3</w:t>
      </w:r>
      <w:r>
        <w:rPr>
          <w:rFonts w:hint="eastAsia"/>
          <w:color w:val="000000" w:themeColor="text1"/>
          <w:lang w:val="zh-CN"/>
        </w:rPr>
        <w:t>）当厂内发生事故时，对厂外周边企业、居民生活不会产生影响。厂区外部周边企业的正常生活对其生产不会产生影响。</w:t>
      </w:r>
    </w:p>
    <w:p>
      <w:pPr>
        <w:ind w:firstLine="560"/>
        <w:rPr>
          <w:rFonts w:ascii="宋体" w:hAnsi="宋体"/>
          <w:color w:val="000000" w:themeColor="text1"/>
        </w:rPr>
      </w:pPr>
      <w:r>
        <w:rPr>
          <w:rFonts w:hint="eastAsia" w:ascii="宋体" w:hAnsi="宋体"/>
          <w:color w:val="000000" w:themeColor="text1"/>
          <w:szCs w:val="28"/>
        </w:rPr>
        <w:t>（4</w:t>
      </w:r>
      <w:r>
        <w:rPr>
          <w:rFonts w:hint="eastAsia" w:ascii="宋体" w:hAnsi="宋体"/>
          <w:color w:val="000000" w:themeColor="text1"/>
          <w:szCs w:val="28"/>
          <w:lang w:val="zh-CN"/>
        </w:rPr>
        <w:t>）跃进化工</w:t>
      </w:r>
      <w:r>
        <w:rPr>
          <w:rFonts w:ascii="宋体" w:hAnsi="宋体"/>
          <w:color w:val="000000" w:themeColor="text1"/>
          <w:szCs w:val="28"/>
          <w:lang w:val="zh-CN"/>
        </w:rPr>
        <w:t>所在地的自然条件对该</w:t>
      </w:r>
      <w:r>
        <w:rPr>
          <w:rFonts w:hint="eastAsia" w:ascii="宋体" w:hAnsi="宋体"/>
          <w:color w:val="000000" w:themeColor="text1"/>
          <w:szCs w:val="28"/>
          <w:lang w:val="zh-CN"/>
        </w:rPr>
        <w:t>建设项目</w:t>
      </w:r>
      <w:r>
        <w:rPr>
          <w:rFonts w:ascii="宋体" w:hAnsi="宋体"/>
          <w:color w:val="000000" w:themeColor="text1"/>
          <w:szCs w:val="28"/>
          <w:lang w:val="zh-CN"/>
        </w:rPr>
        <w:t>的影响在可接受和可控制的范围内，没有发现重大不利安全影响。</w:t>
      </w:r>
    </w:p>
    <w:p>
      <w:pPr>
        <w:pStyle w:val="3"/>
        <w:keepNext w:val="0"/>
        <w:keepLines w:val="0"/>
        <w:ind w:firstLine="562"/>
        <w:rPr>
          <w:rFonts w:ascii="黑体" w:hAnsi="黑体" w:eastAsia="黑体" w:cs="黑体"/>
          <w:color w:val="000000" w:themeColor="text1"/>
        </w:rPr>
      </w:pPr>
      <w:bookmarkStart w:id="2153" w:name="_Toc5943"/>
      <w:bookmarkStart w:id="2154" w:name="_Toc21320"/>
      <w:bookmarkStart w:id="2155" w:name="_Toc8395"/>
      <w:bookmarkStart w:id="2156" w:name="_Toc4301"/>
      <w:bookmarkStart w:id="2157" w:name="_Toc21261"/>
      <w:bookmarkStart w:id="2158" w:name="_Toc2885"/>
      <w:bookmarkStart w:id="2159" w:name="_Toc8723"/>
      <w:bookmarkStart w:id="2160" w:name="_Toc9122"/>
      <w:bookmarkStart w:id="2161" w:name="_Toc16380"/>
      <w:bookmarkStart w:id="2162" w:name="_Toc21715"/>
      <w:bookmarkStart w:id="2163" w:name="_Toc20459"/>
      <w:bookmarkStart w:id="2164" w:name="_Toc24068"/>
      <w:bookmarkStart w:id="2165" w:name="_Toc14452"/>
      <w:bookmarkStart w:id="2166" w:name="_Toc4245"/>
      <w:bookmarkStart w:id="2167" w:name="_Toc7189"/>
      <w:bookmarkStart w:id="2168" w:name="_Toc16235"/>
      <w:bookmarkStart w:id="2169" w:name="_Toc16528"/>
      <w:bookmarkStart w:id="2170" w:name="_Toc27150"/>
      <w:bookmarkStart w:id="2171" w:name="_Toc21493"/>
      <w:bookmarkStart w:id="2172" w:name="_Toc23036"/>
      <w:bookmarkStart w:id="2173" w:name="_Toc21060"/>
      <w:bookmarkStart w:id="2174" w:name="_Toc15853"/>
      <w:bookmarkStart w:id="2175" w:name="_Toc19035"/>
      <w:bookmarkStart w:id="2176" w:name="_Toc19293"/>
      <w:bookmarkStart w:id="2177" w:name="_Toc2601"/>
      <w:bookmarkStart w:id="2178" w:name="_Toc12781"/>
      <w:bookmarkStart w:id="2179" w:name="_Toc30388"/>
      <w:bookmarkStart w:id="2180" w:name="_Toc21412"/>
      <w:bookmarkStart w:id="2181" w:name="_Toc10109"/>
      <w:bookmarkStart w:id="2182" w:name="_Toc7562"/>
      <w:bookmarkStart w:id="2183" w:name="_Toc28391"/>
      <w:bookmarkStart w:id="2184" w:name="_Toc16838"/>
      <w:r>
        <w:rPr>
          <w:rFonts w:hint="eastAsia" w:ascii="黑体" w:hAnsi="黑体" w:eastAsia="黑体" w:cs="黑体"/>
          <w:color w:val="000000" w:themeColor="text1"/>
        </w:rPr>
        <w:t>5.2生产工艺及设备设施单元评价</w:t>
      </w:r>
      <w:bookmarkEnd w:id="2146"/>
      <w:bookmarkEnd w:id="2147"/>
      <w:bookmarkEnd w:id="2148"/>
      <w:r>
        <w:rPr>
          <w:rFonts w:hint="eastAsia" w:ascii="黑体" w:hAnsi="黑体" w:eastAsia="黑体" w:cs="黑体"/>
          <w:color w:val="000000" w:themeColor="text1"/>
        </w:rPr>
        <w:t>结果</w:t>
      </w:r>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p>
    <w:p>
      <w:pPr>
        <w:topLinePunct/>
        <w:ind w:firstLine="560"/>
        <w:rPr>
          <w:rFonts w:ascii="宋体" w:hAnsi="宋体" w:cs="Tahoma"/>
          <w:color w:val="000000" w:themeColor="text1"/>
          <w:szCs w:val="28"/>
        </w:rPr>
      </w:pPr>
      <w:r>
        <w:rPr>
          <w:rFonts w:hint="eastAsia"/>
        </w:rPr>
        <w:t>根据报告F</w:t>
      </w:r>
      <w:r>
        <w:rPr>
          <w:rFonts w:hint="eastAsia" w:ascii="宋体" w:hAnsi="宋体"/>
          <w:color w:val="000000" w:themeColor="text1"/>
          <w:szCs w:val="28"/>
        </w:rPr>
        <w:t>4.2“生产工艺及设备设施评价单元”</w:t>
      </w:r>
      <w:r>
        <w:rPr>
          <w:rFonts w:hint="eastAsia"/>
        </w:rPr>
        <w:t>分析评价可知：</w:t>
      </w:r>
      <w:bookmarkStart w:id="2185" w:name="_Toc16518"/>
      <w:bookmarkStart w:id="2186" w:name="_Toc128056457"/>
      <w:bookmarkStart w:id="2187" w:name="_Toc4014"/>
      <w:bookmarkStart w:id="2188" w:name="_Toc8959"/>
      <w:r>
        <w:rPr>
          <w:rFonts w:hint="eastAsia" w:ascii="宋体" w:hAnsi="宋体" w:cs="Tahoma"/>
          <w:color w:val="000000" w:themeColor="text1"/>
          <w:szCs w:val="28"/>
        </w:rPr>
        <w:t>跃进化工</w:t>
      </w:r>
      <w:r>
        <w:rPr>
          <w:rFonts w:ascii="宋体" w:hAnsi="宋体" w:cs="Tahoma"/>
          <w:color w:val="000000" w:themeColor="text1"/>
          <w:szCs w:val="28"/>
        </w:rPr>
        <w:t>生产工艺</w:t>
      </w:r>
      <w:r>
        <w:rPr>
          <w:rFonts w:hint="eastAsia" w:ascii="宋体" w:hAnsi="宋体" w:cs="Tahoma"/>
          <w:color w:val="000000" w:themeColor="text1"/>
          <w:szCs w:val="28"/>
        </w:rPr>
        <w:t>、</w:t>
      </w:r>
      <w:r>
        <w:rPr>
          <w:rFonts w:ascii="宋体" w:hAnsi="宋体" w:cs="Tahoma"/>
          <w:color w:val="000000" w:themeColor="text1"/>
          <w:szCs w:val="28"/>
        </w:rPr>
        <w:t>设备为国内成熟工艺</w:t>
      </w:r>
      <w:r>
        <w:rPr>
          <w:rFonts w:hint="eastAsia" w:ascii="宋体" w:hAnsi="宋体" w:cs="Tahoma"/>
          <w:color w:val="000000" w:themeColor="text1"/>
          <w:szCs w:val="28"/>
        </w:rPr>
        <w:t>、设备生产，不属于国家明令禁止使用或淘汰的。生产设备为正规厂家生产，生产设施、设备安全维护符合相关要求，生产工艺过程及作业场所符合相关安全规范。</w:t>
      </w:r>
    </w:p>
    <w:p>
      <w:pPr>
        <w:topLinePunct/>
        <w:ind w:firstLine="560"/>
        <w:rPr>
          <w:rFonts w:ascii="宋体" w:hAnsi="宋体" w:cs="Tahoma"/>
          <w:color w:val="auto"/>
          <w:szCs w:val="28"/>
        </w:rPr>
      </w:pPr>
      <w:r>
        <w:rPr>
          <w:rFonts w:hint="eastAsia" w:ascii="宋体" w:hAnsi="宋体" w:cs="Tahoma"/>
          <w:color w:val="auto"/>
          <w:szCs w:val="28"/>
        </w:rPr>
        <w:t>根据作业条件危险性评价法评价知，生产过程中，中毒窒息、机械伤害、爆炸、火灾、爆炸、高处坠落、化学腐蚀、淹溺为可能危险等级，噪声、粉尘伤害、灼烫为稍有危险等级；</w:t>
      </w:r>
      <w:r>
        <w:rPr>
          <w:rFonts w:hint="eastAsia" w:ascii="宋体" w:hAnsi="宋体" w:cs="Tahoma"/>
          <w:color w:val="auto"/>
          <w:szCs w:val="28"/>
        </w:rPr>
        <w:tab/>
      </w:r>
      <w:r>
        <w:rPr>
          <w:rFonts w:hint="eastAsia" w:ascii="宋体" w:hAnsi="宋体" w:cs="Tahoma"/>
          <w:color w:val="auto"/>
          <w:szCs w:val="28"/>
        </w:rPr>
        <w:t>其中若发生触电、淹溺事故，机械伤害、灼烫等可能造成人员伤亡，企业在生产过程中的安全工作予以高度重视，并加强作业场所的安全管理，防微杜渐，严防事故的发生。日常还要加强设备维护管理、精心操作，杜绝违章作业；不断加强对操作人员的技术、技能培训，提高操作水平和危险自救互救能力。</w:t>
      </w:r>
    </w:p>
    <w:bookmarkEnd w:id="2185"/>
    <w:bookmarkEnd w:id="2186"/>
    <w:bookmarkEnd w:id="2187"/>
    <w:bookmarkEnd w:id="2188"/>
    <w:p>
      <w:pPr>
        <w:pStyle w:val="3"/>
        <w:keepNext w:val="0"/>
        <w:keepLines w:val="0"/>
        <w:ind w:firstLine="562"/>
        <w:rPr>
          <w:rFonts w:ascii="黑体" w:hAnsi="黑体" w:eastAsia="黑体" w:cs="黑体"/>
          <w:color w:val="000000" w:themeColor="text1"/>
        </w:rPr>
      </w:pPr>
      <w:bookmarkStart w:id="2189" w:name="_Toc21490"/>
      <w:bookmarkStart w:id="2190" w:name="_Toc2192"/>
      <w:bookmarkStart w:id="2191" w:name="_Toc10478"/>
      <w:bookmarkStart w:id="2192" w:name="_Toc4324"/>
      <w:bookmarkStart w:id="2193" w:name="_Toc7955"/>
      <w:bookmarkStart w:id="2194" w:name="_Toc5426"/>
      <w:bookmarkStart w:id="2195" w:name="_Toc27373"/>
      <w:bookmarkStart w:id="2196" w:name="_Toc26004"/>
      <w:bookmarkStart w:id="2197" w:name="_Toc24078"/>
      <w:bookmarkStart w:id="2198" w:name="_Toc3232"/>
      <w:bookmarkStart w:id="2199" w:name="_Toc12889"/>
      <w:bookmarkStart w:id="2200" w:name="_Toc24455"/>
      <w:bookmarkStart w:id="2201" w:name="_Toc20237"/>
      <w:bookmarkStart w:id="2202" w:name="_Toc3069"/>
      <w:bookmarkStart w:id="2203" w:name="_Toc26389"/>
      <w:bookmarkStart w:id="2204" w:name="_Toc10989"/>
      <w:bookmarkStart w:id="2205" w:name="_Toc975"/>
      <w:bookmarkStart w:id="2206" w:name="_Toc3617"/>
      <w:bookmarkStart w:id="2207" w:name="_Toc11574"/>
      <w:bookmarkStart w:id="2208" w:name="_Toc12603"/>
      <w:bookmarkStart w:id="2209" w:name="_Toc13771"/>
      <w:bookmarkStart w:id="2210" w:name="_Toc32413"/>
      <w:bookmarkStart w:id="2211" w:name="_Toc10903"/>
      <w:bookmarkStart w:id="2212" w:name="_Toc23652"/>
      <w:bookmarkStart w:id="2213" w:name="_Toc31896"/>
      <w:bookmarkStart w:id="2214" w:name="_Toc31117"/>
      <w:bookmarkStart w:id="2215" w:name="_Toc13203"/>
      <w:bookmarkStart w:id="2216" w:name="_Toc11341"/>
      <w:bookmarkStart w:id="2217" w:name="_Toc15884"/>
      <w:bookmarkStart w:id="2218" w:name="_Toc11289"/>
      <w:bookmarkStart w:id="2219" w:name="_Toc10273"/>
      <w:bookmarkStart w:id="2220" w:name="_Toc20260"/>
      <w:bookmarkStart w:id="2221" w:name="_Toc27743"/>
      <w:bookmarkStart w:id="2222" w:name="_Toc26043"/>
      <w:bookmarkStart w:id="2223" w:name="_Toc62740954"/>
      <w:bookmarkStart w:id="2224" w:name="_Toc6366"/>
      <w:bookmarkStart w:id="2225" w:name="_Toc128056458"/>
      <w:r>
        <w:rPr>
          <w:rFonts w:hint="eastAsia" w:ascii="黑体" w:hAnsi="黑体" w:eastAsia="黑体" w:cs="黑体"/>
          <w:color w:val="000000" w:themeColor="text1"/>
        </w:rPr>
        <w:t>5.3公用工程及辅助设施单元评价</w:t>
      </w:r>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p>
    <w:p>
      <w:pPr>
        <w:ind w:firstLine="560"/>
      </w:pPr>
      <w:r>
        <w:rPr>
          <w:rFonts w:hint="eastAsia"/>
        </w:rPr>
        <w:t>根据报告F</w:t>
      </w:r>
      <w:r>
        <w:rPr>
          <w:rFonts w:hint="eastAsia" w:ascii="宋体" w:hAnsi="宋体"/>
          <w:color w:val="000000" w:themeColor="text1"/>
          <w:szCs w:val="28"/>
        </w:rPr>
        <w:t>4.</w:t>
      </w:r>
      <w:r>
        <w:rPr>
          <w:rFonts w:hint="eastAsia"/>
        </w:rPr>
        <w:t>3</w:t>
      </w:r>
      <w:r>
        <w:rPr>
          <w:rFonts w:hint="eastAsia" w:ascii="宋体" w:hAnsi="宋体"/>
          <w:color w:val="000000" w:themeColor="text1"/>
          <w:szCs w:val="28"/>
        </w:rPr>
        <w:t>“</w:t>
      </w:r>
      <w:r>
        <w:rPr>
          <w:rFonts w:hint="eastAsia"/>
        </w:rPr>
        <w:t>公用工程</w:t>
      </w:r>
      <w:r>
        <w:rPr>
          <w:rFonts w:hint="eastAsia" w:ascii="宋体" w:hAnsi="宋体"/>
          <w:color w:val="000000" w:themeColor="text1"/>
          <w:szCs w:val="28"/>
        </w:rPr>
        <w:t>及</w:t>
      </w:r>
      <w:r>
        <w:rPr>
          <w:rFonts w:hint="eastAsia"/>
        </w:rPr>
        <w:t>辅助</w:t>
      </w:r>
      <w:r>
        <w:rPr>
          <w:rFonts w:hint="eastAsia" w:ascii="宋体" w:hAnsi="宋体"/>
          <w:color w:val="000000" w:themeColor="text1"/>
          <w:szCs w:val="28"/>
        </w:rPr>
        <w:t>设施评价单元”</w:t>
      </w:r>
      <w:r>
        <w:rPr>
          <w:rFonts w:hint="eastAsia"/>
        </w:rPr>
        <w:t>分析评价可知：</w:t>
      </w:r>
    </w:p>
    <w:p>
      <w:pPr>
        <w:ind w:firstLine="560"/>
        <w:rPr>
          <w:color w:val="000000" w:themeColor="text1"/>
        </w:rPr>
      </w:pPr>
      <w:r>
        <w:rPr>
          <w:rFonts w:hint="eastAsia"/>
          <w:color w:val="000000" w:themeColor="text1"/>
        </w:rPr>
        <w:t>（1）漾濞县跃进化工有限责任公司的供配电系统均按《用电安全导则》（GB/T13869-2017）、《供配电系统设计规范》（GB50052-2009）、《20kV及以下变电所设计规范》（GB50053-2013）等国家相关标准规范进行了安装、使用，符合相关的规范要求，能满足生产的需要，保障生产的供配电安全。</w:t>
      </w:r>
    </w:p>
    <w:p>
      <w:pPr>
        <w:ind w:firstLine="560"/>
        <w:rPr>
          <w:color w:val="000000" w:themeColor="text1"/>
        </w:rPr>
      </w:pPr>
      <w:r>
        <w:rPr>
          <w:rFonts w:hint="eastAsia"/>
          <w:color w:val="000000" w:themeColor="text1"/>
        </w:rPr>
        <w:t>（2）漾濞县跃进化工有限责任公司的给排水系统均按国家相关的标准规范进行了安装、使用，符合《工业企业总平面设计规范》（GB50187-2012）等相关的规范要求，能满足生产的需要。</w:t>
      </w:r>
    </w:p>
    <w:p>
      <w:pPr>
        <w:ind w:firstLine="560"/>
        <w:rPr>
          <w:color w:val="000000" w:themeColor="text1"/>
        </w:rPr>
      </w:pPr>
      <w:r>
        <w:rPr>
          <w:rFonts w:hint="eastAsia"/>
          <w:color w:val="000000" w:themeColor="text1"/>
        </w:rPr>
        <w:t>（3）漾濞县跃进化工有限责任公司的消防设施符合《中华人民共和国消防法》（中华人民共和国主席令第81号）、《建筑灭火器配置设计规范》（GB50140-2005）、《建筑设计防火规范（2018年版）》（GB50016-2014）等规范的相关要求。</w:t>
      </w:r>
    </w:p>
    <w:p>
      <w:pPr>
        <w:pStyle w:val="3"/>
        <w:keepNext w:val="0"/>
        <w:keepLines w:val="0"/>
        <w:ind w:firstLine="562"/>
        <w:rPr>
          <w:rFonts w:ascii="黑体" w:hAnsi="黑体" w:eastAsia="黑体" w:cs="黑体"/>
          <w:color w:val="000000" w:themeColor="text1"/>
        </w:rPr>
      </w:pPr>
      <w:bookmarkStart w:id="2226" w:name="_Toc503269906"/>
      <w:bookmarkStart w:id="2227" w:name="_Toc7509"/>
      <w:bookmarkStart w:id="2228" w:name="_Toc7636"/>
      <w:bookmarkStart w:id="2229" w:name="_Toc11566"/>
      <w:bookmarkStart w:id="2230" w:name="_Toc4935"/>
      <w:bookmarkStart w:id="2231" w:name="_Toc14167"/>
      <w:bookmarkStart w:id="2232" w:name="_Toc4725"/>
      <w:bookmarkStart w:id="2233" w:name="_Toc31603"/>
      <w:bookmarkStart w:id="2234" w:name="_Toc7748"/>
      <w:bookmarkStart w:id="2235" w:name="_Toc17773"/>
      <w:bookmarkStart w:id="2236" w:name="_Toc3130"/>
      <w:bookmarkStart w:id="2237" w:name="_Toc22115"/>
      <w:bookmarkStart w:id="2238" w:name="_Toc4049"/>
      <w:bookmarkStart w:id="2239" w:name="_Toc128056464"/>
      <w:bookmarkStart w:id="2240" w:name="_Toc29952"/>
      <w:bookmarkStart w:id="2241" w:name="_Toc24146"/>
      <w:bookmarkStart w:id="2242" w:name="_Toc21432"/>
      <w:bookmarkStart w:id="2243" w:name="_Toc29851"/>
      <w:bookmarkStart w:id="2244" w:name="_Toc25667"/>
      <w:bookmarkStart w:id="2245" w:name="_Toc7951"/>
      <w:bookmarkStart w:id="2246" w:name="_Toc17872"/>
      <w:bookmarkStart w:id="2247" w:name="_Toc30349"/>
      <w:bookmarkStart w:id="2248" w:name="_Toc30209"/>
      <w:bookmarkStart w:id="2249" w:name="_Toc1853"/>
      <w:bookmarkStart w:id="2250" w:name="_Toc6222"/>
      <w:bookmarkStart w:id="2251" w:name="_Toc12330"/>
      <w:bookmarkStart w:id="2252" w:name="_Toc12654"/>
      <w:bookmarkStart w:id="2253" w:name="_Toc11405"/>
      <w:bookmarkStart w:id="2254" w:name="_Toc62740956"/>
      <w:bookmarkStart w:id="2255" w:name="_Toc19008"/>
      <w:bookmarkStart w:id="2256" w:name="_Toc12538"/>
      <w:bookmarkStart w:id="2257" w:name="_Toc23210"/>
      <w:bookmarkStart w:id="2258" w:name="_Toc4325"/>
      <w:bookmarkStart w:id="2259" w:name="_Toc2924"/>
      <w:bookmarkStart w:id="2260" w:name="_Toc30934"/>
      <w:bookmarkStart w:id="2261" w:name="_Toc27103"/>
      <w:bookmarkStart w:id="2262" w:name="_Toc26083"/>
      <w:bookmarkStart w:id="2263" w:name="_Toc13808"/>
      <w:r>
        <w:rPr>
          <w:rFonts w:hint="eastAsia" w:ascii="黑体" w:hAnsi="黑体" w:eastAsia="黑体" w:cs="黑体"/>
          <w:color w:val="000000" w:themeColor="text1"/>
        </w:rPr>
        <w:t>5.4 安全管理及应急救援单元</w:t>
      </w:r>
      <w:bookmarkEnd w:id="2226"/>
      <w:r>
        <w:rPr>
          <w:rFonts w:hint="eastAsia" w:ascii="黑体" w:hAnsi="黑体" w:eastAsia="黑体" w:cs="黑体"/>
          <w:color w:val="000000" w:themeColor="text1"/>
        </w:rPr>
        <w:t>评价结果</w:t>
      </w:r>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p>
    <w:p>
      <w:pPr>
        <w:ind w:firstLine="560"/>
      </w:pPr>
      <w:bookmarkStart w:id="2264" w:name="_Toc503269907"/>
      <w:bookmarkStart w:id="2265" w:name="_Toc496104984"/>
      <w:r>
        <w:rPr>
          <w:rFonts w:hint="eastAsia"/>
        </w:rPr>
        <w:t>根据报告F</w:t>
      </w:r>
      <w:r>
        <w:rPr>
          <w:rFonts w:hint="eastAsia" w:ascii="宋体" w:hAnsi="宋体"/>
          <w:color w:val="000000" w:themeColor="text1"/>
          <w:szCs w:val="28"/>
        </w:rPr>
        <w:t>4.</w:t>
      </w:r>
      <w:r>
        <w:rPr>
          <w:rFonts w:hint="eastAsia"/>
        </w:rPr>
        <w:t>4</w:t>
      </w:r>
      <w:r>
        <w:rPr>
          <w:rFonts w:hint="eastAsia" w:ascii="宋体" w:hAnsi="宋体"/>
          <w:color w:val="000000" w:themeColor="text1"/>
          <w:szCs w:val="28"/>
        </w:rPr>
        <w:t>“</w:t>
      </w:r>
      <w:r>
        <w:rPr>
          <w:rFonts w:hint="eastAsia"/>
        </w:rPr>
        <w:t>安全管理及应急救援</w:t>
      </w:r>
      <w:r>
        <w:rPr>
          <w:rFonts w:hint="eastAsia" w:ascii="宋体" w:hAnsi="宋体"/>
          <w:color w:val="000000" w:themeColor="text1"/>
          <w:szCs w:val="28"/>
        </w:rPr>
        <w:t>评价单元”</w:t>
      </w:r>
      <w:r>
        <w:rPr>
          <w:rFonts w:hint="eastAsia"/>
        </w:rPr>
        <w:t>分析评价可知：</w:t>
      </w:r>
    </w:p>
    <w:bookmarkEnd w:id="2264"/>
    <w:bookmarkEnd w:id="2265"/>
    <w:p>
      <w:pPr>
        <w:ind w:firstLine="560"/>
        <w:rPr>
          <w:rFonts w:ascii="宋体" w:hAnsi="宋体"/>
          <w:color w:val="000000" w:themeColor="text1"/>
          <w:szCs w:val="28"/>
        </w:rPr>
      </w:pPr>
      <w:r>
        <w:rPr>
          <w:rFonts w:hint="eastAsia" w:ascii="宋体" w:hAnsi="宋体"/>
          <w:color w:val="000000" w:themeColor="text1"/>
          <w:szCs w:val="28"/>
        </w:rPr>
        <w:t>跃进化工主要负责人及安全生产管理人员取得安全生产知识和管理能力考核合格证，持证上岗；特种作业人员经有资格培训单位进行培训、考核、取证后持证上岗；为从业人员配备有劳动防护用品；建立了安全生产责任制、</w:t>
      </w:r>
      <w:r>
        <w:rPr>
          <w:rFonts w:hint="eastAsia" w:hAnsi="宋体"/>
          <w:color w:val="000000" w:themeColor="text1"/>
        </w:rPr>
        <w:t>安全管理制度、安全操作规程，编制了</w:t>
      </w:r>
      <w:r>
        <w:rPr>
          <w:rFonts w:hint="eastAsia" w:ascii="宋体" w:hAnsi="宋体" w:cs="宋体"/>
          <w:szCs w:val="28"/>
        </w:rPr>
        <w:t>生产安全事故</w:t>
      </w:r>
      <w:r>
        <w:rPr>
          <w:rFonts w:hint="eastAsia" w:hAnsi="宋体"/>
          <w:color w:val="000000" w:themeColor="text1"/>
        </w:rPr>
        <w:t>应急预案并到</w:t>
      </w:r>
      <w:r>
        <w:rPr>
          <w:rFonts w:hint="eastAsia" w:ascii="宋体" w:hAnsi="宋体" w:cs="宋体"/>
          <w:kern w:val="0"/>
          <w:szCs w:val="28"/>
        </w:rPr>
        <w:t>漾濞彝族自治县</w:t>
      </w:r>
      <w:r>
        <w:rPr>
          <w:rFonts w:hint="eastAsia" w:hAnsi="宋体"/>
          <w:color w:val="000000" w:themeColor="text1"/>
        </w:rPr>
        <w:t>应急管理局备案；</w:t>
      </w:r>
      <w:r>
        <w:rPr>
          <w:rFonts w:hint="eastAsia" w:ascii="宋体" w:hAnsi="宋体"/>
          <w:color w:val="000000" w:themeColor="text1"/>
          <w:szCs w:val="28"/>
        </w:rPr>
        <w:t>配备了应急器材及设施，并定期组织演练。</w:t>
      </w:r>
    </w:p>
    <w:p>
      <w:pPr>
        <w:pStyle w:val="3"/>
        <w:keepNext w:val="0"/>
        <w:keepLines w:val="0"/>
        <w:ind w:firstLine="562"/>
        <w:rPr>
          <w:rFonts w:ascii="黑体" w:hAnsi="黑体" w:eastAsia="黑体" w:cs="黑体"/>
          <w:color w:val="000000" w:themeColor="text1"/>
        </w:rPr>
      </w:pPr>
      <w:bookmarkStart w:id="2266" w:name="_Toc22569"/>
      <w:bookmarkStart w:id="2267" w:name="_Toc11701"/>
      <w:bookmarkStart w:id="2268" w:name="_Toc14411"/>
      <w:bookmarkStart w:id="2269" w:name="_Toc8114"/>
      <w:bookmarkStart w:id="2270" w:name="_Toc22855"/>
      <w:bookmarkStart w:id="2271" w:name="_Toc6524"/>
      <w:bookmarkStart w:id="2272" w:name="_Toc3360"/>
      <w:bookmarkStart w:id="2273" w:name="_Toc11893"/>
      <w:bookmarkStart w:id="2274" w:name="_Toc9076"/>
      <w:bookmarkStart w:id="2275" w:name="_Toc7226"/>
      <w:bookmarkStart w:id="2276" w:name="_Toc26135"/>
      <w:bookmarkStart w:id="2277" w:name="_Toc13844"/>
      <w:bookmarkStart w:id="2278" w:name="_Toc2584"/>
      <w:bookmarkStart w:id="2279" w:name="_Toc11532"/>
      <w:bookmarkStart w:id="2280" w:name="_Toc31543"/>
      <w:bookmarkStart w:id="2281" w:name="_Toc31298"/>
      <w:bookmarkStart w:id="2282" w:name="_Toc28088"/>
      <w:bookmarkStart w:id="2283" w:name="_Toc23928"/>
      <w:bookmarkStart w:id="2284" w:name="_Toc8020"/>
      <w:bookmarkStart w:id="2285" w:name="_Toc23646"/>
      <w:bookmarkStart w:id="2286" w:name="_Toc16030"/>
      <w:bookmarkStart w:id="2287" w:name="_Toc17593"/>
      <w:bookmarkStart w:id="2288" w:name="_Toc7699"/>
      <w:bookmarkStart w:id="2289" w:name="_Toc24588"/>
      <w:bookmarkStart w:id="2290" w:name="_Toc15711"/>
      <w:bookmarkStart w:id="2291" w:name="_Toc28480"/>
      <w:bookmarkStart w:id="2292" w:name="_Toc18048"/>
      <w:bookmarkStart w:id="2293" w:name="_Toc13634"/>
      <w:bookmarkStart w:id="2294" w:name="_Toc4526"/>
      <w:bookmarkStart w:id="2295" w:name="_Toc30224"/>
      <w:bookmarkStart w:id="2296" w:name="_Toc4925"/>
      <w:bookmarkStart w:id="2297" w:name="_Toc2238"/>
      <w:r>
        <w:rPr>
          <w:rFonts w:hint="eastAsia" w:ascii="黑体" w:hAnsi="黑体" w:eastAsia="黑体" w:cs="黑体"/>
          <w:color w:val="000000" w:themeColor="text1"/>
        </w:rPr>
        <w:t>5.5 重大安全隐患判定符合性分析结果</w:t>
      </w:r>
      <w:bookmarkEnd w:id="2221"/>
      <w:bookmarkEnd w:id="2222"/>
      <w:bookmarkEnd w:id="2223"/>
      <w:bookmarkEnd w:id="2224"/>
      <w:bookmarkEnd w:id="2225"/>
      <w:bookmarkEnd w:id="2266"/>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bookmarkEnd w:id="2297"/>
    </w:p>
    <w:p>
      <w:pPr>
        <w:ind w:firstLine="560"/>
      </w:pPr>
      <w:r>
        <w:rPr>
          <w:rFonts w:hint="eastAsia"/>
        </w:rPr>
        <w:t>根据报告F</w:t>
      </w:r>
      <w:r>
        <w:rPr>
          <w:rFonts w:hint="eastAsia" w:ascii="宋体" w:hAnsi="宋体"/>
          <w:color w:val="000000" w:themeColor="text1"/>
          <w:szCs w:val="28"/>
        </w:rPr>
        <w:t>4.</w:t>
      </w:r>
      <w:r>
        <w:rPr>
          <w:rFonts w:hint="eastAsia"/>
        </w:rPr>
        <w:t>5</w:t>
      </w:r>
      <w:r>
        <w:rPr>
          <w:rFonts w:hint="eastAsia" w:ascii="宋体" w:hAnsi="宋体"/>
          <w:color w:val="000000" w:themeColor="text1"/>
          <w:szCs w:val="28"/>
        </w:rPr>
        <w:t>“</w:t>
      </w:r>
      <w:r>
        <w:rPr>
          <w:rFonts w:hint="eastAsia"/>
        </w:rPr>
        <w:t>重大安全隐患判定符合性分析</w:t>
      </w:r>
      <w:r>
        <w:rPr>
          <w:rFonts w:hint="eastAsia" w:ascii="宋体" w:hAnsi="宋体"/>
          <w:color w:val="000000" w:themeColor="text1"/>
          <w:szCs w:val="28"/>
        </w:rPr>
        <w:t>评价单元”</w:t>
      </w:r>
      <w:r>
        <w:rPr>
          <w:rFonts w:hint="eastAsia"/>
        </w:rPr>
        <w:t>分析评价可知：</w:t>
      </w:r>
      <w:bookmarkStart w:id="2298" w:name="_Toc8462"/>
      <w:bookmarkStart w:id="2299" w:name="_Toc15925"/>
      <w:bookmarkStart w:id="2300" w:name="_Toc62740957"/>
      <w:bookmarkStart w:id="2301" w:name="_Toc25543"/>
      <w:bookmarkStart w:id="2302" w:name="_Toc128056465"/>
      <w:bookmarkStart w:id="2303" w:name="_Toc496104985"/>
      <w:bookmarkStart w:id="2304" w:name="_Toc503269908"/>
      <w:r>
        <w:rPr>
          <w:rFonts w:hint="eastAsia"/>
          <w:color w:val="000000" w:themeColor="text1"/>
        </w:rPr>
        <w:t>漾濞县跃进化工有限责任公司不存在《国家安全监管总局关于印发&lt;化工和危险化学品生产经营单位重大生产安全事故隐患判定标准（试行）&gt;的通知》（安监总管三[2017]121号）规定的重大事故隐患。</w:t>
      </w:r>
    </w:p>
    <w:p>
      <w:pPr>
        <w:pStyle w:val="3"/>
        <w:keepNext w:val="0"/>
        <w:keepLines w:val="0"/>
        <w:ind w:firstLine="562"/>
        <w:rPr>
          <w:rFonts w:ascii="黑体" w:hAnsi="黑体" w:eastAsia="黑体" w:cs="黑体"/>
          <w:color w:val="000000" w:themeColor="text1"/>
        </w:rPr>
      </w:pPr>
      <w:bookmarkStart w:id="2305" w:name="_Toc9492"/>
      <w:bookmarkStart w:id="2306" w:name="_Toc8124"/>
      <w:bookmarkStart w:id="2307" w:name="_Toc13831"/>
      <w:bookmarkStart w:id="2308" w:name="_Toc32729"/>
      <w:bookmarkStart w:id="2309" w:name="_Toc24409"/>
      <w:bookmarkStart w:id="2310" w:name="_Toc13014"/>
      <w:bookmarkStart w:id="2311" w:name="_Toc15404"/>
      <w:bookmarkStart w:id="2312" w:name="_Toc23000"/>
      <w:bookmarkStart w:id="2313" w:name="_Toc29510"/>
      <w:bookmarkStart w:id="2314" w:name="_Toc26345"/>
      <w:bookmarkStart w:id="2315" w:name="_Toc12530"/>
      <w:bookmarkStart w:id="2316" w:name="_Toc10524"/>
      <w:bookmarkStart w:id="2317" w:name="_Toc31808"/>
      <w:bookmarkStart w:id="2318" w:name="_Toc9337"/>
      <w:bookmarkStart w:id="2319" w:name="_Toc29167"/>
      <w:bookmarkStart w:id="2320" w:name="_Toc16420"/>
      <w:bookmarkStart w:id="2321" w:name="_Toc14319"/>
      <w:bookmarkStart w:id="2322" w:name="_Toc11678"/>
      <w:bookmarkStart w:id="2323" w:name="_Toc32706"/>
      <w:bookmarkStart w:id="2324" w:name="_Toc28908"/>
      <w:bookmarkStart w:id="2325" w:name="_Toc29741"/>
      <w:bookmarkStart w:id="2326" w:name="_Toc25159"/>
      <w:bookmarkStart w:id="2327" w:name="_Toc29842"/>
      <w:bookmarkStart w:id="2328" w:name="_Toc30197"/>
      <w:bookmarkStart w:id="2329" w:name="_Toc28388"/>
      <w:bookmarkStart w:id="2330" w:name="_Toc2807"/>
      <w:bookmarkStart w:id="2331" w:name="_Toc16883"/>
      <w:bookmarkStart w:id="2332" w:name="_Toc24051"/>
      <w:bookmarkStart w:id="2333" w:name="_Toc9018"/>
      <w:bookmarkStart w:id="2334" w:name="_Toc30424"/>
      <w:bookmarkStart w:id="2335" w:name="_Toc693"/>
      <w:bookmarkStart w:id="2336" w:name="_Toc19339"/>
      <w:r>
        <w:rPr>
          <w:rFonts w:hint="eastAsia" w:ascii="黑体" w:hAnsi="黑体" w:eastAsia="黑体" w:cs="黑体"/>
          <w:color w:val="000000" w:themeColor="text1"/>
        </w:rPr>
        <w:t>5.6危险化学品生产单位申请换证条件单元评价结果</w:t>
      </w:r>
      <w:bookmarkEnd w:id="2298"/>
      <w:bookmarkEnd w:id="2299"/>
      <w:bookmarkEnd w:id="2300"/>
      <w:bookmarkEnd w:id="2301"/>
      <w:bookmarkEnd w:id="2302"/>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p>
    <w:bookmarkEnd w:id="2303"/>
    <w:bookmarkEnd w:id="2304"/>
    <w:p>
      <w:pPr>
        <w:ind w:firstLine="560"/>
        <w:rPr>
          <w:color w:val="000000" w:themeColor="text1"/>
        </w:rPr>
      </w:pPr>
      <w:r>
        <w:rPr>
          <w:rFonts w:hint="eastAsia"/>
        </w:rPr>
        <w:t>根据报告F</w:t>
      </w:r>
      <w:r>
        <w:rPr>
          <w:rFonts w:hint="eastAsia" w:ascii="宋体" w:hAnsi="宋体"/>
          <w:color w:val="000000" w:themeColor="text1"/>
          <w:szCs w:val="28"/>
        </w:rPr>
        <w:t>4.</w:t>
      </w:r>
      <w:r>
        <w:rPr>
          <w:rFonts w:hint="eastAsia"/>
        </w:rPr>
        <w:t>6</w:t>
      </w:r>
      <w:r>
        <w:rPr>
          <w:rFonts w:hint="eastAsia" w:ascii="宋体" w:hAnsi="宋体"/>
          <w:color w:val="000000" w:themeColor="text1"/>
          <w:szCs w:val="28"/>
        </w:rPr>
        <w:t>“</w:t>
      </w:r>
      <w:r>
        <w:rPr>
          <w:rFonts w:hint="eastAsia"/>
          <w:bCs/>
        </w:rPr>
        <w:t>危险化学品生产单位申请换证条件</w:t>
      </w:r>
      <w:r>
        <w:rPr>
          <w:rFonts w:hint="eastAsia" w:ascii="宋体" w:hAnsi="宋体"/>
          <w:color w:val="000000" w:themeColor="text1"/>
          <w:szCs w:val="28"/>
        </w:rPr>
        <w:t>评价单元”</w:t>
      </w:r>
      <w:r>
        <w:rPr>
          <w:rFonts w:hint="eastAsia"/>
        </w:rPr>
        <w:t>分析评价可知：</w:t>
      </w:r>
      <w:r>
        <w:rPr>
          <w:rFonts w:hint="eastAsia"/>
          <w:color w:val="000000" w:themeColor="text1"/>
        </w:rPr>
        <w:t>漾濞县跃进化工有限责任公司安全生产条件符合《危险化学品生产企业安全生产许可证实施办法》(</w:t>
      </w:r>
      <w:r>
        <w:rPr>
          <w:color w:val="000000" w:themeColor="text1"/>
        </w:rPr>
        <w:t>国家安全生产监督管理总局令第41号，第79号第一次修正，第89号第二次修正</w:t>
      </w:r>
      <w:r>
        <w:rPr>
          <w:rFonts w:hint="eastAsia"/>
          <w:color w:val="000000" w:themeColor="text1"/>
        </w:rPr>
        <w:t>)的相关要求。</w:t>
      </w:r>
    </w:p>
    <w:bookmarkEnd w:id="2091"/>
    <w:bookmarkEnd w:id="2092"/>
    <w:bookmarkEnd w:id="2093"/>
    <w:bookmarkEnd w:id="2094"/>
    <w:p>
      <w:pPr>
        <w:topLinePunct/>
        <w:ind w:firstLine="560"/>
        <w:rPr>
          <w:rFonts w:ascii="宋体" w:hAnsi="宋体"/>
          <w:color w:val="000000" w:themeColor="text1"/>
          <w:szCs w:val="28"/>
        </w:rPr>
      </w:pPr>
    </w:p>
    <w:p>
      <w:pPr>
        <w:pStyle w:val="2"/>
        <w:rPr>
          <w:rFonts w:ascii="楷体" w:hAnsi="楷体" w:eastAsia="楷体" w:cs="楷体"/>
          <w:b/>
          <w:bCs w:val="0"/>
          <w:color w:val="000000" w:themeColor="text1"/>
        </w:rPr>
      </w:pPr>
      <w:bookmarkStart w:id="2337" w:name="_Toc31254"/>
      <w:bookmarkStart w:id="2338" w:name="_Toc8607"/>
      <w:bookmarkStart w:id="2339" w:name="_Toc4153"/>
      <w:bookmarkStart w:id="2340" w:name="_Toc9461"/>
      <w:bookmarkStart w:id="2341" w:name="_Toc31937"/>
      <w:bookmarkStart w:id="2342" w:name="_Toc9415"/>
      <w:bookmarkStart w:id="2343" w:name="_Toc24911"/>
      <w:bookmarkStart w:id="2344" w:name="_Toc24040"/>
      <w:bookmarkStart w:id="2345" w:name="_Toc10446"/>
      <w:bookmarkStart w:id="2346" w:name="_Toc20022"/>
      <w:bookmarkStart w:id="2347" w:name="_Toc14820"/>
      <w:bookmarkStart w:id="2348" w:name="_Toc31837"/>
      <w:bookmarkStart w:id="2349" w:name="_Toc12155"/>
      <w:bookmarkStart w:id="2350" w:name="_Toc1047"/>
      <w:bookmarkStart w:id="2351" w:name="_Toc21910"/>
      <w:bookmarkStart w:id="2352" w:name="_Toc15562"/>
      <w:bookmarkStart w:id="2353" w:name="_Toc16765"/>
      <w:bookmarkStart w:id="2354" w:name="_Toc23887"/>
      <w:bookmarkStart w:id="2355" w:name="_Toc12319"/>
      <w:bookmarkStart w:id="2356" w:name="_Toc2581"/>
      <w:bookmarkStart w:id="2357" w:name="_Toc21934"/>
      <w:bookmarkStart w:id="2358" w:name="_Toc14580"/>
      <w:bookmarkStart w:id="2359" w:name="_Toc128056466"/>
      <w:bookmarkStart w:id="2360" w:name="_Toc10874"/>
      <w:bookmarkStart w:id="2361" w:name="_Toc20665"/>
      <w:bookmarkStart w:id="2362" w:name="_Toc740"/>
      <w:bookmarkStart w:id="2363" w:name="_Toc21822"/>
      <w:bookmarkStart w:id="2364" w:name="_Toc11076"/>
      <w:bookmarkStart w:id="2365" w:name="_Toc29636"/>
      <w:bookmarkStart w:id="2366" w:name="_Toc5079"/>
      <w:bookmarkStart w:id="2367" w:name="_Toc22120"/>
      <w:bookmarkStart w:id="2368" w:name="_Toc2146"/>
      <w:bookmarkStart w:id="2369" w:name="_Toc11628"/>
      <w:bookmarkStart w:id="2370" w:name="_Toc21390"/>
      <w:bookmarkStart w:id="2371" w:name="_Toc18933"/>
      <w:bookmarkStart w:id="2372" w:name="_Toc28904"/>
      <w:bookmarkStart w:id="2373" w:name="_Toc503269909"/>
      <w:bookmarkStart w:id="2374" w:name="_Toc62740958"/>
      <w:r>
        <w:rPr>
          <w:rFonts w:hint="eastAsia" w:ascii="楷体" w:hAnsi="楷体" w:eastAsia="楷体" w:cs="楷体"/>
          <w:b/>
          <w:bCs w:val="0"/>
          <w:color w:val="000000" w:themeColor="text1"/>
        </w:rPr>
        <w:t>6  可能发生事故后果预测结果</w:t>
      </w:r>
      <w:bookmarkEnd w:id="2337"/>
      <w:bookmarkEnd w:id="2338"/>
      <w:bookmarkEnd w:id="2339"/>
      <w:bookmarkEnd w:id="2340"/>
      <w:bookmarkEnd w:id="2341"/>
      <w:bookmarkEnd w:id="2342"/>
      <w:bookmarkEnd w:id="2343"/>
      <w:bookmarkEnd w:id="2344"/>
      <w:bookmarkEnd w:id="2345"/>
      <w:bookmarkEnd w:id="2346"/>
      <w:bookmarkEnd w:id="2347"/>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bookmarkEnd w:id="2362"/>
      <w:bookmarkEnd w:id="2363"/>
      <w:bookmarkEnd w:id="2364"/>
      <w:bookmarkEnd w:id="2365"/>
      <w:bookmarkEnd w:id="2366"/>
      <w:bookmarkEnd w:id="2367"/>
      <w:bookmarkEnd w:id="2368"/>
      <w:bookmarkEnd w:id="2369"/>
      <w:bookmarkEnd w:id="2370"/>
      <w:bookmarkEnd w:id="2371"/>
      <w:bookmarkEnd w:id="2372"/>
    </w:p>
    <w:p>
      <w:pPr>
        <w:pStyle w:val="16"/>
        <w:ind w:firstLine="643"/>
        <w:rPr>
          <w:b/>
          <w:sz w:val="32"/>
          <w:szCs w:val="32"/>
        </w:rPr>
      </w:pPr>
      <w:bookmarkStart w:id="2375" w:name="_bookmark132"/>
      <w:bookmarkEnd w:id="2375"/>
      <w:bookmarkStart w:id="2376" w:name="6.1可能发生的重大事故"/>
      <w:bookmarkEnd w:id="2376"/>
      <w:bookmarkStart w:id="2377" w:name="_Toc30965"/>
      <w:bookmarkStart w:id="2378" w:name="_Toc1102"/>
      <w:bookmarkStart w:id="2379" w:name="_Toc9565"/>
      <w:bookmarkStart w:id="2380" w:name="_Toc23337"/>
      <w:bookmarkStart w:id="2381" w:name="_Toc488"/>
      <w:bookmarkStart w:id="2382" w:name="_Toc32276"/>
      <w:bookmarkStart w:id="2383" w:name="_Toc118297957"/>
      <w:bookmarkStart w:id="2384" w:name="_Toc26538"/>
    </w:p>
    <w:p>
      <w:pPr>
        <w:pStyle w:val="3"/>
        <w:keepNext w:val="0"/>
        <w:keepLines w:val="0"/>
        <w:ind w:firstLine="562"/>
        <w:rPr>
          <w:rFonts w:ascii="黑体" w:hAnsi="黑体" w:eastAsia="黑体" w:cs="黑体"/>
          <w:color w:val="000000" w:themeColor="text1"/>
        </w:rPr>
      </w:pPr>
      <w:bookmarkStart w:id="2385" w:name="_Toc17253"/>
      <w:bookmarkStart w:id="2386" w:name="_Toc18135"/>
      <w:bookmarkStart w:id="2387" w:name="_Toc17068"/>
      <w:bookmarkStart w:id="2388" w:name="_Toc30428"/>
      <w:bookmarkStart w:id="2389" w:name="_Toc31103"/>
      <w:bookmarkStart w:id="2390" w:name="_Toc18703"/>
      <w:bookmarkStart w:id="2391" w:name="_Toc638"/>
      <w:bookmarkStart w:id="2392" w:name="_Toc26059"/>
      <w:bookmarkStart w:id="2393" w:name="_Toc24627"/>
      <w:bookmarkStart w:id="2394" w:name="_Toc9624"/>
      <w:bookmarkStart w:id="2395" w:name="_Toc7313"/>
      <w:bookmarkStart w:id="2396" w:name="_Toc778"/>
      <w:bookmarkStart w:id="2397" w:name="_Toc30229"/>
      <w:bookmarkStart w:id="2398" w:name="_Toc4568"/>
      <w:bookmarkStart w:id="2399" w:name="_Toc8851"/>
      <w:bookmarkStart w:id="2400" w:name="_Toc27248"/>
      <w:bookmarkStart w:id="2401" w:name="_Toc28806"/>
      <w:bookmarkStart w:id="2402" w:name="_Toc14734"/>
      <w:bookmarkStart w:id="2403" w:name="_Toc30485"/>
      <w:bookmarkStart w:id="2404" w:name="_Toc4870"/>
      <w:bookmarkStart w:id="2405" w:name="_Toc16732"/>
      <w:bookmarkStart w:id="2406" w:name="_Toc22964"/>
      <w:bookmarkStart w:id="2407" w:name="_Toc7242"/>
      <w:bookmarkStart w:id="2408" w:name="_Toc3708"/>
      <w:bookmarkStart w:id="2409" w:name="_Toc1345"/>
      <w:r>
        <w:rPr>
          <w:rFonts w:hint="eastAsia" w:ascii="黑体" w:hAnsi="黑体" w:eastAsia="黑体" w:cs="黑体"/>
          <w:color w:val="000000" w:themeColor="text1"/>
        </w:rPr>
        <w:t>6.1 可能发生的重大事故</w:t>
      </w:r>
      <w:bookmarkEnd w:id="2377"/>
      <w:bookmarkEnd w:id="2378"/>
      <w:bookmarkEnd w:id="2379"/>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bookmarkEnd w:id="2394"/>
      <w:bookmarkEnd w:id="2395"/>
      <w:bookmarkEnd w:id="2396"/>
      <w:bookmarkEnd w:id="2397"/>
      <w:bookmarkEnd w:id="2398"/>
      <w:bookmarkEnd w:id="2399"/>
      <w:bookmarkEnd w:id="2400"/>
      <w:bookmarkEnd w:id="2401"/>
      <w:bookmarkEnd w:id="2402"/>
      <w:bookmarkEnd w:id="2403"/>
      <w:bookmarkEnd w:id="2404"/>
      <w:bookmarkEnd w:id="2405"/>
      <w:bookmarkEnd w:id="2406"/>
      <w:bookmarkEnd w:id="2407"/>
      <w:bookmarkEnd w:id="2408"/>
      <w:bookmarkEnd w:id="2409"/>
    </w:p>
    <w:p>
      <w:pPr>
        <w:ind w:firstLine="560"/>
      </w:pPr>
      <w:r>
        <w:t>通过对</w:t>
      </w:r>
      <w:r>
        <w:rPr>
          <w:rFonts w:hint="eastAsia"/>
        </w:rPr>
        <w:t>跃进化工</w:t>
      </w:r>
      <w:r>
        <w:t>进行现场检查，</w:t>
      </w:r>
      <w:r>
        <w:rPr>
          <w:rFonts w:hint="eastAsia"/>
        </w:rPr>
        <w:t>危险和有害因素</w:t>
      </w:r>
      <w:r>
        <w:t>辨识及参考一些事故案例及类比过程后，评价组认为</w:t>
      </w:r>
      <w:r>
        <w:rPr>
          <w:rFonts w:hint="eastAsia"/>
        </w:rPr>
        <w:t>跃进化工</w:t>
      </w:r>
      <w:r>
        <w:t>在生产过程中可能发生的重大事故主要有：</w:t>
      </w:r>
      <w:r>
        <w:rPr>
          <w:rFonts w:hint="eastAsia" w:ascii="宋体" w:hAnsi="宋体" w:cs="Tahoma"/>
          <w:color w:val="auto"/>
          <w:szCs w:val="28"/>
        </w:rPr>
        <w:t>酸性腐蚀、机械伤害、中毒和灼烫</w:t>
      </w:r>
      <w:r>
        <w:t>。</w:t>
      </w:r>
    </w:p>
    <w:p>
      <w:pPr>
        <w:pStyle w:val="3"/>
        <w:keepNext w:val="0"/>
        <w:keepLines w:val="0"/>
        <w:ind w:firstLine="562"/>
        <w:rPr>
          <w:rFonts w:ascii="黑体" w:hAnsi="黑体" w:eastAsia="黑体" w:cs="黑体"/>
          <w:color w:val="000000" w:themeColor="text1"/>
        </w:rPr>
      </w:pPr>
      <w:bookmarkStart w:id="2410" w:name="6.2事故后果预测"/>
      <w:bookmarkEnd w:id="2410"/>
      <w:bookmarkStart w:id="2411" w:name="_bookmark133"/>
      <w:bookmarkEnd w:id="2411"/>
      <w:bookmarkStart w:id="2412" w:name="_Toc3387"/>
      <w:bookmarkStart w:id="2413" w:name="_Toc7374"/>
      <w:bookmarkStart w:id="2414" w:name="_Toc17174"/>
      <w:bookmarkStart w:id="2415" w:name="_Toc13220"/>
      <w:bookmarkStart w:id="2416" w:name="_Toc272"/>
      <w:bookmarkStart w:id="2417" w:name="_Toc22406"/>
      <w:bookmarkStart w:id="2418" w:name="_Toc32550"/>
      <w:bookmarkStart w:id="2419" w:name="_Toc19927"/>
      <w:bookmarkStart w:id="2420" w:name="_Toc26606"/>
      <w:bookmarkStart w:id="2421" w:name="_Toc11079"/>
      <w:bookmarkStart w:id="2422" w:name="_Toc28213"/>
      <w:bookmarkStart w:id="2423" w:name="_Toc8261"/>
      <w:bookmarkStart w:id="2424" w:name="_Toc11525"/>
      <w:bookmarkStart w:id="2425" w:name="_Toc27343"/>
      <w:bookmarkStart w:id="2426" w:name="_Toc11930"/>
      <w:bookmarkStart w:id="2427" w:name="_Toc12048"/>
      <w:bookmarkStart w:id="2428" w:name="_Toc32343"/>
      <w:bookmarkStart w:id="2429" w:name="_Toc20455"/>
      <w:bookmarkStart w:id="2430" w:name="_Toc14670"/>
      <w:bookmarkStart w:id="2431" w:name="_Toc20825"/>
      <w:bookmarkStart w:id="2432" w:name="_Toc5168"/>
      <w:bookmarkStart w:id="2433" w:name="_Toc31449"/>
      <w:bookmarkStart w:id="2434" w:name="_Toc28141"/>
      <w:bookmarkStart w:id="2435" w:name="_Toc18121"/>
      <w:bookmarkStart w:id="2436" w:name="_Toc26705"/>
      <w:bookmarkStart w:id="2437" w:name="_Toc1546"/>
      <w:bookmarkStart w:id="2438" w:name="_Toc872"/>
      <w:bookmarkStart w:id="2439" w:name="_Toc7065"/>
      <w:bookmarkStart w:id="2440" w:name="_Toc794"/>
      <w:bookmarkStart w:id="2441" w:name="_Toc118297958"/>
      <w:bookmarkStart w:id="2442" w:name="_Toc8136"/>
      <w:bookmarkStart w:id="2443" w:name="_Toc12147"/>
      <w:bookmarkStart w:id="2444" w:name="_Toc7437"/>
      <w:r>
        <w:rPr>
          <w:rFonts w:hint="eastAsia" w:ascii="黑体" w:hAnsi="黑体" w:eastAsia="黑体" w:cs="黑体"/>
          <w:color w:val="000000" w:themeColor="text1"/>
        </w:rPr>
        <w:t>6.2 事故后果预测</w:t>
      </w:r>
      <w:bookmarkEnd w:id="2412"/>
      <w:bookmarkEnd w:id="2413"/>
      <w:bookmarkEnd w:id="2414"/>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bookmarkEnd w:id="2430"/>
      <w:bookmarkEnd w:id="2431"/>
      <w:bookmarkEnd w:id="2432"/>
      <w:bookmarkEnd w:id="2433"/>
      <w:bookmarkEnd w:id="2434"/>
      <w:bookmarkEnd w:id="2435"/>
      <w:bookmarkEnd w:id="2436"/>
      <w:bookmarkEnd w:id="2437"/>
      <w:bookmarkEnd w:id="2438"/>
      <w:bookmarkEnd w:id="2439"/>
      <w:bookmarkEnd w:id="2440"/>
      <w:bookmarkEnd w:id="2441"/>
      <w:bookmarkEnd w:id="2442"/>
      <w:bookmarkEnd w:id="2443"/>
      <w:bookmarkEnd w:id="2444"/>
    </w:p>
    <w:p>
      <w:pPr>
        <w:ind w:firstLine="560"/>
      </w:pPr>
      <w:r>
        <w:t>根据</w:t>
      </w:r>
      <w:r>
        <w:rPr>
          <w:rFonts w:hint="eastAsia"/>
        </w:rPr>
        <w:t>报告F2.5.2“生产工艺及设备设施危险性分析”</w:t>
      </w:r>
      <w:r>
        <w:t>，本项目发生</w:t>
      </w:r>
      <w:r>
        <w:rPr>
          <w:rFonts w:hint="eastAsia"/>
        </w:rPr>
        <w:t>事故主要为</w:t>
      </w:r>
      <w:r>
        <w:rPr>
          <w:rFonts w:hint="eastAsia" w:ascii="宋体" w:hAnsi="宋体" w:cs="Tahoma"/>
          <w:color w:val="auto"/>
          <w:szCs w:val="28"/>
        </w:rPr>
        <w:t>酸性腐蚀、机械伤害、中毒和灼烫</w:t>
      </w:r>
      <w:r>
        <w:t>。</w:t>
      </w:r>
    </w:p>
    <w:p>
      <w:pPr>
        <w:ind w:firstLine="560"/>
      </w:pPr>
      <w:r>
        <w:t>本项目发生重大事故的后果分析见表6</w:t>
      </w:r>
      <w:r>
        <w:rPr>
          <w:rFonts w:hint="eastAsia"/>
        </w:rPr>
        <w:t>.2</w:t>
      </w:r>
      <w:r>
        <w:t>-1。</w:t>
      </w:r>
    </w:p>
    <w:p>
      <w:pPr>
        <w:pStyle w:val="92"/>
        <w:rPr>
          <w:sz w:val="24"/>
          <w:szCs w:val="24"/>
        </w:rPr>
      </w:pPr>
      <w:r>
        <w:rPr>
          <w:rFonts w:hint="eastAsia"/>
          <w:sz w:val="24"/>
          <w:szCs w:val="24"/>
        </w:rPr>
        <w:t>表6.2-1 重大事故后果定性分析表</w:t>
      </w:r>
    </w:p>
    <w:tbl>
      <w:tblPr>
        <w:tblStyle w:val="89"/>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2"/>
        <w:gridCol w:w="76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b/>
                <w:sz w:val="21"/>
                <w:szCs w:val="21"/>
                <w:lang w:eastAsia="en-US"/>
              </w:rPr>
            </w:pPr>
            <w:r>
              <w:rPr>
                <w:b/>
                <w:sz w:val="21"/>
                <w:szCs w:val="21"/>
                <w:lang w:eastAsia="en-US"/>
              </w:rPr>
              <w:t>事</w:t>
            </w:r>
            <w:r>
              <w:rPr>
                <w:rFonts w:hint="eastAsia"/>
                <w:b/>
                <w:sz w:val="21"/>
                <w:szCs w:val="21"/>
                <w:lang w:eastAsia="en-US"/>
              </w:rPr>
              <w:t xml:space="preserve"> </w:t>
            </w:r>
            <w:r>
              <w:rPr>
                <w:b/>
                <w:sz w:val="21"/>
                <w:szCs w:val="21"/>
                <w:lang w:eastAsia="en-US"/>
              </w:rPr>
              <w:t>故</w:t>
            </w:r>
            <w:r>
              <w:rPr>
                <w:rFonts w:hint="eastAsia"/>
                <w:b/>
                <w:sz w:val="21"/>
                <w:szCs w:val="21"/>
                <w:lang w:eastAsia="en-US"/>
              </w:rPr>
              <w:t xml:space="preserve"> </w:t>
            </w:r>
            <w:r>
              <w:rPr>
                <w:b/>
                <w:sz w:val="21"/>
                <w:szCs w:val="21"/>
                <w:lang w:eastAsia="en-US"/>
              </w:rPr>
              <w:t>可</w:t>
            </w:r>
            <w:r>
              <w:rPr>
                <w:rFonts w:hint="eastAsia"/>
                <w:b/>
                <w:sz w:val="21"/>
                <w:szCs w:val="21"/>
                <w:lang w:eastAsia="en-US"/>
              </w:rPr>
              <w:t xml:space="preserve"> </w:t>
            </w:r>
            <w:r>
              <w:rPr>
                <w:b/>
                <w:sz w:val="21"/>
                <w:szCs w:val="21"/>
                <w:lang w:eastAsia="en-US"/>
              </w:rPr>
              <w:t>能</w:t>
            </w:r>
          </w:p>
        </w:tc>
        <w:tc>
          <w:tcPr>
            <w:tcW w:w="76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b/>
                <w:sz w:val="21"/>
                <w:szCs w:val="21"/>
                <w:lang w:eastAsia="en-US"/>
              </w:rPr>
            </w:pPr>
            <w:r>
              <w:rPr>
                <w:b/>
                <w:sz w:val="21"/>
                <w:szCs w:val="21"/>
                <w:lang w:eastAsia="en-US"/>
              </w:rPr>
              <w:t>后</w:t>
            </w:r>
            <w:r>
              <w:rPr>
                <w:rFonts w:hint="eastAsia"/>
                <w:b/>
                <w:sz w:val="21"/>
                <w:szCs w:val="21"/>
                <w:lang w:eastAsia="en-US"/>
              </w:rPr>
              <w:t xml:space="preserve">  </w:t>
            </w:r>
            <w:r>
              <w:rPr>
                <w:b/>
                <w:sz w:val="21"/>
                <w:szCs w:val="21"/>
                <w:lang w:eastAsia="en-US"/>
              </w:rPr>
              <w:t>果</w:t>
            </w:r>
            <w:r>
              <w:rPr>
                <w:rFonts w:hint="eastAsia"/>
                <w:b/>
                <w:sz w:val="21"/>
                <w:szCs w:val="21"/>
                <w:lang w:eastAsia="en-US"/>
              </w:rPr>
              <w:t xml:space="preserve">  </w:t>
            </w:r>
            <w:r>
              <w:rPr>
                <w:b/>
                <w:sz w:val="21"/>
                <w:szCs w:val="21"/>
                <w:lang w:eastAsia="en-US"/>
              </w:rPr>
              <w:t>预</w:t>
            </w:r>
            <w:r>
              <w:rPr>
                <w:rFonts w:hint="eastAsia"/>
                <w:b/>
                <w:sz w:val="21"/>
                <w:szCs w:val="21"/>
                <w:lang w:eastAsia="en-US"/>
              </w:rPr>
              <w:t xml:space="preserve">  </w:t>
            </w:r>
            <w:r>
              <w:rPr>
                <w:b/>
                <w:sz w:val="21"/>
                <w:szCs w:val="21"/>
                <w:lang w:eastAsia="en-US"/>
              </w:rPr>
              <w:t>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Tahoma"/>
                <w:color w:val="auto"/>
                <w:sz w:val="21"/>
                <w:szCs w:val="21"/>
                <w:lang w:eastAsia="en-US"/>
              </w:rPr>
            </w:pPr>
            <w:bookmarkStart w:id="2445" w:name="_Toc13587"/>
            <w:bookmarkStart w:id="2446" w:name="_Toc24895"/>
            <w:bookmarkStart w:id="2447" w:name="_Toc27241"/>
            <w:bookmarkStart w:id="2448" w:name="_Toc24010"/>
            <w:bookmarkStart w:id="2449" w:name="_Toc6983"/>
            <w:bookmarkStart w:id="2450" w:name="_Toc30960"/>
            <w:bookmarkStart w:id="2451" w:name="_Toc8018"/>
            <w:bookmarkStart w:id="2452" w:name="_Toc10967"/>
            <w:bookmarkStart w:id="2453" w:name="_Toc27372"/>
            <w:bookmarkStart w:id="2454" w:name="_Toc15323"/>
            <w:bookmarkStart w:id="2455" w:name="_Toc128056467"/>
            <w:r>
              <w:rPr>
                <w:rFonts w:hint="eastAsia" w:ascii="宋体" w:hAnsi="宋体" w:cs="Tahoma"/>
                <w:color w:val="auto"/>
                <w:sz w:val="21"/>
                <w:szCs w:val="21"/>
                <w:lang w:eastAsia="en-US"/>
              </w:rPr>
              <w:t>酸性腐蚀</w:t>
            </w:r>
          </w:p>
        </w:tc>
        <w:tc>
          <w:tcPr>
            <w:tcW w:w="76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rPr>
                <w:rFonts w:ascii="宋体" w:hAnsi="宋体" w:cs="宋体"/>
                <w:sz w:val="21"/>
                <w:szCs w:val="21"/>
                <w:lang w:eastAsia="en-US"/>
              </w:rPr>
            </w:pPr>
            <w:r>
              <w:rPr>
                <w:rFonts w:hint="eastAsia" w:ascii="宋体" w:hAnsi="宋体" w:cs="宋体"/>
                <w:sz w:val="21"/>
                <w:szCs w:val="21"/>
                <w:lang w:eastAsia="en-US"/>
              </w:rPr>
              <w:t>能引起人体组织灼伤或使组织坏死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Tahoma"/>
                <w:color w:val="auto"/>
                <w:sz w:val="21"/>
                <w:szCs w:val="21"/>
                <w:lang w:eastAsia="en-US"/>
              </w:rPr>
            </w:pPr>
            <w:r>
              <w:rPr>
                <w:rFonts w:hint="eastAsia" w:ascii="宋体" w:hAnsi="宋体" w:cs="Tahoma"/>
                <w:color w:val="auto"/>
                <w:sz w:val="21"/>
                <w:szCs w:val="21"/>
                <w:lang w:eastAsia="en-US"/>
              </w:rPr>
              <w:t>机械伤害</w:t>
            </w:r>
          </w:p>
        </w:tc>
        <w:tc>
          <w:tcPr>
            <w:tcW w:w="76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rPr>
                <w:rFonts w:cs="宋体"/>
                <w:sz w:val="21"/>
                <w:szCs w:val="21"/>
                <w:lang w:eastAsia="en-US"/>
              </w:rPr>
            </w:pPr>
            <w:r>
              <w:rPr>
                <w:rFonts w:hint="eastAsia" w:ascii="宋体" w:hAnsi="宋体" w:cs="宋体"/>
                <w:sz w:val="21"/>
                <w:szCs w:val="21"/>
                <w:lang w:eastAsia="en-US"/>
              </w:rPr>
              <w:t>主要对人体引起挤压、碰撞、冲击、剪切、卷入、绞绕、甩出、切割、切断、刺扎等伤害，受伤者轻则皮肉受伤，重则伤筋动骨、断肢致残，甚至危及生命。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Tahoma"/>
                <w:color w:val="auto"/>
                <w:sz w:val="21"/>
                <w:szCs w:val="21"/>
                <w:lang w:eastAsia="en-US"/>
              </w:rPr>
            </w:pPr>
            <w:r>
              <w:rPr>
                <w:rFonts w:hint="eastAsia" w:ascii="宋体" w:hAnsi="宋体" w:cs="Tahoma"/>
                <w:color w:val="auto"/>
                <w:sz w:val="21"/>
                <w:szCs w:val="21"/>
                <w:lang w:eastAsia="en-US"/>
              </w:rPr>
              <w:t>中毒</w:t>
            </w:r>
          </w:p>
        </w:tc>
        <w:tc>
          <w:tcPr>
            <w:tcW w:w="76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rPr>
                <w:rFonts w:ascii="宋体" w:hAnsi="宋体" w:cs="宋体"/>
                <w:sz w:val="21"/>
                <w:szCs w:val="21"/>
                <w:lang w:eastAsia="en-US"/>
              </w:rPr>
            </w:pPr>
            <w:r>
              <w:rPr>
                <w:rFonts w:hint="eastAsia" w:ascii="宋体" w:hAnsi="宋体" w:cs="宋体"/>
                <w:sz w:val="21"/>
                <w:szCs w:val="21"/>
                <w:lang w:eastAsia="en-US"/>
              </w:rPr>
              <w:t>可引起眼及呼吸道黏膜刺激症状,严重者可发生支气管炎、肺炎或肺水肿,甚至发生反射性窒息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sz w:val="21"/>
                <w:szCs w:val="21"/>
                <w:lang w:eastAsia="en-US"/>
              </w:rPr>
            </w:pPr>
            <w:r>
              <w:rPr>
                <w:rFonts w:hint="eastAsia" w:ascii="宋体" w:hAnsi="宋体" w:cs="Tahoma"/>
                <w:color w:val="auto"/>
                <w:sz w:val="21"/>
                <w:szCs w:val="21"/>
                <w:lang w:eastAsia="en-US"/>
              </w:rPr>
              <w:t>灼烫</w:t>
            </w:r>
          </w:p>
        </w:tc>
        <w:tc>
          <w:tcPr>
            <w:tcW w:w="76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rPr>
                <w:sz w:val="21"/>
                <w:szCs w:val="21"/>
                <w:lang w:eastAsia="en-US"/>
              </w:rPr>
            </w:pPr>
            <w:r>
              <w:rPr>
                <w:rFonts w:hint="eastAsia" w:ascii="宋体" w:hAnsi="宋体" w:cs="Arial"/>
                <w:color w:val="333333"/>
                <w:sz w:val="21"/>
                <w:szCs w:val="21"/>
                <w:lang w:eastAsia="en-US"/>
              </w:rPr>
              <w:t>人员伤亡</w:t>
            </w:r>
          </w:p>
        </w:tc>
      </w:tr>
    </w:tbl>
    <w:p>
      <w:pPr>
        <w:pStyle w:val="16"/>
        <w:ind w:firstLine="560"/>
      </w:pPr>
    </w:p>
    <w:p>
      <w:pPr>
        <w:pStyle w:val="16"/>
        <w:ind w:firstLine="560"/>
      </w:pPr>
    </w:p>
    <w:p>
      <w:pPr>
        <w:pStyle w:val="16"/>
        <w:ind w:firstLine="560"/>
      </w:pPr>
    </w:p>
    <w:p>
      <w:pPr>
        <w:pStyle w:val="16"/>
        <w:ind w:firstLine="560"/>
      </w:pPr>
    </w:p>
    <w:p>
      <w:pPr>
        <w:pStyle w:val="16"/>
        <w:ind w:firstLine="560"/>
      </w:pPr>
    </w:p>
    <w:p>
      <w:pPr>
        <w:pStyle w:val="16"/>
        <w:ind w:firstLine="560"/>
      </w:pPr>
    </w:p>
    <w:p>
      <w:pPr>
        <w:pStyle w:val="16"/>
        <w:ind w:firstLine="560"/>
      </w:pPr>
    </w:p>
    <w:p>
      <w:pPr>
        <w:pStyle w:val="16"/>
        <w:ind w:firstLine="0" w:firstLineChars="0"/>
      </w:pPr>
    </w:p>
    <w:p>
      <w:pPr>
        <w:pStyle w:val="2"/>
        <w:rPr>
          <w:rFonts w:ascii="楷体" w:hAnsi="楷体" w:eastAsia="楷体" w:cs="楷体"/>
          <w:b/>
          <w:bCs w:val="0"/>
          <w:color w:val="000000" w:themeColor="text1"/>
        </w:rPr>
      </w:pPr>
      <w:bookmarkStart w:id="2456" w:name="_Toc18370"/>
      <w:bookmarkStart w:id="2457" w:name="_Toc27532"/>
      <w:bookmarkStart w:id="2458" w:name="_Toc24959"/>
      <w:bookmarkStart w:id="2459" w:name="_Toc20580"/>
      <w:bookmarkStart w:id="2460" w:name="_Toc10779"/>
      <w:bookmarkStart w:id="2461" w:name="_Toc27577"/>
      <w:bookmarkStart w:id="2462" w:name="_Toc23920"/>
      <w:bookmarkStart w:id="2463" w:name="_Toc32079"/>
      <w:bookmarkStart w:id="2464" w:name="_Toc23851"/>
      <w:bookmarkStart w:id="2465" w:name="_Toc26525"/>
      <w:bookmarkStart w:id="2466" w:name="_Toc7644"/>
      <w:bookmarkStart w:id="2467" w:name="_Toc16038"/>
      <w:bookmarkStart w:id="2468" w:name="_Toc11293"/>
      <w:bookmarkStart w:id="2469" w:name="_Toc7004"/>
      <w:bookmarkStart w:id="2470" w:name="_Toc12923"/>
      <w:bookmarkStart w:id="2471" w:name="_Toc31300"/>
      <w:bookmarkStart w:id="2472" w:name="_Toc12403"/>
      <w:bookmarkStart w:id="2473" w:name="_Toc24000"/>
      <w:bookmarkStart w:id="2474" w:name="_Toc9053"/>
      <w:bookmarkStart w:id="2475" w:name="_Toc25446"/>
      <w:bookmarkStart w:id="2476" w:name="_Toc20785"/>
      <w:bookmarkStart w:id="2477" w:name="_Toc1203"/>
      <w:bookmarkStart w:id="2478" w:name="_Toc17401"/>
      <w:bookmarkStart w:id="2479" w:name="_Toc3333"/>
      <w:bookmarkStart w:id="2480" w:name="_Toc12102"/>
      <w:r>
        <w:rPr>
          <w:rFonts w:hint="eastAsia" w:ascii="楷体" w:hAnsi="楷体" w:eastAsia="楷体" w:cs="楷体"/>
          <w:b/>
          <w:bCs w:val="0"/>
          <w:color w:val="000000" w:themeColor="text1"/>
        </w:rPr>
        <w:t>7  存在问题、建议及整改情况、安全对策措施</w:t>
      </w:r>
      <w:bookmarkEnd w:id="2373"/>
      <w:r>
        <w:rPr>
          <w:rFonts w:hint="eastAsia" w:ascii="楷体" w:hAnsi="楷体" w:eastAsia="楷体" w:cs="楷体"/>
          <w:b/>
          <w:bCs w:val="0"/>
          <w:color w:val="000000" w:themeColor="text1"/>
        </w:rPr>
        <w:t>与建议和结论</w:t>
      </w:r>
      <w:bookmarkEnd w:id="2374"/>
      <w:bookmarkEnd w:id="2445"/>
      <w:bookmarkEnd w:id="2446"/>
      <w:bookmarkEnd w:id="2447"/>
      <w:bookmarkEnd w:id="2448"/>
      <w:bookmarkEnd w:id="2449"/>
      <w:bookmarkEnd w:id="2450"/>
      <w:bookmarkEnd w:id="2451"/>
      <w:bookmarkEnd w:id="2452"/>
      <w:bookmarkEnd w:id="2453"/>
      <w:bookmarkEnd w:id="2454"/>
      <w:bookmarkEnd w:id="2455"/>
      <w:bookmarkEnd w:id="2456"/>
      <w:bookmarkEnd w:id="2457"/>
      <w:bookmarkEnd w:id="2458"/>
      <w:bookmarkEnd w:id="2459"/>
      <w:bookmarkEnd w:id="2460"/>
      <w:bookmarkEnd w:id="2461"/>
      <w:bookmarkEnd w:id="2462"/>
      <w:bookmarkEnd w:id="2463"/>
      <w:bookmarkEnd w:id="2464"/>
      <w:bookmarkEnd w:id="2465"/>
      <w:bookmarkEnd w:id="2466"/>
      <w:bookmarkEnd w:id="2467"/>
      <w:bookmarkEnd w:id="2468"/>
      <w:bookmarkEnd w:id="2469"/>
      <w:bookmarkEnd w:id="2470"/>
      <w:bookmarkEnd w:id="2471"/>
      <w:bookmarkEnd w:id="2472"/>
      <w:bookmarkEnd w:id="2473"/>
      <w:bookmarkEnd w:id="2474"/>
      <w:bookmarkEnd w:id="2475"/>
      <w:bookmarkEnd w:id="2476"/>
      <w:bookmarkEnd w:id="2477"/>
      <w:bookmarkEnd w:id="2478"/>
      <w:bookmarkEnd w:id="2479"/>
      <w:bookmarkEnd w:id="2480"/>
    </w:p>
    <w:p>
      <w:pPr>
        <w:pStyle w:val="16"/>
        <w:ind w:firstLine="643"/>
        <w:jc w:val="center"/>
        <w:rPr>
          <w:b/>
          <w:sz w:val="32"/>
          <w:szCs w:val="32"/>
        </w:rPr>
      </w:pPr>
      <w:bookmarkStart w:id="2481" w:name="_Toc17127"/>
      <w:bookmarkStart w:id="2482" w:name="_Toc8096"/>
      <w:bookmarkStart w:id="2483" w:name="_Toc128056468"/>
      <w:bookmarkStart w:id="2484" w:name="_Toc84"/>
      <w:bookmarkStart w:id="2485" w:name="_Toc62740959"/>
      <w:bookmarkStart w:id="2486" w:name="_Toc19159"/>
      <w:bookmarkStart w:id="2487" w:name="_Toc8216"/>
      <w:bookmarkStart w:id="2488" w:name="_Toc503269910"/>
      <w:bookmarkStart w:id="2489" w:name="_Toc24481"/>
      <w:bookmarkStart w:id="2490" w:name="_Toc31993"/>
      <w:bookmarkStart w:id="2491" w:name="_Toc464803681"/>
      <w:bookmarkStart w:id="2492" w:name="_Toc23216"/>
      <w:bookmarkStart w:id="2493" w:name="_Toc19627"/>
      <w:bookmarkStart w:id="2494" w:name="_Toc19211"/>
    </w:p>
    <w:p>
      <w:pPr>
        <w:pStyle w:val="3"/>
        <w:keepNext w:val="0"/>
        <w:keepLines w:val="0"/>
        <w:ind w:firstLine="562"/>
        <w:rPr>
          <w:rFonts w:ascii="黑体" w:hAnsi="黑体" w:eastAsia="黑体" w:cs="黑体"/>
          <w:color w:val="000000" w:themeColor="text1"/>
        </w:rPr>
      </w:pPr>
      <w:bookmarkStart w:id="2495" w:name="_Toc14118"/>
      <w:bookmarkStart w:id="2496" w:name="_Toc402"/>
      <w:bookmarkStart w:id="2497" w:name="_Toc27148"/>
      <w:bookmarkStart w:id="2498" w:name="_Toc27505"/>
      <w:bookmarkStart w:id="2499" w:name="_Toc4631"/>
      <w:bookmarkStart w:id="2500" w:name="_Toc2621"/>
      <w:bookmarkStart w:id="2501" w:name="_Toc19393"/>
      <w:bookmarkStart w:id="2502" w:name="_Toc17283"/>
      <w:bookmarkStart w:id="2503" w:name="_Toc26003"/>
      <w:bookmarkStart w:id="2504" w:name="_Toc15378"/>
      <w:bookmarkStart w:id="2505" w:name="_Toc31832"/>
      <w:bookmarkStart w:id="2506" w:name="_Toc11145"/>
      <w:bookmarkStart w:id="2507" w:name="_Toc16260"/>
      <w:bookmarkStart w:id="2508" w:name="_Toc29128"/>
      <w:bookmarkStart w:id="2509" w:name="_Toc24459"/>
      <w:bookmarkStart w:id="2510" w:name="_Toc79"/>
      <w:bookmarkStart w:id="2511" w:name="_Toc12326"/>
      <w:bookmarkStart w:id="2512" w:name="_Toc5536"/>
      <w:bookmarkStart w:id="2513" w:name="_Toc15231"/>
      <w:bookmarkStart w:id="2514" w:name="_Toc31534"/>
      <w:bookmarkStart w:id="2515" w:name="_Toc21494"/>
      <w:bookmarkStart w:id="2516" w:name="_Toc11204"/>
      <w:bookmarkStart w:id="2517" w:name="_Toc28793"/>
      <w:bookmarkStart w:id="2518" w:name="_Toc18355"/>
      <w:bookmarkStart w:id="2519" w:name="_Toc6949"/>
      <w:r>
        <w:rPr>
          <w:rFonts w:hint="eastAsia" w:ascii="黑体" w:hAnsi="黑体" w:eastAsia="黑体" w:cs="黑体"/>
          <w:color w:val="000000" w:themeColor="text1"/>
        </w:rPr>
        <w:t>7.1 主要存在问题及整改情况说明</w:t>
      </w:r>
      <w:bookmarkEnd w:id="2481"/>
      <w:bookmarkEnd w:id="2482"/>
      <w:bookmarkEnd w:id="2483"/>
      <w:bookmarkEnd w:id="2484"/>
      <w:bookmarkEnd w:id="2485"/>
      <w:bookmarkEnd w:id="2486"/>
      <w:bookmarkEnd w:id="2487"/>
      <w:bookmarkEnd w:id="2488"/>
      <w:bookmarkEnd w:id="2489"/>
      <w:bookmarkEnd w:id="2490"/>
      <w:bookmarkEnd w:id="2491"/>
      <w:bookmarkEnd w:id="2492"/>
      <w:bookmarkEnd w:id="2493"/>
      <w:bookmarkEnd w:id="2494"/>
      <w:bookmarkEnd w:id="2495"/>
      <w:bookmarkEnd w:id="2496"/>
      <w:bookmarkEnd w:id="2497"/>
      <w:bookmarkEnd w:id="2498"/>
      <w:bookmarkEnd w:id="2499"/>
      <w:bookmarkEnd w:id="2500"/>
      <w:bookmarkEnd w:id="2501"/>
      <w:bookmarkEnd w:id="2502"/>
      <w:bookmarkEnd w:id="2503"/>
      <w:bookmarkEnd w:id="2504"/>
      <w:bookmarkEnd w:id="2505"/>
      <w:bookmarkEnd w:id="2506"/>
      <w:bookmarkEnd w:id="2507"/>
      <w:bookmarkEnd w:id="2508"/>
      <w:bookmarkEnd w:id="2509"/>
      <w:bookmarkEnd w:id="2510"/>
      <w:bookmarkEnd w:id="2511"/>
      <w:bookmarkEnd w:id="2512"/>
      <w:bookmarkEnd w:id="2513"/>
      <w:bookmarkEnd w:id="2514"/>
      <w:bookmarkEnd w:id="2515"/>
      <w:bookmarkEnd w:id="2516"/>
      <w:bookmarkEnd w:id="2517"/>
      <w:bookmarkEnd w:id="2518"/>
      <w:bookmarkEnd w:id="2519"/>
    </w:p>
    <w:p>
      <w:pPr>
        <w:pStyle w:val="4"/>
        <w:ind w:firstLine="562"/>
      </w:pPr>
      <w:bookmarkStart w:id="2520" w:name="_Toc32411"/>
      <w:bookmarkStart w:id="2521" w:name="_Toc26372"/>
      <w:bookmarkStart w:id="2522" w:name="_Toc9485"/>
      <w:bookmarkStart w:id="2523" w:name="_Toc22744"/>
      <w:bookmarkStart w:id="2524" w:name="_Toc641"/>
      <w:bookmarkStart w:id="2525" w:name="_Toc17938"/>
      <w:bookmarkStart w:id="2526" w:name="_Toc1882"/>
      <w:bookmarkStart w:id="2527" w:name="_Toc2426"/>
      <w:bookmarkStart w:id="2528" w:name="_Toc32373"/>
      <w:bookmarkStart w:id="2529" w:name="_Toc12321"/>
      <w:bookmarkStart w:id="2530" w:name="_Toc128056469"/>
      <w:bookmarkStart w:id="2531" w:name="_Toc31569"/>
      <w:bookmarkStart w:id="2532" w:name="_Toc30146"/>
      <w:bookmarkStart w:id="2533" w:name="_Toc8505"/>
      <w:bookmarkStart w:id="2534" w:name="_Toc21943"/>
      <w:bookmarkStart w:id="2535" w:name="_Toc31483"/>
      <w:bookmarkStart w:id="2536" w:name="_Toc24756"/>
      <w:bookmarkStart w:id="2537" w:name="_Toc6948"/>
      <w:bookmarkStart w:id="2538" w:name="_Toc18610"/>
      <w:bookmarkStart w:id="2539" w:name="_Toc22379"/>
      <w:bookmarkStart w:id="2540" w:name="_Toc25182"/>
      <w:bookmarkStart w:id="2541" w:name="_Toc16571"/>
      <w:bookmarkStart w:id="2542" w:name="_Toc8144"/>
      <w:bookmarkStart w:id="2543" w:name="_Toc22413"/>
      <w:bookmarkStart w:id="2544" w:name="_Toc27774"/>
      <w:bookmarkStart w:id="2545" w:name="_Toc313"/>
      <w:r>
        <w:rPr>
          <w:rFonts w:hint="eastAsia"/>
        </w:rPr>
        <w:t>7.1.1 主要存在问题</w:t>
      </w:r>
      <w:bookmarkEnd w:id="2520"/>
      <w:bookmarkEnd w:id="2521"/>
      <w:bookmarkEnd w:id="2522"/>
      <w:bookmarkEnd w:id="2523"/>
      <w:bookmarkEnd w:id="2524"/>
      <w:bookmarkEnd w:id="2525"/>
      <w:bookmarkEnd w:id="2526"/>
      <w:bookmarkEnd w:id="2527"/>
      <w:bookmarkEnd w:id="2528"/>
      <w:bookmarkEnd w:id="2529"/>
      <w:bookmarkEnd w:id="2530"/>
      <w:bookmarkEnd w:id="2531"/>
      <w:bookmarkEnd w:id="2532"/>
      <w:bookmarkEnd w:id="2533"/>
      <w:bookmarkEnd w:id="2534"/>
      <w:bookmarkEnd w:id="2535"/>
      <w:bookmarkEnd w:id="2536"/>
      <w:bookmarkEnd w:id="2537"/>
      <w:bookmarkEnd w:id="2538"/>
      <w:bookmarkEnd w:id="2539"/>
      <w:bookmarkEnd w:id="2540"/>
      <w:bookmarkEnd w:id="2541"/>
      <w:bookmarkEnd w:id="2542"/>
      <w:bookmarkEnd w:id="2543"/>
      <w:bookmarkEnd w:id="2544"/>
      <w:bookmarkEnd w:id="2545"/>
    </w:p>
    <w:p>
      <w:pPr>
        <w:ind w:firstLine="560"/>
      </w:pPr>
      <w:r>
        <w:rPr>
          <w:rFonts w:hint="eastAsia"/>
        </w:rPr>
        <w:t>经评价组3月12日现场检查及分单元分析评价，梳理出该项目还存在以下主要问题：</w:t>
      </w:r>
    </w:p>
    <w:p>
      <w:pPr>
        <w:pStyle w:val="16"/>
        <w:adjustRightInd/>
        <w:snapToGrid/>
        <w:ind w:firstLine="560"/>
        <w:rPr>
          <w:rFonts w:hAnsi="宋体" w:cs="宋体"/>
          <w:szCs w:val="28"/>
        </w:rPr>
      </w:pPr>
      <w:bookmarkStart w:id="2546" w:name="_Toc26689"/>
      <w:bookmarkStart w:id="2547" w:name="_Toc163"/>
      <w:bookmarkStart w:id="2548" w:name="_Toc27242"/>
      <w:bookmarkStart w:id="2549" w:name="_Toc6443"/>
      <w:bookmarkStart w:id="2550" w:name="_Toc14202"/>
      <w:bookmarkStart w:id="2551" w:name="_Toc20028"/>
      <w:bookmarkStart w:id="2552" w:name="_Toc6657"/>
      <w:bookmarkStart w:id="2553" w:name="_Toc6548"/>
      <w:bookmarkStart w:id="2554" w:name="_Toc128056470"/>
      <w:bookmarkStart w:id="2555" w:name="_Toc32695"/>
      <w:r>
        <w:rPr>
          <w:rFonts w:hint="eastAsia" w:hAnsi="宋体" w:cs="宋体"/>
          <w:szCs w:val="28"/>
        </w:rPr>
        <w:t xml:space="preserve">（1）有毒气体浓度检测仪过期未校；     </w:t>
      </w:r>
    </w:p>
    <w:p>
      <w:pPr>
        <w:pStyle w:val="16"/>
        <w:adjustRightInd/>
        <w:snapToGrid/>
        <w:ind w:firstLine="560"/>
        <w:rPr>
          <w:rFonts w:hAnsi="宋体" w:cs="宋体"/>
          <w:szCs w:val="28"/>
        </w:rPr>
      </w:pPr>
      <w:r>
        <w:rPr>
          <w:rFonts w:hint="eastAsia" w:hAnsi="宋体" w:cs="宋体"/>
          <w:szCs w:val="28"/>
        </w:rPr>
        <w:t>（2）双氧水溶液出口泵安装不符合规范要求：</w:t>
      </w:r>
    </w:p>
    <w:p>
      <w:pPr>
        <w:pStyle w:val="16"/>
        <w:adjustRightInd/>
        <w:snapToGrid/>
        <w:ind w:firstLine="560"/>
        <w:rPr>
          <w:rFonts w:hAnsi="宋体" w:cs="宋体"/>
          <w:szCs w:val="28"/>
        </w:rPr>
      </w:pPr>
      <w:r>
        <w:rPr>
          <w:rFonts w:hint="eastAsia" w:hAnsi="宋体" w:cs="宋体"/>
          <w:szCs w:val="28"/>
        </w:rPr>
        <w:t>（3）现场部份安全警示标志牌腐蚀；</w:t>
      </w:r>
    </w:p>
    <w:p>
      <w:pPr>
        <w:pStyle w:val="16"/>
        <w:adjustRightInd/>
        <w:snapToGrid/>
        <w:ind w:firstLine="560"/>
        <w:rPr>
          <w:rFonts w:hAnsi="宋体" w:cs="宋体"/>
          <w:szCs w:val="28"/>
        </w:rPr>
      </w:pPr>
      <w:r>
        <w:rPr>
          <w:rFonts w:hint="eastAsia" w:hAnsi="宋体" w:cs="宋体"/>
          <w:szCs w:val="28"/>
        </w:rPr>
        <w:t>（4）双氧水房内灭火器设置在围堰内，不方便取用；</w:t>
      </w:r>
    </w:p>
    <w:p>
      <w:pPr>
        <w:pStyle w:val="16"/>
        <w:adjustRightInd/>
        <w:snapToGrid/>
        <w:ind w:firstLine="560"/>
        <w:jc w:val="left"/>
        <w:rPr>
          <w:rFonts w:hAnsi="宋体" w:cs="宋体"/>
          <w:szCs w:val="28"/>
        </w:rPr>
      </w:pPr>
      <w:r>
        <w:rPr>
          <w:rFonts w:hint="eastAsia" w:hAnsi="宋体" w:cs="宋体"/>
          <w:szCs w:val="28"/>
        </w:rPr>
        <w:t>（5）有毒气体检测报警位置示意图未及时更新，且模糊不方便查看；</w:t>
      </w:r>
    </w:p>
    <w:p>
      <w:pPr>
        <w:pStyle w:val="16"/>
        <w:adjustRightInd/>
        <w:snapToGrid/>
        <w:ind w:firstLine="560"/>
        <w:rPr>
          <w:rFonts w:hAnsi="宋体" w:cs="宋体"/>
          <w:szCs w:val="28"/>
        </w:rPr>
      </w:pPr>
      <w:r>
        <w:rPr>
          <w:rFonts w:hint="eastAsia" w:hAnsi="宋体" w:cs="宋体"/>
          <w:szCs w:val="28"/>
        </w:rPr>
        <w:t>（6）企业部分楼梯未设置扶手。</w:t>
      </w:r>
    </w:p>
    <w:p>
      <w:pPr>
        <w:pStyle w:val="4"/>
        <w:ind w:firstLine="562"/>
      </w:pPr>
      <w:bookmarkStart w:id="2556" w:name="_Toc13335"/>
      <w:bookmarkStart w:id="2557" w:name="_Toc25480"/>
      <w:bookmarkStart w:id="2558" w:name="_Toc5799"/>
      <w:bookmarkStart w:id="2559" w:name="_Toc18274"/>
      <w:bookmarkStart w:id="2560" w:name="_Toc31551"/>
      <w:bookmarkStart w:id="2561" w:name="_Toc8776"/>
      <w:bookmarkStart w:id="2562" w:name="_Toc30215"/>
      <w:bookmarkStart w:id="2563" w:name="_Toc4669"/>
      <w:bookmarkStart w:id="2564" w:name="_Toc20530"/>
      <w:bookmarkStart w:id="2565" w:name="_Toc15136"/>
      <w:bookmarkStart w:id="2566" w:name="_Toc13879"/>
      <w:bookmarkStart w:id="2567" w:name="_Toc2403"/>
      <w:bookmarkStart w:id="2568" w:name="_Toc22114"/>
      <w:bookmarkStart w:id="2569" w:name="_Toc12387"/>
      <w:bookmarkStart w:id="2570" w:name="_Toc31585"/>
      <w:bookmarkStart w:id="2571" w:name="_Toc21030"/>
      <w:r>
        <w:rPr>
          <w:rFonts w:hint="eastAsia"/>
        </w:rPr>
        <w:t>7.1.2 整改建议及整改情况说明</w:t>
      </w:r>
      <w:bookmarkEnd w:id="2546"/>
      <w:bookmarkEnd w:id="2547"/>
      <w:bookmarkEnd w:id="2548"/>
      <w:bookmarkEnd w:id="2549"/>
      <w:bookmarkEnd w:id="2550"/>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bookmarkEnd w:id="2571"/>
    </w:p>
    <w:p>
      <w:pPr>
        <w:topLinePunct/>
        <w:ind w:firstLine="560"/>
        <w:rPr>
          <w:rFonts w:ascii="宋体" w:hAnsi="宋体"/>
          <w:color w:val="000000" w:themeColor="text1"/>
        </w:rPr>
      </w:pPr>
      <w:r>
        <w:rPr>
          <w:rFonts w:hint="eastAsia" w:ascii="宋体" w:hAnsi="宋体"/>
          <w:color w:val="000000" w:themeColor="text1"/>
        </w:rPr>
        <w:t>跃进化工针对现场存在的安全隐患，积极组织了相关人员进行整改，于3月30日完成整改。具体整改情况如下：</w:t>
      </w:r>
    </w:p>
    <w:p>
      <w:pPr>
        <w:topLinePunct/>
        <w:ind w:firstLine="560"/>
        <w:rPr>
          <w:rFonts w:ascii="宋体" w:hAnsi="宋体"/>
          <w:color w:val="000000" w:themeColor="text1"/>
        </w:rPr>
      </w:pPr>
      <w:r>
        <w:rPr>
          <w:rFonts w:hint="eastAsia" w:ascii="宋体" w:hAnsi="宋体"/>
          <w:color w:val="000000" w:themeColor="text1"/>
        </w:rPr>
        <w:t>（1）现场整改情况</w:t>
      </w:r>
    </w:p>
    <w:p>
      <w:pPr>
        <w:pStyle w:val="92"/>
        <w:rPr>
          <w:sz w:val="24"/>
          <w:szCs w:val="24"/>
        </w:rPr>
      </w:pPr>
      <w:r>
        <w:rPr>
          <w:rFonts w:hint="eastAsia"/>
          <w:sz w:val="24"/>
          <w:szCs w:val="24"/>
        </w:rPr>
        <w:t>表7.1-1 现场安全隐患整改情况一览表</w:t>
      </w:r>
    </w:p>
    <w:tbl>
      <w:tblPr>
        <w:tblStyle w:val="38"/>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2832"/>
        <w:gridCol w:w="1134"/>
        <w:gridCol w:w="2268"/>
        <w:gridCol w:w="1077"/>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blHeader/>
          <w:jc w:val="center"/>
        </w:trPr>
        <w:tc>
          <w:tcPr>
            <w:tcW w:w="680"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序号</w:t>
            </w:r>
          </w:p>
        </w:tc>
        <w:tc>
          <w:tcPr>
            <w:tcW w:w="2832"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现场存在的安全隐患</w:t>
            </w:r>
          </w:p>
        </w:tc>
        <w:tc>
          <w:tcPr>
            <w:tcW w:w="1134"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隐患等级</w:t>
            </w:r>
          </w:p>
        </w:tc>
        <w:tc>
          <w:tcPr>
            <w:tcW w:w="2268"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整 改 措 施</w:t>
            </w:r>
          </w:p>
        </w:tc>
        <w:tc>
          <w:tcPr>
            <w:tcW w:w="1077"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整改情况</w:t>
            </w:r>
          </w:p>
        </w:tc>
        <w:tc>
          <w:tcPr>
            <w:tcW w:w="1077" w:type="dxa"/>
            <w:vAlign w:val="center"/>
          </w:tcPr>
          <w:p>
            <w:pPr>
              <w:spacing w:line="240" w:lineRule="auto"/>
              <w:ind w:firstLine="0" w:firstLineChars="0"/>
              <w:jc w:val="center"/>
              <w:rPr>
                <w:rFonts w:ascii="宋体" w:hAnsi="宋体" w:cs="宋体"/>
                <w:b/>
                <w:color w:val="000000" w:themeColor="text1"/>
                <w:sz w:val="21"/>
                <w:szCs w:val="21"/>
              </w:rPr>
            </w:pPr>
            <w:r>
              <w:rPr>
                <w:rFonts w:hint="eastAsia" w:ascii="宋体" w:hAnsi="宋体" w:cs="宋体"/>
                <w:b/>
                <w:color w:val="000000" w:themeColor="text1"/>
                <w:sz w:val="21"/>
                <w:szCs w:val="21"/>
              </w:rPr>
              <w:t>整改结论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80"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1</w:t>
            </w:r>
          </w:p>
        </w:tc>
        <w:tc>
          <w:tcPr>
            <w:tcW w:w="2832" w:type="dxa"/>
            <w:vAlign w:val="center"/>
          </w:tcPr>
          <w:p>
            <w:pPr>
              <w:pStyle w:val="16"/>
              <w:adjustRightInd/>
              <w:snapToGrid/>
              <w:spacing w:line="240" w:lineRule="auto"/>
              <w:ind w:firstLine="0" w:firstLineChars="0"/>
              <w:jc w:val="center"/>
              <w:rPr>
                <w:rFonts w:hAnsi="宋体" w:cs="宋体"/>
                <w:color w:val="000000" w:themeColor="text1"/>
                <w:sz w:val="21"/>
              </w:rPr>
            </w:pPr>
            <w:r>
              <w:rPr>
                <w:rFonts w:hint="eastAsia" w:hAnsi="宋体" w:cs="宋体"/>
                <w:sz w:val="21"/>
              </w:rPr>
              <w:t>有毒气体浓度检测仪过期未校</w:t>
            </w:r>
          </w:p>
        </w:tc>
        <w:tc>
          <w:tcPr>
            <w:tcW w:w="1134"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一般隐患</w:t>
            </w:r>
          </w:p>
        </w:tc>
        <w:tc>
          <w:tcPr>
            <w:tcW w:w="2268" w:type="dxa"/>
            <w:vAlign w:val="center"/>
          </w:tcPr>
          <w:p>
            <w:pPr>
              <w:pStyle w:val="16"/>
              <w:adjustRightInd/>
              <w:snapToGrid/>
              <w:spacing w:line="240" w:lineRule="auto"/>
              <w:ind w:firstLine="0" w:firstLineChars="0"/>
              <w:jc w:val="center"/>
              <w:rPr>
                <w:rFonts w:hAnsi="宋体" w:cs="宋体"/>
                <w:color w:val="000000" w:themeColor="text1"/>
                <w:sz w:val="21"/>
              </w:rPr>
            </w:pPr>
            <w:r>
              <w:rPr>
                <w:rFonts w:hint="eastAsia" w:hAnsi="宋体" w:cs="宋体"/>
                <w:sz w:val="21"/>
              </w:rPr>
              <w:t>校验有毒气体浓度检测仪</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已整改</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80"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2</w:t>
            </w:r>
          </w:p>
        </w:tc>
        <w:tc>
          <w:tcPr>
            <w:tcW w:w="2832"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双氧水溶液出口泵安装不符合规范要求</w:t>
            </w:r>
          </w:p>
        </w:tc>
        <w:tc>
          <w:tcPr>
            <w:tcW w:w="1134"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一般隐患</w:t>
            </w:r>
          </w:p>
        </w:tc>
        <w:tc>
          <w:tcPr>
            <w:tcW w:w="2268" w:type="dxa"/>
            <w:vAlign w:val="center"/>
          </w:tcPr>
          <w:p>
            <w:pPr>
              <w:spacing w:line="240" w:lineRule="auto"/>
              <w:ind w:firstLine="0" w:firstLineChars="0"/>
              <w:jc w:val="center"/>
              <w:rPr>
                <w:rFonts w:ascii="宋体" w:hAnsi="宋体" w:cs="宋体"/>
                <w:color w:val="000000" w:themeColor="text1"/>
                <w:sz w:val="21"/>
                <w:szCs w:val="21"/>
              </w:rPr>
            </w:pPr>
            <w:r>
              <w:rPr>
                <w:rFonts w:hint="eastAsia" w:hAnsi="宋体" w:cs="宋体"/>
                <w:sz w:val="21"/>
                <w:szCs w:val="21"/>
              </w:rPr>
              <w:t>双氧水</w:t>
            </w:r>
            <w:r>
              <w:rPr>
                <w:rFonts w:hint="eastAsia" w:ascii="宋体" w:hAnsi="宋体" w:cs="宋体"/>
                <w:sz w:val="21"/>
                <w:szCs w:val="21"/>
              </w:rPr>
              <w:t>溶液出口泵按规范要求安装</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已整改</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80"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3</w:t>
            </w:r>
          </w:p>
        </w:tc>
        <w:tc>
          <w:tcPr>
            <w:tcW w:w="2832" w:type="dxa"/>
            <w:vAlign w:val="center"/>
          </w:tcPr>
          <w:p>
            <w:pPr>
              <w:pStyle w:val="16"/>
              <w:adjustRightInd/>
              <w:snapToGrid/>
              <w:spacing w:line="240" w:lineRule="auto"/>
              <w:ind w:firstLine="0" w:firstLineChars="0"/>
              <w:jc w:val="center"/>
              <w:rPr>
                <w:rFonts w:hAnsi="宋体" w:cs="宋体"/>
                <w:color w:val="000000" w:themeColor="text1"/>
                <w:sz w:val="21"/>
              </w:rPr>
            </w:pPr>
            <w:r>
              <w:rPr>
                <w:rFonts w:hint="eastAsia" w:hAnsi="宋体" w:cs="宋体"/>
                <w:sz w:val="21"/>
              </w:rPr>
              <w:t>现场部份安全警示标志牌腐蚀</w:t>
            </w:r>
          </w:p>
        </w:tc>
        <w:tc>
          <w:tcPr>
            <w:tcW w:w="1134"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一般隐患</w:t>
            </w:r>
          </w:p>
        </w:tc>
        <w:tc>
          <w:tcPr>
            <w:tcW w:w="2268" w:type="dxa"/>
            <w:vAlign w:val="center"/>
          </w:tcPr>
          <w:p>
            <w:pPr>
              <w:pStyle w:val="16"/>
              <w:adjustRightInd/>
              <w:snapToGrid/>
              <w:spacing w:line="240" w:lineRule="auto"/>
              <w:ind w:firstLine="0" w:firstLineChars="0"/>
              <w:jc w:val="center"/>
              <w:rPr>
                <w:rFonts w:hAnsi="宋体" w:cs="宋体"/>
                <w:color w:val="000000" w:themeColor="text1"/>
                <w:sz w:val="21"/>
              </w:rPr>
            </w:pPr>
            <w:r>
              <w:rPr>
                <w:rFonts w:hint="eastAsia" w:hAnsi="宋体" w:cs="宋体"/>
                <w:sz w:val="21"/>
              </w:rPr>
              <w:t>更换腐蚀的部份安全警示标志牌</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已整改</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80"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4</w:t>
            </w:r>
          </w:p>
        </w:tc>
        <w:tc>
          <w:tcPr>
            <w:tcW w:w="2832" w:type="dxa"/>
            <w:vAlign w:val="center"/>
          </w:tcPr>
          <w:p>
            <w:pPr>
              <w:keepNext/>
              <w:keepLines/>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双氧水房内灭火器设置在围堰内，不方便取用</w:t>
            </w:r>
          </w:p>
        </w:tc>
        <w:tc>
          <w:tcPr>
            <w:tcW w:w="1134"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一般隐患</w:t>
            </w:r>
          </w:p>
        </w:tc>
        <w:tc>
          <w:tcPr>
            <w:tcW w:w="2268" w:type="dxa"/>
            <w:vAlign w:val="center"/>
          </w:tcPr>
          <w:p>
            <w:pPr>
              <w:keepNext/>
              <w:keepLines/>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灭火器设置在围堰外，方便取用</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已整改</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80"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5</w:t>
            </w:r>
          </w:p>
        </w:tc>
        <w:tc>
          <w:tcPr>
            <w:tcW w:w="2832" w:type="dxa"/>
            <w:vAlign w:val="center"/>
          </w:tcPr>
          <w:p>
            <w:pPr>
              <w:keepNext/>
              <w:keepLines/>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有毒气体检测报警位置示意图未及时更新，且模糊不方便查看</w:t>
            </w:r>
          </w:p>
        </w:tc>
        <w:tc>
          <w:tcPr>
            <w:tcW w:w="1134"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一般隐患</w:t>
            </w:r>
          </w:p>
        </w:tc>
        <w:tc>
          <w:tcPr>
            <w:tcW w:w="2268" w:type="dxa"/>
            <w:vAlign w:val="center"/>
          </w:tcPr>
          <w:p>
            <w:pPr>
              <w:keepNext/>
              <w:keepLines/>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及时更新有毒气体检测报警位置示意图</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已整改</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80"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6</w:t>
            </w:r>
          </w:p>
        </w:tc>
        <w:tc>
          <w:tcPr>
            <w:tcW w:w="2832" w:type="dxa"/>
            <w:vAlign w:val="center"/>
          </w:tcPr>
          <w:p>
            <w:pPr>
              <w:keepNext/>
              <w:keepLines/>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企业部分楼梯未设置扶手</w:t>
            </w:r>
          </w:p>
        </w:tc>
        <w:tc>
          <w:tcPr>
            <w:tcW w:w="1134"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一般隐患</w:t>
            </w:r>
          </w:p>
        </w:tc>
        <w:tc>
          <w:tcPr>
            <w:tcW w:w="2268" w:type="dxa"/>
            <w:vAlign w:val="center"/>
          </w:tcPr>
          <w:p>
            <w:pPr>
              <w:keepNext/>
              <w:keepLines/>
              <w:spacing w:line="240" w:lineRule="auto"/>
              <w:ind w:firstLine="0" w:firstLineChars="0"/>
              <w:jc w:val="center"/>
              <w:rPr>
                <w:rFonts w:ascii="宋体" w:hAnsi="宋体" w:cs="宋体"/>
                <w:color w:val="000000" w:themeColor="text1"/>
                <w:sz w:val="21"/>
                <w:szCs w:val="21"/>
              </w:rPr>
            </w:pPr>
            <w:r>
              <w:rPr>
                <w:rFonts w:hint="eastAsia" w:ascii="宋体" w:hAnsi="宋体" w:cs="宋体"/>
                <w:sz w:val="21"/>
                <w:szCs w:val="21"/>
              </w:rPr>
              <w:t>部分楼梯设置扶手</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已整改</w:t>
            </w:r>
          </w:p>
        </w:tc>
        <w:tc>
          <w:tcPr>
            <w:tcW w:w="1077" w:type="dxa"/>
            <w:vAlign w:val="center"/>
          </w:tcPr>
          <w:p>
            <w:pPr>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符合要求</w:t>
            </w:r>
          </w:p>
        </w:tc>
      </w:tr>
    </w:tbl>
    <w:p>
      <w:pPr>
        <w:ind w:firstLine="560"/>
        <w:rPr>
          <w:color w:val="000000" w:themeColor="text1"/>
        </w:rPr>
      </w:pPr>
    </w:p>
    <w:p>
      <w:pPr>
        <w:ind w:firstLine="560"/>
      </w:pPr>
      <w:r>
        <w:rPr>
          <w:rFonts w:hint="eastAsia"/>
          <w:color w:val="000000" w:themeColor="text1"/>
        </w:rPr>
        <w:t>（2）隐患整改照片</w:t>
      </w:r>
    </w:p>
    <w:p>
      <w:pPr>
        <w:pStyle w:val="92"/>
        <w:rPr>
          <w:sz w:val="24"/>
          <w:szCs w:val="24"/>
        </w:rPr>
      </w:pPr>
      <w:r>
        <w:rPr>
          <w:rFonts w:hint="eastAsia"/>
          <w:sz w:val="24"/>
          <w:szCs w:val="24"/>
        </w:rPr>
        <w:t>表7.1-2 安全隐患整改前后对比照片</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4451"/>
        <w:gridCol w:w="4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shd w:val="clear" w:color="auto" w:fill="auto"/>
            <w:vAlign w:val="center"/>
          </w:tcPr>
          <w:p>
            <w:pPr>
              <w:pStyle w:val="61"/>
              <w:topLinePunct/>
              <w:spacing w:line="240" w:lineRule="auto"/>
              <w:ind w:firstLine="0" w:firstLineChars="0"/>
              <w:jc w:val="center"/>
              <w:rPr>
                <w:rFonts w:ascii="宋体" w:hAnsi="宋体" w:eastAsia="宋体" w:cs="宋体"/>
                <w:b/>
                <w:color w:val="000000" w:themeColor="text1"/>
                <w:sz w:val="21"/>
                <w:szCs w:val="21"/>
              </w:rPr>
            </w:pPr>
            <w:r>
              <w:rPr>
                <w:rFonts w:hint="eastAsia" w:ascii="宋体" w:hAnsi="宋体" w:eastAsia="宋体" w:cs="宋体"/>
                <w:b/>
                <w:color w:val="000000" w:themeColor="text1"/>
                <w:sz w:val="21"/>
                <w:szCs w:val="21"/>
              </w:rPr>
              <w:t>序号</w:t>
            </w:r>
          </w:p>
        </w:tc>
        <w:tc>
          <w:tcPr>
            <w:tcW w:w="2396" w:type="pct"/>
            <w:shd w:val="clear" w:color="auto" w:fill="auto"/>
            <w:vAlign w:val="center"/>
          </w:tcPr>
          <w:p>
            <w:pPr>
              <w:pStyle w:val="61"/>
              <w:topLinePunct/>
              <w:spacing w:line="240" w:lineRule="auto"/>
              <w:ind w:firstLine="0" w:firstLineChars="0"/>
              <w:jc w:val="center"/>
              <w:rPr>
                <w:rFonts w:ascii="宋体" w:hAnsi="宋体" w:eastAsia="宋体" w:cs="宋体"/>
                <w:b/>
                <w:color w:val="000000" w:themeColor="text1"/>
                <w:sz w:val="21"/>
                <w:szCs w:val="21"/>
              </w:rPr>
            </w:pPr>
            <w:r>
              <w:rPr>
                <w:rFonts w:hint="eastAsia" w:ascii="宋体" w:hAnsi="宋体" w:eastAsia="宋体" w:cs="宋体"/>
                <w:b/>
                <w:color w:val="000000" w:themeColor="text1"/>
                <w:sz w:val="21"/>
                <w:szCs w:val="21"/>
              </w:rPr>
              <w:t>整  改  前  的  照  片</w:t>
            </w:r>
          </w:p>
        </w:tc>
        <w:tc>
          <w:tcPr>
            <w:tcW w:w="2381" w:type="pct"/>
            <w:shd w:val="clear" w:color="auto" w:fill="auto"/>
            <w:vAlign w:val="center"/>
          </w:tcPr>
          <w:p>
            <w:pPr>
              <w:pStyle w:val="61"/>
              <w:topLinePunct/>
              <w:spacing w:line="240" w:lineRule="auto"/>
              <w:ind w:firstLine="0" w:firstLineChars="0"/>
              <w:jc w:val="center"/>
              <w:rPr>
                <w:rFonts w:ascii="宋体" w:hAnsi="宋体" w:eastAsia="宋体" w:cs="宋体"/>
                <w:b/>
                <w:color w:val="000000" w:themeColor="text1"/>
                <w:sz w:val="21"/>
                <w:szCs w:val="21"/>
              </w:rPr>
            </w:pPr>
            <w:r>
              <w:rPr>
                <w:rFonts w:hint="eastAsia" w:ascii="宋体" w:hAnsi="宋体" w:eastAsia="宋体" w:cs="宋体"/>
                <w:b/>
                <w:color w:val="000000" w:themeColor="text1"/>
                <w:sz w:val="21"/>
                <w:szCs w:val="21"/>
              </w:rPr>
              <w:t>整  改  后  的  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21" w:type="pct"/>
            <w:vMerge w:val="restart"/>
            <w:shd w:val="clear" w:color="auto" w:fill="auto"/>
            <w:vAlign w:val="center"/>
          </w:tcPr>
          <w:p>
            <w:pPr>
              <w:pStyle w:val="61"/>
              <w:topLinePunct/>
              <w:spacing w:line="240" w:lineRule="auto"/>
              <w:ind w:firstLine="0" w:firstLineChars="0"/>
              <w:jc w:val="center"/>
              <w:rPr>
                <w:rFonts w:ascii="宋体" w:hAnsi="宋体" w:eastAsia="宋体" w:cs="宋体"/>
                <w:b/>
                <w:color w:val="000000" w:themeColor="text1"/>
                <w:sz w:val="21"/>
                <w:szCs w:val="21"/>
              </w:rPr>
            </w:pPr>
            <w:r>
              <w:rPr>
                <w:rFonts w:hint="eastAsia" w:ascii="宋体" w:hAnsi="宋体" w:eastAsia="宋体" w:cs="宋体"/>
                <w:color w:val="000000" w:themeColor="text1"/>
                <w:sz w:val="21"/>
                <w:szCs w:val="21"/>
              </w:rPr>
              <w:t>1</w:t>
            </w:r>
          </w:p>
        </w:tc>
        <w:tc>
          <w:tcPr>
            <w:tcW w:w="4778" w:type="pct"/>
            <w:gridSpan w:val="2"/>
            <w:shd w:val="clear" w:color="auto" w:fill="auto"/>
            <w:vAlign w:val="center"/>
          </w:tcPr>
          <w:p>
            <w:pPr>
              <w:pStyle w:val="16"/>
              <w:adjustRightInd/>
              <w:snapToGrid/>
              <w:ind w:firstLine="0" w:firstLineChars="0"/>
              <w:rPr>
                <w:rFonts w:hAnsi="宋体" w:cs="宋体"/>
                <w:color w:val="000000" w:themeColor="text1"/>
                <w:sz w:val="21"/>
              </w:rPr>
            </w:pPr>
            <w:r>
              <w:rPr>
                <w:rFonts w:hint="eastAsia" w:hAnsi="宋体" w:cs="宋体"/>
                <w:sz w:val="21"/>
              </w:rPr>
              <w:t xml:space="preserve">有毒气体浓度检测仪过期未校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70"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szCs w:val="28"/>
              </w:rPr>
              <w:drawing>
                <wp:inline distT="0" distB="0" distL="114300" distR="114300">
                  <wp:extent cx="2458085" cy="2279015"/>
                  <wp:effectExtent l="0" t="0" r="18415" b="6985"/>
                  <wp:docPr id="90" name="图片 90" descr="8a4a93abb12faae168b5b1219497a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8a4a93abb12faae168b5b1219497a68"/>
                          <pic:cNvPicPr>
                            <a:picLocks noChangeAspect="1"/>
                          </pic:cNvPicPr>
                        </pic:nvPicPr>
                        <pic:blipFill>
                          <a:blip r:embed="rId33" cstate="print"/>
                          <a:stretch>
                            <a:fillRect/>
                          </a:stretch>
                        </pic:blipFill>
                        <pic:spPr>
                          <a:xfrm>
                            <a:off x="0" y="0"/>
                            <a:ext cx="2458085" cy="2279015"/>
                          </a:xfrm>
                          <a:prstGeom prst="rect">
                            <a:avLst/>
                          </a:prstGeom>
                        </pic:spPr>
                      </pic:pic>
                    </a:graphicData>
                  </a:graphic>
                </wp:inline>
              </w:drawing>
            </w:r>
          </w:p>
        </w:tc>
        <w:tc>
          <w:tcPr>
            <w:tcW w:w="2381"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szCs w:val="28"/>
              </w:rPr>
              <w:drawing>
                <wp:inline distT="0" distB="0" distL="114300" distR="114300">
                  <wp:extent cx="2471420" cy="2133600"/>
                  <wp:effectExtent l="0" t="0" r="5080" b="0"/>
                  <wp:docPr id="91" name="图片 91" descr="0b4ea51cbf7410914fae4418a3371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0b4ea51cbf7410914fae4418a3371dd"/>
                          <pic:cNvPicPr>
                            <a:picLocks noChangeAspect="1"/>
                          </pic:cNvPicPr>
                        </pic:nvPicPr>
                        <pic:blipFill>
                          <a:blip r:embed="rId34" cstate="print"/>
                          <a:stretch>
                            <a:fillRect/>
                          </a:stretch>
                        </pic:blipFill>
                        <pic:spPr>
                          <a:xfrm>
                            <a:off x="0" y="0"/>
                            <a:ext cx="2471420" cy="21336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70"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szCs w:val="28"/>
              </w:rPr>
            </w:pPr>
            <w:r>
              <w:rPr>
                <w:rFonts w:hint="eastAsia" w:ascii="宋体" w:hAnsi="宋体" w:cs="宋体"/>
                <w:szCs w:val="28"/>
              </w:rPr>
              <w:drawing>
                <wp:inline distT="0" distB="0" distL="114300" distR="114300">
                  <wp:extent cx="2567305" cy="2655570"/>
                  <wp:effectExtent l="0" t="0" r="4445" b="11430"/>
                  <wp:docPr id="92" name="图片 92" descr="a785b8e60f958daa15d6403fad7d2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a785b8e60f958daa15d6403fad7d2f6"/>
                          <pic:cNvPicPr>
                            <a:picLocks noChangeAspect="1"/>
                          </pic:cNvPicPr>
                        </pic:nvPicPr>
                        <pic:blipFill>
                          <a:blip r:embed="rId35" cstate="print"/>
                          <a:stretch>
                            <a:fillRect/>
                          </a:stretch>
                        </pic:blipFill>
                        <pic:spPr>
                          <a:xfrm>
                            <a:off x="0" y="0"/>
                            <a:ext cx="2567305" cy="2655570"/>
                          </a:xfrm>
                          <a:prstGeom prst="rect">
                            <a:avLst/>
                          </a:prstGeom>
                        </pic:spPr>
                      </pic:pic>
                    </a:graphicData>
                  </a:graphic>
                </wp:inline>
              </w:drawing>
            </w:r>
          </w:p>
        </w:tc>
        <w:tc>
          <w:tcPr>
            <w:tcW w:w="2381" w:type="pct"/>
            <w:shd w:val="clear" w:color="auto" w:fill="auto"/>
            <w:vAlign w:val="center"/>
          </w:tcPr>
          <w:p>
            <w:pPr>
              <w:topLinePunct/>
              <w:spacing w:line="240" w:lineRule="auto"/>
              <w:ind w:firstLine="0" w:firstLineChars="0"/>
              <w:jc w:val="center"/>
              <w:rPr>
                <w:rFonts w:ascii="宋体" w:hAnsi="宋体" w:cs="宋体"/>
                <w:szCs w:val="28"/>
              </w:rPr>
            </w:pPr>
            <w:r>
              <w:rPr>
                <w:rFonts w:hint="eastAsia" w:ascii="宋体" w:hAnsi="宋体" w:cs="宋体"/>
                <w:szCs w:val="28"/>
              </w:rPr>
              <w:drawing>
                <wp:inline distT="0" distB="0" distL="114300" distR="114300">
                  <wp:extent cx="2720340" cy="2688590"/>
                  <wp:effectExtent l="0" t="0" r="3810" b="16510"/>
                  <wp:docPr id="93" name="图片 93" descr="72562026ec49d8e2847ed7ee71b1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72562026ec49d8e2847ed7ee71b1255"/>
                          <pic:cNvPicPr>
                            <a:picLocks noChangeAspect="1"/>
                          </pic:cNvPicPr>
                        </pic:nvPicPr>
                        <pic:blipFill>
                          <a:blip r:embed="rId36" cstate="print"/>
                          <a:stretch>
                            <a:fillRect/>
                          </a:stretch>
                        </pic:blipFill>
                        <pic:spPr>
                          <a:xfrm>
                            <a:off x="0" y="0"/>
                            <a:ext cx="2720340" cy="26885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0"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szCs w:val="28"/>
              </w:rPr>
            </w:pPr>
          </w:p>
        </w:tc>
        <w:tc>
          <w:tcPr>
            <w:tcW w:w="2381" w:type="pct"/>
            <w:shd w:val="clear" w:color="auto" w:fill="auto"/>
            <w:vAlign w:val="center"/>
          </w:tcPr>
          <w:p>
            <w:pPr>
              <w:topLinePunct/>
              <w:spacing w:line="240" w:lineRule="auto"/>
              <w:ind w:firstLine="0" w:firstLineChars="0"/>
              <w:jc w:val="center"/>
              <w:rPr>
                <w:rFonts w:ascii="宋体" w:hAnsi="宋体" w:cs="宋体"/>
                <w:szCs w:val="28"/>
              </w:rPr>
            </w:pPr>
            <w:r>
              <w:rPr>
                <w:rFonts w:hint="eastAsia" w:ascii="宋体" w:hAnsi="宋体" w:cs="宋体"/>
                <w:szCs w:val="28"/>
              </w:rPr>
              <w:drawing>
                <wp:inline distT="0" distB="0" distL="114300" distR="114300">
                  <wp:extent cx="2635885" cy="2262505"/>
                  <wp:effectExtent l="0" t="0" r="0" b="0"/>
                  <wp:docPr id="94" name="图片 94" descr="6551651f0a4b86e461c1f37f8327e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6551651f0a4b86e461c1f37f8327ee6"/>
                          <pic:cNvPicPr>
                            <a:picLocks noChangeAspect="1"/>
                          </pic:cNvPicPr>
                        </pic:nvPicPr>
                        <pic:blipFill>
                          <a:blip r:embed="rId37" cstate="print"/>
                          <a:srcRect t="6848" b="9592"/>
                          <a:stretch>
                            <a:fillRect/>
                          </a:stretch>
                        </pic:blipFill>
                        <pic:spPr>
                          <a:xfrm>
                            <a:off x="0" y="0"/>
                            <a:ext cx="2635885" cy="22625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vMerge w:val="restart"/>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2</w:t>
            </w:r>
          </w:p>
        </w:tc>
        <w:tc>
          <w:tcPr>
            <w:tcW w:w="4778" w:type="pct"/>
            <w:gridSpan w:val="2"/>
            <w:shd w:val="clear" w:color="auto" w:fill="auto"/>
            <w:vAlign w:val="center"/>
          </w:tcPr>
          <w:p>
            <w:pPr>
              <w:pStyle w:val="16"/>
              <w:adjustRightInd/>
              <w:snapToGrid/>
              <w:ind w:firstLine="0" w:firstLineChars="0"/>
              <w:rPr>
                <w:rFonts w:hAnsi="宋体" w:cs="宋体"/>
                <w:color w:val="000000" w:themeColor="text1"/>
                <w:sz w:val="21"/>
              </w:rPr>
            </w:pPr>
            <w:r>
              <w:rPr>
                <w:rFonts w:hint="eastAsia" w:hAnsi="宋体" w:cs="宋体"/>
                <w:sz w:val="21"/>
              </w:rPr>
              <w:t>双氧水溶液出口泵安装不符合规范要求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0"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szCs w:val="28"/>
              </w:rPr>
              <w:drawing>
                <wp:inline distT="0" distB="0" distL="114300" distR="114300">
                  <wp:extent cx="2122170" cy="2376170"/>
                  <wp:effectExtent l="0" t="0" r="11430" b="5080"/>
                  <wp:docPr id="95" name="图片 95" descr="443ada60075509e1b68a7906bcaee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443ada60075509e1b68a7906bcaeeb9"/>
                          <pic:cNvPicPr>
                            <a:picLocks noChangeAspect="1"/>
                          </pic:cNvPicPr>
                        </pic:nvPicPr>
                        <pic:blipFill>
                          <a:blip r:embed="rId38" cstate="print"/>
                          <a:stretch>
                            <a:fillRect/>
                          </a:stretch>
                        </pic:blipFill>
                        <pic:spPr>
                          <a:xfrm>
                            <a:off x="0" y="0"/>
                            <a:ext cx="2122170" cy="2376170"/>
                          </a:xfrm>
                          <a:prstGeom prst="rect">
                            <a:avLst/>
                          </a:prstGeom>
                        </pic:spPr>
                      </pic:pic>
                    </a:graphicData>
                  </a:graphic>
                </wp:inline>
              </w:drawing>
            </w:r>
          </w:p>
        </w:tc>
        <w:tc>
          <w:tcPr>
            <w:tcW w:w="2381"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szCs w:val="28"/>
              </w:rPr>
              <w:drawing>
                <wp:inline distT="0" distB="0" distL="114300" distR="114300">
                  <wp:extent cx="2099310" cy="2407285"/>
                  <wp:effectExtent l="0" t="0" r="15240" b="12065"/>
                  <wp:docPr id="105" name="图片 105" descr="a5e2d2f3daa046697487bb577a903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a5e2d2f3daa046697487bb577a9038a"/>
                          <pic:cNvPicPr>
                            <a:picLocks noChangeAspect="1"/>
                          </pic:cNvPicPr>
                        </pic:nvPicPr>
                        <pic:blipFill>
                          <a:blip r:embed="rId39" cstate="print"/>
                          <a:stretch>
                            <a:fillRect/>
                          </a:stretch>
                        </pic:blipFill>
                        <pic:spPr>
                          <a:xfrm>
                            <a:off x="0" y="0"/>
                            <a:ext cx="2099310" cy="24072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vMerge w:val="restart"/>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3</w:t>
            </w:r>
          </w:p>
        </w:tc>
        <w:tc>
          <w:tcPr>
            <w:tcW w:w="4778" w:type="pct"/>
            <w:gridSpan w:val="2"/>
            <w:shd w:val="clear" w:color="auto" w:fill="auto"/>
            <w:vAlign w:val="center"/>
          </w:tcPr>
          <w:p>
            <w:pPr>
              <w:pStyle w:val="16"/>
              <w:adjustRightInd/>
              <w:snapToGrid/>
              <w:ind w:firstLine="0" w:firstLineChars="0"/>
              <w:rPr>
                <w:rFonts w:hAnsi="宋体" w:cs="宋体"/>
                <w:color w:val="000000" w:themeColor="text1"/>
                <w:sz w:val="21"/>
              </w:rPr>
            </w:pPr>
            <w:r>
              <w:rPr>
                <w:rFonts w:hint="eastAsia" w:hAnsi="宋体" w:cs="宋体"/>
                <w:sz w:val="21"/>
              </w:rPr>
              <w:t>现场部份安全警示标志牌腐蚀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31"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szCs w:val="28"/>
              </w:rPr>
              <w:drawing>
                <wp:inline distT="0" distB="0" distL="114300" distR="114300">
                  <wp:extent cx="2200910" cy="2399665"/>
                  <wp:effectExtent l="0" t="0" r="8890" b="635"/>
                  <wp:docPr id="122" name="图片 122" descr="02e62c7bbbbfeb2791c35363ffdad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02e62c7bbbbfeb2791c35363ffdad0c"/>
                          <pic:cNvPicPr>
                            <a:picLocks noChangeAspect="1"/>
                          </pic:cNvPicPr>
                        </pic:nvPicPr>
                        <pic:blipFill>
                          <a:blip r:embed="rId40" cstate="print"/>
                          <a:stretch>
                            <a:fillRect/>
                          </a:stretch>
                        </pic:blipFill>
                        <pic:spPr>
                          <a:xfrm>
                            <a:off x="0" y="0"/>
                            <a:ext cx="2200910" cy="2399665"/>
                          </a:xfrm>
                          <a:prstGeom prst="rect">
                            <a:avLst/>
                          </a:prstGeom>
                        </pic:spPr>
                      </pic:pic>
                    </a:graphicData>
                  </a:graphic>
                </wp:inline>
              </w:drawing>
            </w:r>
          </w:p>
        </w:tc>
        <w:tc>
          <w:tcPr>
            <w:tcW w:w="2381"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szCs w:val="28"/>
              </w:rPr>
              <w:drawing>
                <wp:inline distT="0" distB="0" distL="114300" distR="114300">
                  <wp:extent cx="2673350" cy="2239010"/>
                  <wp:effectExtent l="0" t="0" r="12700" b="8890"/>
                  <wp:docPr id="123" name="图片 123" descr="9495f0713b577d5a9b3c944f78199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9495f0713b577d5a9b3c944f78199ac"/>
                          <pic:cNvPicPr>
                            <a:picLocks noChangeAspect="1"/>
                          </pic:cNvPicPr>
                        </pic:nvPicPr>
                        <pic:blipFill>
                          <a:blip r:embed="rId41" cstate="print"/>
                          <a:stretch>
                            <a:fillRect/>
                          </a:stretch>
                        </pic:blipFill>
                        <pic:spPr>
                          <a:xfrm>
                            <a:off x="0" y="0"/>
                            <a:ext cx="2673350" cy="22390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1"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szCs w:val="28"/>
              </w:rPr>
            </w:pPr>
            <w:r>
              <w:rPr>
                <w:rFonts w:hint="eastAsia" w:ascii="宋体" w:hAnsi="宋体" w:cs="宋体"/>
                <w:szCs w:val="28"/>
              </w:rPr>
              <w:drawing>
                <wp:inline distT="0" distB="0" distL="114300" distR="114300">
                  <wp:extent cx="2590165" cy="2489835"/>
                  <wp:effectExtent l="0" t="0" r="635" b="5715"/>
                  <wp:docPr id="124" name="图片 124" descr="16718fcfc6dc059ad0a387d34dcf8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16718fcfc6dc059ad0a387d34dcf8f1"/>
                          <pic:cNvPicPr>
                            <a:picLocks noChangeAspect="1"/>
                          </pic:cNvPicPr>
                        </pic:nvPicPr>
                        <pic:blipFill>
                          <a:blip r:embed="rId42" cstate="print"/>
                          <a:stretch>
                            <a:fillRect/>
                          </a:stretch>
                        </pic:blipFill>
                        <pic:spPr>
                          <a:xfrm>
                            <a:off x="0" y="0"/>
                            <a:ext cx="2590165" cy="2489835"/>
                          </a:xfrm>
                          <a:prstGeom prst="rect">
                            <a:avLst/>
                          </a:prstGeom>
                        </pic:spPr>
                      </pic:pic>
                    </a:graphicData>
                  </a:graphic>
                </wp:inline>
              </w:drawing>
            </w:r>
          </w:p>
        </w:tc>
        <w:tc>
          <w:tcPr>
            <w:tcW w:w="2381" w:type="pct"/>
            <w:shd w:val="clear" w:color="auto" w:fill="auto"/>
            <w:vAlign w:val="center"/>
          </w:tcPr>
          <w:p>
            <w:pPr>
              <w:topLinePunct/>
              <w:spacing w:line="240" w:lineRule="auto"/>
              <w:ind w:firstLine="0" w:firstLineChars="0"/>
              <w:jc w:val="center"/>
              <w:rPr>
                <w:rFonts w:ascii="宋体" w:hAnsi="宋体" w:cs="宋体"/>
                <w:szCs w:val="28"/>
              </w:rPr>
            </w:pPr>
            <w:r>
              <w:rPr>
                <w:rFonts w:hint="eastAsia" w:ascii="宋体" w:hAnsi="宋体" w:cs="宋体"/>
                <w:szCs w:val="28"/>
              </w:rPr>
              <w:drawing>
                <wp:inline distT="0" distB="0" distL="114300" distR="114300">
                  <wp:extent cx="2837815" cy="2803525"/>
                  <wp:effectExtent l="0" t="0" r="635" b="15875"/>
                  <wp:docPr id="125" name="图片 125" descr="171178911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1711789112069"/>
                          <pic:cNvPicPr>
                            <a:picLocks noChangeAspect="1"/>
                          </pic:cNvPicPr>
                        </pic:nvPicPr>
                        <pic:blipFill>
                          <a:blip r:embed="rId43" cstate="print"/>
                          <a:stretch>
                            <a:fillRect/>
                          </a:stretch>
                        </pic:blipFill>
                        <pic:spPr>
                          <a:xfrm>
                            <a:off x="0" y="0"/>
                            <a:ext cx="2837815" cy="28035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1"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szCs w:val="28"/>
              </w:rPr>
            </w:pPr>
            <w:r>
              <w:rPr>
                <w:rFonts w:hint="eastAsia" w:ascii="宋体" w:hAnsi="宋体" w:cs="宋体"/>
                <w:szCs w:val="28"/>
              </w:rPr>
              <w:drawing>
                <wp:inline distT="0" distB="0" distL="114300" distR="114300">
                  <wp:extent cx="2850515" cy="2743200"/>
                  <wp:effectExtent l="0" t="0" r="6985" b="0"/>
                  <wp:docPr id="126" name="图片 126" descr="a88c6fee2d2b9655c4045e1a4f776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a88c6fee2d2b9655c4045e1a4f776fa"/>
                          <pic:cNvPicPr>
                            <a:picLocks noChangeAspect="1"/>
                          </pic:cNvPicPr>
                        </pic:nvPicPr>
                        <pic:blipFill>
                          <a:blip r:embed="rId44" cstate="print"/>
                          <a:stretch>
                            <a:fillRect/>
                          </a:stretch>
                        </pic:blipFill>
                        <pic:spPr>
                          <a:xfrm>
                            <a:off x="0" y="0"/>
                            <a:ext cx="2850515" cy="2743200"/>
                          </a:xfrm>
                          <a:prstGeom prst="rect">
                            <a:avLst/>
                          </a:prstGeom>
                        </pic:spPr>
                      </pic:pic>
                    </a:graphicData>
                  </a:graphic>
                </wp:inline>
              </w:drawing>
            </w:r>
          </w:p>
        </w:tc>
        <w:tc>
          <w:tcPr>
            <w:tcW w:w="2381" w:type="pct"/>
            <w:shd w:val="clear" w:color="auto" w:fill="auto"/>
            <w:vAlign w:val="center"/>
          </w:tcPr>
          <w:p>
            <w:pPr>
              <w:topLinePunct/>
              <w:spacing w:line="240" w:lineRule="auto"/>
              <w:ind w:firstLine="0" w:firstLineChars="0"/>
              <w:jc w:val="center"/>
              <w:rPr>
                <w:rFonts w:ascii="宋体" w:hAnsi="宋体" w:cs="宋体"/>
                <w:szCs w:val="28"/>
              </w:rPr>
            </w:pPr>
            <w:r>
              <w:rPr>
                <w:rFonts w:hint="eastAsia" w:ascii="宋体" w:hAnsi="宋体" w:cs="宋体"/>
                <w:szCs w:val="28"/>
              </w:rPr>
              <w:drawing>
                <wp:inline distT="0" distB="0" distL="114300" distR="114300">
                  <wp:extent cx="2585085" cy="2745740"/>
                  <wp:effectExtent l="0" t="0" r="5715" b="16510"/>
                  <wp:docPr id="127" name="图片 127" descr="d31d9927431142c89690e7e29dd08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d31d9927431142c89690e7e29dd084f"/>
                          <pic:cNvPicPr>
                            <a:picLocks noChangeAspect="1"/>
                          </pic:cNvPicPr>
                        </pic:nvPicPr>
                        <pic:blipFill>
                          <a:blip r:embed="rId45" cstate="print"/>
                          <a:stretch>
                            <a:fillRect/>
                          </a:stretch>
                        </pic:blipFill>
                        <pic:spPr>
                          <a:xfrm>
                            <a:off x="0" y="0"/>
                            <a:ext cx="2585085" cy="27457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vMerge w:val="restart"/>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4</w:t>
            </w:r>
          </w:p>
        </w:tc>
        <w:tc>
          <w:tcPr>
            <w:tcW w:w="4778" w:type="pct"/>
            <w:gridSpan w:val="2"/>
            <w:shd w:val="clear" w:color="auto" w:fill="auto"/>
            <w:vAlign w:val="center"/>
          </w:tcPr>
          <w:p>
            <w:pPr>
              <w:pStyle w:val="16"/>
              <w:adjustRightInd/>
              <w:snapToGrid/>
              <w:ind w:firstLine="0" w:firstLineChars="0"/>
              <w:rPr>
                <w:rFonts w:hAnsi="宋体" w:cs="宋体"/>
                <w:color w:val="000000" w:themeColor="text1"/>
                <w:sz w:val="21"/>
              </w:rPr>
            </w:pPr>
            <w:r>
              <w:rPr>
                <w:rFonts w:hint="eastAsia" w:hAnsi="宋体" w:cs="宋体"/>
                <w:sz w:val="21"/>
              </w:rPr>
              <w:t>双氧水房内灭火器设置在围堰内，不方便取用；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31"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hAnsi="宋体" w:cs="宋体"/>
                <w:szCs w:val="28"/>
              </w:rPr>
              <w:drawing>
                <wp:inline distT="0" distB="0" distL="114300" distR="114300">
                  <wp:extent cx="2693035" cy="2246630"/>
                  <wp:effectExtent l="0" t="0" r="12065" b="1270"/>
                  <wp:docPr id="128" name="图片 128" descr="e231370b4537574014079f4858a7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e231370b4537574014079f4858a7647"/>
                          <pic:cNvPicPr>
                            <a:picLocks noChangeAspect="1"/>
                          </pic:cNvPicPr>
                        </pic:nvPicPr>
                        <pic:blipFill>
                          <a:blip r:embed="rId46" cstate="print"/>
                          <a:stretch>
                            <a:fillRect/>
                          </a:stretch>
                        </pic:blipFill>
                        <pic:spPr>
                          <a:xfrm>
                            <a:off x="0" y="0"/>
                            <a:ext cx="2693035" cy="2246630"/>
                          </a:xfrm>
                          <a:prstGeom prst="rect">
                            <a:avLst/>
                          </a:prstGeom>
                        </pic:spPr>
                      </pic:pic>
                    </a:graphicData>
                  </a:graphic>
                </wp:inline>
              </w:drawing>
            </w:r>
          </w:p>
        </w:tc>
        <w:tc>
          <w:tcPr>
            <w:tcW w:w="2381"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hAnsi="宋体" w:cs="宋体"/>
                <w:szCs w:val="28"/>
              </w:rPr>
              <w:drawing>
                <wp:inline distT="0" distB="0" distL="114300" distR="114300">
                  <wp:extent cx="2695575" cy="2239645"/>
                  <wp:effectExtent l="0" t="0" r="9525" b="8255"/>
                  <wp:docPr id="129" name="图片 129" descr="bab0d35f7c188691d11b80d077eab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bab0d35f7c188691d11b80d077eab0b"/>
                          <pic:cNvPicPr>
                            <a:picLocks noChangeAspect="1"/>
                          </pic:cNvPicPr>
                        </pic:nvPicPr>
                        <pic:blipFill>
                          <a:blip r:embed="rId47" cstate="print"/>
                          <a:stretch>
                            <a:fillRect/>
                          </a:stretch>
                        </pic:blipFill>
                        <pic:spPr>
                          <a:xfrm>
                            <a:off x="0" y="0"/>
                            <a:ext cx="2695575" cy="22396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1" w:type="pct"/>
            <w:vMerge w:val="restart"/>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5</w:t>
            </w:r>
          </w:p>
        </w:tc>
        <w:tc>
          <w:tcPr>
            <w:tcW w:w="4778" w:type="pct"/>
            <w:gridSpan w:val="2"/>
            <w:shd w:val="clear" w:color="auto" w:fill="auto"/>
            <w:vAlign w:val="center"/>
          </w:tcPr>
          <w:p>
            <w:pPr>
              <w:pStyle w:val="16"/>
              <w:adjustRightInd/>
              <w:snapToGrid/>
              <w:ind w:firstLine="0" w:firstLineChars="0"/>
              <w:jc w:val="left"/>
              <w:rPr>
                <w:rFonts w:hAnsi="宋体" w:cs="宋体"/>
                <w:color w:val="000000" w:themeColor="text1"/>
                <w:sz w:val="21"/>
              </w:rPr>
            </w:pPr>
            <w:r>
              <w:rPr>
                <w:rFonts w:hint="eastAsia" w:hAnsi="宋体" w:cs="宋体"/>
                <w:sz w:val="21"/>
              </w:rPr>
              <w:t>有毒气体检测报警位置示意图未及时更新，且模糊不方便查看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1"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Ansi="宋体" w:cs="宋体"/>
                <w:szCs w:val="28"/>
              </w:rPr>
              <w:drawing>
                <wp:inline distT="0" distB="0" distL="114300" distR="114300">
                  <wp:extent cx="2628900" cy="2131695"/>
                  <wp:effectExtent l="0" t="0" r="0" b="1905"/>
                  <wp:docPr id="130" name="图片 130" descr="6f97bbd6dd0ebfe6f0c2814fc8be7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6f97bbd6dd0ebfe6f0c2814fc8be7e2"/>
                          <pic:cNvPicPr>
                            <a:picLocks noChangeAspect="1"/>
                          </pic:cNvPicPr>
                        </pic:nvPicPr>
                        <pic:blipFill>
                          <a:blip r:embed="rId48" cstate="print"/>
                          <a:stretch>
                            <a:fillRect/>
                          </a:stretch>
                        </pic:blipFill>
                        <pic:spPr>
                          <a:xfrm>
                            <a:off x="0" y="0"/>
                            <a:ext cx="2628900" cy="2131695"/>
                          </a:xfrm>
                          <a:prstGeom prst="rect">
                            <a:avLst/>
                          </a:prstGeom>
                        </pic:spPr>
                      </pic:pic>
                    </a:graphicData>
                  </a:graphic>
                </wp:inline>
              </w:drawing>
            </w:r>
          </w:p>
        </w:tc>
        <w:tc>
          <w:tcPr>
            <w:tcW w:w="2381"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Ansi="宋体" w:cs="宋体"/>
                <w:szCs w:val="28"/>
              </w:rPr>
              <w:drawing>
                <wp:inline distT="0" distB="0" distL="114300" distR="114300">
                  <wp:extent cx="2469515" cy="2317115"/>
                  <wp:effectExtent l="0" t="0" r="6985" b="6985"/>
                  <wp:docPr id="131" name="图片 131" descr="9f0573aab48a3f4e61a4ccb73c2c7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9f0573aab48a3f4e61a4ccb73c2c7cc"/>
                          <pic:cNvPicPr>
                            <a:picLocks noChangeAspect="1"/>
                          </pic:cNvPicPr>
                        </pic:nvPicPr>
                        <pic:blipFill>
                          <a:blip r:embed="rId49" cstate="print"/>
                          <a:srcRect t="5137" b="8253"/>
                          <a:stretch>
                            <a:fillRect/>
                          </a:stretch>
                        </pic:blipFill>
                        <pic:spPr>
                          <a:xfrm>
                            <a:off x="0" y="0"/>
                            <a:ext cx="2469515" cy="231711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21" w:type="pct"/>
            <w:vMerge w:val="restart"/>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6</w:t>
            </w:r>
          </w:p>
        </w:tc>
        <w:tc>
          <w:tcPr>
            <w:tcW w:w="4778" w:type="pct"/>
            <w:gridSpan w:val="2"/>
            <w:shd w:val="clear" w:color="auto" w:fill="auto"/>
            <w:vAlign w:val="center"/>
          </w:tcPr>
          <w:p>
            <w:pPr>
              <w:topLinePunct/>
              <w:spacing w:line="240" w:lineRule="auto"/>
              <w:ind w:firstLine="0" w:firstLineChars="0"/>
              <w:rPr>
                <w:rFonts w:ascii="宋体" w:hAnsi="宋体" w:cs="宋体"/>
                <w:color w:val="000000" w:themeColor="text1"/>
                <w:sz w:val="21"/>
                <w:szCs w:val="21"/>
              </w:rPr>
            </w:pPr>
            <w:r>
              <w:rPr>
                <w:rFonts w:hint="eastAsia" w:ascii="宋体" w:hAnsi="宋体" w:cs="宋体"/>
                <w:sz w:val="21"/>
                <w:szCs w:val="21"/>
              </w:rPr>
              <w:t>企业部分楼梯未设置扶手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1"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szCs w:val="28"/>
              </w:rPr>
              <w:drawing>
                <wp:inline distT="0" distB="0" distL="114300" distR="114300">
                  <wp:extent cx="2838450" cy="2690495"/>
                  <wp:effectExtent l="0" t="0" r="0" b="14605"/>
                  <wp:docPr id="132" name="图片 132" descr="01d2914fa9a67e1da0dc2e3aab4e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01d2914fa9a67e1da0dc2e3aab4e240"/>
                          <pic:cNvPicPr>
                            <a:picLocks noChangeAspect="1"/>
                          </pic:cNvPicPr>
                        </pic:nvPicPr>
                        <pic:blipFill>
                          <a:blip r:embed="rId50" cstate="print"/>
                          <a:stretch>
                            <a:fillRect/>
                          </a:stretch>
                        </pic:blipFill>
                        <pic:spPr>
                          <a:xfrm>
                            <a:off x="0" y="0"/>
                            <a:ext cx="2838450" cy="2690495"/>
                          </a:xfrm>
                          <a:prstGeom prst="rect">
                            <a:avLst/>
                          </a:prstGeom>
                        </pic:spPr>
                      </pic:pic>
                    </a:graphicData>
                  </a:graphic>
                </wp:inline>
              </w:drawing>
            </w:r>
          </w:p>
        </w:tc>
        <w:tc>
          <w:tcPr>
            <w:tcW w:w="2381"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szCs w:val="28"/>
              </w:rPr>
              <w:drawing>
                <wp:inline distT="0" distB="0" distL="114300" distR="114300">
                  <wp:extent cx="2838450" cy="2488565"/>
                  <wp:effectExtent l="0" t="0" r="0" b="6985"/>
                  <wp:docPr id="133" name="图片 133" descr="0af11e639b2cb30aa9aa7e5c81315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0af11e639b2cb30aa9aa7e5c81315ea"/>
                          <pic:cNvPicPr>
                            <a:picLocks noChangeAspect="1"/>
                          </pic:cNvPicPr>
                        </pic:nvPicPr>
                        <pic:blipFill>
                          <a:blip r:embed="rId51" cstate="print"/>
                          <a:stretch>
                            <a:fillRect/>
                          </a:stretch>
                        </pic:blipFill>
                        <pic:spPr>
                          <a:xfrm>
                            <a:off x="0" y="0"/>
                            <a:ext cx="2838450" cy="24885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1" w:hRule="atLeast"/>
          <w:jc w:val="center"/>
        </w:trPr>
        <w:tc>
          <w:tcPr>
            <w:tcW w:w="221" w:type="pct"/>
            <w:vMerge w:val="continue"/>
            <w:shd w:val="clear" w:color="auto" w:fill="auto"/>
            <w:vAlign w:val="center"/>
          </w:tcPr>
          <w:p>
            <w:pPr>
              <w:pStyle w:val="61"/>
              <w:topLinePunct/>
              <w:spacing w:line="240" w:lineRule="auto"/>
              <w:ind w:firstLine="0" w:firstLineChars="0"/>
              <w:jc w:val="center"/>
              <w:rPr>
                <w:rFonts w:ascii="宋体" w:hAnsi="宋体" w:eastAsia="宋体" w:cs="宋体"/>
                <w:color w:val="000000" w:themeColor="text1"/>
                <w:sz w:val="21"/>
                <w:szCs w:val="21"/>
              </w:rPr>
            </w:pPr>
          </w:p>
        </w:tc>
        <w:tc>
          <w:tcPr>
            <w:tcW w:w="2396" w:type="pct"/>
            <w:shd w:val="clear" w:color="auto" w:fill="auto"/>
            <w:vAlign w:val="center"/>
          </w:tcPr>
          <w:p>
            <w:pPr>
              <w:topLinePunct/>
              <w:spacing w:line="240" w:lineRule="auto"/>
              <w:ind w:firstLine="0" w:firstLineChars="0"/>
              <w:jc w:val="center"/>
              <w:rPr>
                <w:rFonts w:ascii="宋体" w:hAnsi="宋体" w:cs="宋体"/>
                <w:szCs w:val="28"/>
              </w:rPr>
            </w:pPr>
            <w:r>
              <w:rPr>
                <w:rFonts w:hint="eastAsia" w:ascii="宋体" w:hAnsi="宋体" w:cs="宋体"/>
                <w:szCs w:val="28"/>
              </w:rPr>
              <w:drawing>
                <wp:inline distT="0" distB="0" distL="114300" distR="114300">
                  <wp:extent cx="2838450" cy="2702560"/>
                  <wp:effectExtent l="0" t="0" r="0" b="2540"/>
                  <wp:docPr id="134" name="图片 134" descr="f8840338693bd6bc810274785d5d3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f8840338693bd6bc810274785d5d3a8"/>
                          <pic:cNvPicPr>
                            <a:picLocks noChangeAspect="1"/>
                          </pic:cNvPicPr>
                        </pic:nvPicPr>
                        <pic:blipFill>
                          <a:blip r:embed="rId52" cstate="print"/>
                          <a:stretch>
                            <a:fillRect/>
                          </a:stretch>
                        </pic:blipFill>
                        <pic:spPr>
                          <a:xfrm>
                            <a:off x="0" y="0"/>
                            <a:ext cx="2838450" cy="2702560"/>
                          </a:xfrm>
                          <a:prstGeom prst="rect">
                            <a:avLst/>
                          </a:prstGeom>
                        </pic:spPr>
                      </pic:pic>
                    </a:graphicData>
                  </a:graphic>
                </wp:inline>
              </w:drawing>
            </w:r>
          </w:p>
        </w:tc>
        <w:tc>
          <w:tcPr>
            <w:tcW w:w="2381" w:type="pct"/>
            <w:shd w:val="clear" w:color="auto" w:fill="auto"/>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szCs w:val="28"/>
              </w:rPr>
              <w:drawing>
                <wp:inline distT="0" distB="0" distL="114300" distR="114300">
                  <wp:extent cx="2545080" cy="2529205"/>
                  <wp:effectExtent l="0" t="0" r="7620" b="4445"/>
                  <wp:docPr id="135" name="图片 135" descr="7f9f935973c158e6ff61a7a3e513a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7f9f935973c158e6ff61a7a3e513a79"/>
                          <pic:cNvPicPr>
                            <a:picLocks noChangeAspect="1"/>
                          </pic:cNvPicPr>
                        </pic:nvPicPr>
                        <pic:blipFill>
                          <a:blip r:embed="rId53" cstate="print"/>
                          <a:stretch>
                            <a:fillRect/>
                          </a:stretch>
                        </pic:blipFill>
                        <pic:spPr>
                          <a:xfrm>
                            <a:off x="0" y="0"/>
                            <a:ext cx="2545080" cy="2529205"/>
                          </a:xfrm>
                          <a:prstGeom prst="rect">
                            <a:avLst/>
                          </a:prstGeom>
                        </pic:spPr>
                      </pic:pic>
                    </a:graphicData>
                  </a:graphic>
                </wp:inline>
              </w:drawing>
            </w:r>
          </w:p>
        </w:tc>
      </w:tr>
    </w:tbl>
    <w:p>
      <w:pPr>
        <w:ind w:firstLine="560"/>
        <w:rPr>
          <w:color w:val="000000" w:themeColor="text1"/>
        </w:rPr>
      </w:pPr>
    </w:p>
    <w:p>
      <w:pPr>
        <w:ind w:firstLine="560"/>
        <w:rPr>
          <w:color w:val="000000" w:themeColor="text1"/>
        </w:rPr>
      </w:pPr>
      <w:r>
        <w:rPr>
          <w:rFonts w:hint="eastAsia"/>
          <w:color w:val="000000" w:themeColor="text1"/>
        </w:rPr>
        <w:t>（3）隐患整改结论</w:t>
      </w:r>
    </w:p>
    <w:p>
      <w:pPr>
        <w:ind w:firstLine="560"/>
        <w:rPr>
          <w:color w:val="000000" w:themeColor="text1"/>
        </w:rPr>
      </w:pPr>
      <w:r>
        <w:rPr>
          <w:rFonts w:hint="eastAsia"/>
          <w:color w:val="000000" w:themeColor="text1"/>
        </w:rPr>
        <w:t>跃进化工对现场存在的安全隐患实施了整改，整改后危险和有害因素的危害程度在可接受范围内，整改结果符合要求。</w:t>
      </w:r>
      <w:bookmarkStart w:id="2572" w:name="_Toc515540397"/>
      <w:bookmarkStart w:id="2573" w:name="_Toc520297563"/>
      <w:r>
        <w:rPr>
          <w:rFonts w:hint="eastAsia"/>
          <w:color w:val="000000" w:themeColor="text1"/>
        </w:rPr>
        <w:t>现状评价存在问题整改回复详见报告F6.46。</w:t>
      </w:r>
    </w:p>
    <w:p>
      <w:pPr>
        <w:pStyle w:val="3"/>
        <w:keepNext w:val="0"/>
        <w:keepLines w:val="0"/>
        <w:ind w:firstLine="562"/>
        <w:rPr>
          <w:rFonts w:ascii="黑体" w:hAnsi="黑体" w:eastAsia="黑体" w:cs="黑体"/>
          <w:color w:val="000000" w:themeColor="text1"/>
        </w:rPr>
      </w:pPr>
      <w:bookmarkStart w:id="2574" w:name="_Toc29972"/>
      <w:bookmarkStart w:id="2575" w:name="_Toc18572"/>
      <w:bookmarkStart w:id="2576" w:name="_Toc32449"/>
      <w:bookmarkStart w:id="2577" w:name="_Toc6759"/>
      <w:bookmarkStart w:id="2578" w:name="_Toc62740960"/>
      <w:bookmarkStart w:id="2579" w:name="_Toc12705"/>
      <w:bookmarkStart w:id="2580" w:name="_Toc20388"/>
      <w:bookmarkStart w:id="2581" w:name="_Toc10481"/>
      <w:bookmarkStart w:id="2582" w:name="_Toc11835"/>
      <w:bookmarkStart w:id="2583" w:name="_Toc8649"/>
      <w:bookmarkStart w:id="2584" w:name="_Toc8921"/>
      <w:bookmarkStart w:id="2585" w:name="_Toc5651"/>
      <w:bookmarkStart w:id="2586" w:name="_Toc31463"/>
      <w:bookmarkStart w:id="2587" w:name="_Toc24494"/>
      <w:bookmarkStart w:id="2588" w:name="_Toc128056471"/>
      <w:bookmarkStart w:id="2589" w:name="_Toc14850"/>
      <w:bookmarkStart w:id="2590" w:name="_Toc1090"/>
      <w:bookmarkStart w:id="2591" w:name="_Toc29437"/>
      <w:bookmarkStart w:id="2592" w:name="_Toc10425"/>
      <w:bookmarkStart w:id="2593" w:name="_Toc8263"/>
      <w:bookmarkStart w:id="2594" w:name="_Toc13949"/>
      <w:bookmarkStart w:id="2595" w:name="_Toc8887"/>
      <w:bookmarkStart w:id="2596" w:name="_Toc13216"/>
      <w:bookmarkStart w:id="2597" w:name="_Toc7919"/>
      <w:bookmarkStart w:id="2598" w:name="_Toc1352"/>
      <w:bookmarkStart w:id="2599" w:name="_Toc26980"/>
      <w:bookmarkStart w:id="2600" w:name="_Toc27362"/>
      <w:bookmarkStart w:id="2601" w:name="_Toc27518"/>
      <w:bookmarkStart w:id="2602" w:name="_Toc13991"/>
      <w:bookmarkStart w:id="2603" w:name="_Toc11321"/>
      <w:bookmarkStart w:id="2604" w:name="_Toc32733"/>
      <w:bookmarkStart w:id="2605" w:name="_Toc31627"/>
      <w:bookmarkStart w:id="2606" w:name="_Toc29408"/>
      <w:bookmarkStart w:id="2607" w:name="_Toc21944"/>
      <w:bookmarkStart w:id="2608" w:name="_Toc5484"/>
      <w:bookmarkStart w:id="2609" w:name="_Toc4123"/>
      <w:bookmarkStart w:id="2610" w:name="_Toc12568"/>
      <w:r>
        <w:rPr>
          <w:rFonts w:hint="eastAsia" w:ascii="黑体" w:hAnsi="黑体" w:eastAsia="黑体" w:cs="黑体"/>
          <w:color w:val="000000" w:themeColor="text1"/>
        </w:rPr>
        <w:t>7.2 安全对策措施</w:t>
      </w:r>
      <w:bookmarkEnd w:id="2572"/>
      <w:bookmarkEnd w:id="2573"/>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bookmarkEnd w:id="2588"/>
      <w:bookmarkEnd w:id="2589"/>
      <w:bookmarkEnd w:id="2590"/>
      <w:bookmarkEnd w:id="2591"/>
      <w:bookmarkEnd w:id="2592"/>
      <w:bookmarkEnd w:id="2593"/>
      <w:bookmarkEnd w:id="2594"/>
      <w:bookmarkEnd w:id="2595"/>
      <w:bookmarkEnd w:id="2596"/>
      <w:bookmarkEnd w:id="2597"/>
      <w:bookmarkEnd w:id="2598"/>
      <w:bookmarkEnd w:id="2599"/>
      <w:bookmarkEnd w:id="2600"/>
      <w:bookmarkEnd w:id="2601"/>
      <w:bookmarkEnd w:id="2602"/>
      <w:bookmarkEnd w:id="2603"/>
      <w:bookmarkEnd w:id="2604"/>
      <w:bookmarkEnd w:id="2605"/>
      <w:bookmarkEnd w:id="2606"/>
      <w:bookmarkEnd w:id="2607"/>
      <w:bookmarkEnd w:id="2608"/>
      <w:bookmarkEnd w:id="2609"/>
      <w:bookmarkEnd w:id="2610"/>
    </w:p>
    <w:p>
      <w:pPr>
        <w:pStyle w:val="4"/>
        <w:keepNext w:val="0"/>
        <w:keepLines w:val="0"/>
        <w:ind w:firstLine="562"/>
      </w:pPr>
      <w:bookmarkStart w:id="2611" w:name="_Toc520297564"/>
      <w:bookmarkStart w:id="2612" w:name="_Toc28998"/>
      <w:bookmarkStart w:id="2613" w:name="_Toc1523"/>
      <w:bookmarkStart w:id="2614" w:name="_Toc17455"/>
      <w:bookmarkStart w:id="2615" w:name="_Toc3362"/>
      <w:bookmarkStart w:id="2616" w:name="_Toc15701"/>
      <w:bookmarkStart w:id="2617" w:name="_Toc5524"/>
      <w:bookmarkStart w:id="2618" w:name="_Toc32103"/>
      <w:bookmarkStart w:id="2619" w:name="_Toc515540398"/>
      <w:bookmarkStart w:id="2620" w:name="_Toc1803"/>
      <w:bookmarkStart w:id="2621" w:name="_Toc22347"/>
      <w:bookmarkStart w:id="2622" w:name="_Toc17807"/>
      <w:bookmarkStart w:id="2623" w:name="_Toc22452"/>
      <w:bookmarkStart w:id="2624" w:name="_Toc19748"/>
      <w:bookmarkStart w:id="2625" w:name="_Toc27026"/>
      <w:bookmarkStart w:id="2626" w:name="_Toc5842"/>
      <w:bookmarkStart w:id="2627" w:name="_Toc12255"/>
      <w:bookmarkStart w:id="2628" w:name="_Toc11878"/>
      <w:bookmarkStart w:id="2629" w:name="_Toc8166"/>
      <w:bookmarkStart w:id="2630" w:name="_Toc28471"/>
      <w:bookmarkStart w:id="2631" w:name="_Toc5926"/>
      <w:bookmarkStart w:id="2632" w:name="_Toc22804"/>
      <w:bookmarkStart w:id="2633" w:name="_Toc128056472"/>
      <w:bookmarkStart w:id="2634" w:name="_Toc17058"/>
      <w:bookmarkStart w:id="2635" w:name="_Toc15447"/>
      <w:bookmarkStart w:id="2636" w:name="_Toc2431"/>
      <w:bookmarkStart w:id="2637" w:name="_Toc9406"/>
      <w:bookmarkStart w:id="2638" w:name="_Toc5644"/>
      <w:r>
        <w:rPr>
          <w:rFonts w:hint="eastAsia"/>
        </w:rPr>
        <w:t>7.2.1 安全生产条件对策措施及建议</w:t>
      </w:r>
      <w:bookmarkEnd w:id="2611"/>
      <w:bookmarkEnd w:id="2612"/>
      <w:bookmarkEnd w:id="2613"/>
      <w:bookmarkEnd w:id="2614"/>
      <w:bookmarkEnd w:id="2615"/>
      <w:bookmarkEnd w:id="2616"/>
      <w:bookmarkEnd w:id="2617"/>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p>
    <w:p>
      <w:pPr>
        <w:ind w:firstLine="560"/>
      </w:pPr>
      <w:r>
        <w:rPr>
          <w:rFonts w:hint="eastAsia"/>
        </w:rPr>
        <w:t>（1）企业应严格执行国家安全生产方面的法律、法规、标准、规范。</w:t>
      </w:r>
    </w:p>
    <w:p>
      <w:pPr>
        <w:ind w:firstLine="560"/>
        <w:rPr>
          <w:spacing w:val="-6"/>
        </w:rPr>
      </w:pPr>
      <w:r>
        <w:rPr>
          <w:rFonts w:hint="eastAsia"/>
        </w:rPr>
        <w:t>（2）</w:t>
      </w:r>
      <w:r>
        <w:rPr>
          <w:rFonts w:hint="eastAsia"/>
          <w:spacing w:val="-6"/>
        </w:rPr>
        <w:t>尽快落实评价组现场检查和报告编制过程中提出的存在问题的整改。</w:t>
      </w:r>
    </w:p>
    <w:p>
      <w:pPr>
        <w:ind w:firstLine="560"/>
        <w:rPr>
          <w:color w:val="000000" w:themeColor="text1"/>
        </w:rPr>
      </w:pPr>
      <w:r>
        <w:rPr>
          <w:rFonts w:hint="eastAsia"/>
          <w:color w:val="000000" w:themeColor="text1"/>
        </w:rPr>
        <w:t>（3）企业应保障安全经费的投入，不断完善安全生产条件，并定期对安全设施进行检查，保证其有效。</w:t>
      </w:r>
    </w:p>
    <w:p>
      <w:pPr>
        <w:ind w:firstLine="560"/>
        <w:rPr>
          <w:color w:val="000000" w:themeColor="text1"/>
        </w:rPr>
      </w:pPr>
      <w:r>
        <w:rPr>
          <w:rFonts w:hint="eastAsia"/>
          <w:color w:val="000000" w:themeColor="text1"/>
        </w:rPr>
        <w:t>（4）完善厂区安全警示标识的设置，安全标志牌应每半年至少检查一次，如发现有破损、变形、褪色等不符合要求时，应及时修正或更换。</w:t>
      </w:r>
    </w:p>
    <w:p>
      <w:pPr>
        <w:ind w:firstLine="560"/>
        <w:rPr>
          <w:color w:val="000000" w:themeColor="text1"/>
        </w:rPr>
      </w:pPr>
      <w:r>
        <w:rPr>
          <w:rFonts w:hint="eastAsia"/>
          <w:color w:val="000000" w:themeColor="text1"/>
        </w:rPr>
        <w:t>（5）作业现场应杜绝堵塞消防通道，消火栓、灭火器应杜绝遮挡，灭火器的设置应满足《建筑灭火器配置设计规范》（GB50140-2005）的要求：</w:t>
      </w:r>
    </w:p>
    <w:p>
      <w:pPr>
        <w:ind w:firstLine="560"/>
        <w:rPr>
          <w:color w:val="000000" w:themeColor="text1"/>
        </w:rPr>
      </w:pPr>
      <w:r>
        <w:rPr>
          <w:rFonts w:hint="eastAsia"/>
          <w:color w:val="000000" w:themeColor="text1"/>
        </w:rPr>
        <w:t>1）灭火器应设置在位置明显和便于取用的地点，且不得影响安全疏散，摆放应稳固，其铭牌应朝外。</w:t>
      </w:r>
    </w:p>
    <w:p>
      <w:pPr>
        <w:ind w:firstLine="560"/>
        <w:rPr>
          <w:color w:val="000000" w:themeColor="text1"/>
        </w:rPr>
      </w:pPr>
      <w:r>
        <w:rPr>
          <w:rFonts w:hint="eastAsia"/>
          <w:color w:val="000000" w:themeColor="text1"/>
        </w:rPr>
        <w:t>2）手提式灭火器宜设置在灭火器箱内或挂钩、托架上，其顶部离地面高度不应大于1.50m；底部离地面高度不宜小于0.08m。</w:t>
      </w:r>
    </w:p>
    <w:p>
      <w:pPr>
        <w:ind w:firstLine="560"/>
        <w:rPr>
          <w:color w:val="000000" w:themeColor="text1"/>
        </w:rPr>
      </w:pPr>
      <w:r>
        <w:rPr>
          <w:rFonts w:hint="eastAsia"/>
          <w:color w:val="000000" w:themeColor="text1"/>
        </w:rPr>
        <w:t>3）灭火器箱不得上锁，灭火器不宜设置在潮湿或强腐蚀性的地点。当必须设置时，应有相应的保护措施。</w:t>
      </w:r>
    </w:p>
    <w:p>
      <w:pPr>
        <w:ind w:firstLine="560"/>
        <w:rPr>
          <w:color w:val="000000" w:themeColor="text1"/>
        </w:rPr>
      </w:pPr>
      <w:r>
        <w:rPr>
          <w:rFonts w:hint="eastAsia"/>
          <w:color w:val="000000" w:themeColor="text1"/>
        </w:rPr>
        <w:t>4）灭火器设置在室外时，应有相应的保护措施。</w:t>
      </w:r>
    </w:p>
    <w:p>
      <w:pPr>
        <w:ind w:firstLine="560"/>
        <w:rPr>
          <w:color w:val="000000" w:themeColor="text1"/>
        </w:rPr>
      </w:pPr>
      <w:r>
        <w:rPr>
          <w:rFonts w:hint="eastAsia"/>
          <w:color w:val="000000" w:themeColor="text1"/>
        </w:rPr>
        <w:t>5）一个计算单元内配置的灭火器数量不得少于2具；每个设置点的灭火器数量不宜多于5具。</w:t>
      </w:r>
    </w:p>
    <w:p>
      <w:pPr>
        <w:ind w:firstLine="560"/>
        <w:rPr>
          <w:color w:val="000000" w:themeColor="text1"/>
        </w:rPr>
      </w:pPr>
      <w:r>
        <w:rPr>
          <w:rFonts w:hint="eastAsia"/>
          <w:color w:val="000000" w:themeColor="text1"/>
        </w:rPr>
        <w:t>（6）应规范车间内物品的摆放，按照规范分类管理、定置摆放，并留出安全通道。</w:t>
      </w:r>
    </w:p>
    <w:p>
      <w:pPr>
        <w:ind w:firstLine="560"/>
        <w:rPr>
          <w:color w:val="000000" w:themeColor="text1"/>
        </w:rPr>
      </w:pPr>
      <w:r>
        <w:rPr>
          <w:rFonts w:hint="eastAsia"/>
          <w:color w:val="000000" w:themeColor="text1"/>
        </w:rPr>
        <w:t>（7）作业现场应定置管理，杜绝电气线路裸露及私拉乱接，定期检查电气线路及设备并保留检查记录，按照规范设置作业现场的临时用电；作业现场的照明用电应按照规范使用安全电压。</w:t>
      </w:r>
    </w:p>
    <w:p>
      <w:pPr>
        <w:ind w:firstLine="560"/>
      </w:pPr>
      <w:r>
        <w:rPr>
          <w:rFonts w:hint="eastAsia"/>
        </w:rPr>
        <w:t>（8）按国家规范要求进行职业危害及检测结果的现场告知；对现场作业人员配发相应劳动防护用品（如防护口罩、防酸工作服等）并督促使用。</w:t>
      </w:r>
    </w:p>
    <w:p>
      <w:pPr>
        <w:ind w:firstLine="560"/>
      </w:pPr>
      <w:r>
        <w:rPr>
          <w:rFonts w:hint="eastAsia"/>
        </w:rPr>
        <w:t>（9）设备检修、清理工作，应进行安全交底，严格执行工作票制、安全确认制度、挂牌制、监护制、锁具制，做好现场的安全措施和现场的安全交底等。</w:t>
      </w:r>
    </w:p>
    <w:p>
      <w:pPr>
        <w:ind w:firstLine="560"/>
      </w:pPr>
      <w:r>
        <w:rPr>
          <w:rFonts w:hint="eastAsia"/>
        </w:rPr>
        <w:t>（10）检修、清理中拆除的安全装置，检修、清理完毕应及时恢复。</w:t>
      </w:r>
    </w:p>
    <w:p>
      <w:pPr>
        <w:ind w:firstLine="560"/>
      </w:pPr>
      <w:r>
        <w:rPr>
          <w:rFonts w:hint="eastAsia"/>
        </w:rPr>
        <w:t>（11）应加强检修等高处作业的管理，采取有效的防坠落措施（配备安全帽、安全带），并督促执行。</w:t>
      </w:r>
    </w:p>
    <w:p>
      <w:pPr>
        <w:pStyle w:val="4"/>
        <w:keepNext w:val="0"/>
        <w:keepLines w:val="0"/>
        <w:ind w:firstLine="562"/>
      </w:pPr>
      <w:bookmarkStart w:id="2639" w:name="_Toc8678"/>
      <w:bookmarkStart w:id="2640" w:name="_Toc16031"/>
      <w:bookmarkStart w:id="2641" w:name="_Toc21257"/>
      <w:bookmarkStart w:id="2642" w:name="_Toc10896"/>
      <w:bookmarkStart w:id="2643" w:name="_Toc4260"/>
      <w:bookmarkStart w:id="2644" w:name="_Toc9941"/>
      <w:bookmarkStart w:id="2645" w:name="_Toc14656"/>
      <w:bookmarkStart w:id="2646" w:name="_Toc21941"/>
      <w:bookmarkStart w:id="2647" w:name="_Toc12801"/>
      <w:bookmarkStart w:id="2648" w:name="_Toc9342"/>
      <w:bookmarkStart w:id="2649" w:name="_Toc30405"/>
      <w:bookmarkStart w:id="2650" w:name="_Toc5530"/>
      <w:bookmarkStart w:id="2651" w:name="_Toc18154"/>
      <w:bookmarkStart w:id="2652" w:name="_Toc7232"/>
      <w:bookmarkStart w:id="2653" w:name="_Toc520297565"/>
      <w:bookmarkStart w:id="2654" w:name="_Toc515540399"/>
      <w:bookmarkStart w:id="2655" w:name="_Toc18288"/>
      <w:bookmarkStart w:id="2656" w:name="_Toc28305"/>
      <w:bookmarkStart w:id="2657" w:name="_Toc16168"/>
      <w:bookmarkStart w:id="2658" w:name="_Toc27858"/>
      <w:bookmarkStart w:id="2659" w:name="_Toc19973"/>
      <w:bookmarkStart w:id="2660" w:name="_Toc29999"/>
      <w:bookmarkStart w:id="2661" w:name="_Toc29748"/>
      <w:bookmarkStart w:id="2662" w:name="_Toc128056473"/>
      <w:bookmarkStart w:id="2663" w:name="_Toc30210"/>
      <w:bookmarkStart w:id="2664" w:name="_Toc4602"/>
      <w:bookmarkStart w:id="2665" w:name="_Toc15491"/>
      <w:bookmarkStart w:id="2666" w:name="_Toc9014"/>
      <w:r>
        <w:rPr>
          <w:rFonts w:hint="eastAsia"/>
        </w:rPr>
        <w:t>7.2.2 安全管理对策措施及建议</w:t>
      </w:r>
      <w:bookmarkEnd w:id="2639"/>
      <w:bookmarkEnd w:id="2640"/>
      <w:bookmarkEnd w:id="2641"/>
      <w:bookmarkEnd w:id="2642"/>
      <w:bookmarkEnd w:id="2643"/>
      <w:bookmarkEnd w:id="2644"/>
      <w:bookmarkEnd w:id="2645"/>
      <w:bookmarkEnd w:id="2646"/>
      <w:bookmarkEnd w:id="2647"/>
      <w:bookmarkEnd w:id="2648"/>
      <w:bookmarkEnd w:id="2649"/>
      <w:bookmarkEnd w:id="2650"/>
      <w:bookmarkEnd w:id="2651"/>
      <w:bookmarkEnd w:id="2652"/>
      <w:bookmarkEnd w:id="2653"/>
      <w:bookmarkEnd w:id="2654"/>
      <w:bookmarkEnd w:id="2655"/>
      <w:bookmarkEnd w:id="2656"/>
      <w:bookmarkEnd w:id="2657"/>
      <w:bookmarkEnd w:id="2658"/>
      <w:bookmarkEnd w:id="2659"/>
      <w:bookmarkEnd w:id="2660"/>
      <w:bookmarkEnd w:id="2661"/>
      <w:bookmarkEnd w:id="2662"/>
      <w:bookmarkEnd w:id="2663"/>
      <w:bookmarkEnd w:id="2664"/>
      <w:bookmarkEnd w:id="2665"/>
      <w:bookmarkEnd w:id="2666"/>
    </w:p>
    <w:p>
      <w:pPr>
        <w:pStyle w:val="36"/>
        <w:topLinePunct/>
        <w:ind w:firstLine="560"/>
        <w:rPr>
          <w:color w:val="000000" w:themeColor="text1"/>
        </w:rPr>
      </w:pPr>
      <w:r>
        <w:rPr>
          <w:rFonts w:hint="eastAsia"/>
          <w:color w:val="000000" w:themeColor="text1"/>
        </w:rPr>
        <w:t>（</w:t>
      </w:r>
      <w:r>
        <w:rPr>
          <w:color w:val="000000" w:themeColor="text1"/>
        </w:rPr>
        <w:t>1）</w:t>
      </w:r>
      <w:r>
        <w:rPr>
          <w:rFonts w:hint="eastAsia"/>
        </w:rPr>
        <w:t>安全生产知识和管理能力考核合格证</w:t>
      </w:r>
      <w:r>
        <w:rPr>
          <w:color w:val="000000" w:themeColor="text1"/>
        </w:rPr>
        <w:t>应定期复审，</w:t>
      </w:r>
      <w:r>
        <w:rPr>
          <w:rFonts w:hint="eastAsia"/>
          <w:color w:val="000000" w:themeColor="text1"/>
        </w:rPr>
        <w:t>配备</w:t>
      </w:r>
      <w:r>
        <w:rPr>
          <w:color w:val="000000" w:themeColor="text1"/>
        </w:rPr>
        <w:t>注册安全工程师进行安全管理工作</w:t>
      </w:r>
      <w:r>
        <w:rPr>
          <w:rFonts w:hint="eastAsia"/>
          <w:color w:val="000000" w:themeColor="text1"/>
        </w:rPr>
        <w:t>。</w:t>
      </w:r>
    </w:p>
    <w:p>
      <w:pPr>
        <w:pStyle w:val="36"/>
        <w:topLinePunct/>
        <w:ind w:firstLine="560"/>
        <w:rPr>
          <w:color w:val="000000" w:themeColor="text1"/>
        </w:rPr>
      </w:pPr>
      <w:r>
        <w:rPr>
          <w:rFonts w:hint="eastAsia"/>
          <w:color w:val="000000" w:themeColor="text1"/>
        </w:rPr>
        <w:t>（</w:t>
      </w:r>
      <w:r>
        <w:rPr>
          <w:color w:val="000000" w:themeColor="text1"/>
        </w:rPr>
        <w:t>2）对强制检测附件定期检测</w:t>
      </w:r>
      <w:r>
        <w:rPr>
          <w:rFonts w:hint="eastAsia"/>
          <w:color w:val="000000" w:themeColor="text1"/>
        </w:rPr>
        <w:t>。</w:t>
      </w:r>
    </w:p>
    <w:p>
      <w:pPr>
        <w:pStyle w:val="36"/>
        <w:topLinePunct/>
        <w:ind w:firstLine="560"/>
        <w:rPr>
          <w:color w:val="000000" w:themeColor="text1"/>
        </w:rPr>
      </w:pPr>
      <w:r>
        <w:rPr>
          <w:rFonts w:hint="eastAsia"/>
          <w:color w:val="000000" w:themeColor="text1"/>
        </w:rPr>
        <w:t>（</w:t>
      </w:r>
      <w:r>
        <w:rPr>
          <w:color w:val="000000" w:themeColor="text1"/>
        </w:rPr>
        <w:t>3）请有资质的单位定期检测防雷装置</w:t>
      </w:r>
      <w:r>
        <w:rPr>
          <w:rFonts w:hint="eastAsia"/>
          <w:color w:val="000000" w:themeColor="text1"/>
        </w:rPr>
        <w:t>。</w:t>
      </w:r>
    </w:p>
    <w:p>
      <w:pPr>
        <w:pStyle w:val="36"/>
        <w:topLinePunct/>
        <w:ind w:firstLine="560"/>
        <w:rPr>
          <w:color w:val="000000" w:themeColor="text1"/>
        </w:rPr>
      </w:pPr>
      <w:r>
        <w:rPr>
          <w:rFonts w:hint="eastAsia"/>
          <w:color w:val="000000" w:themeColor="text1"/>
        </w:rPr>
        <w:t>（</w:t>
      </w:r>
      <w:r>
        <w:rPr>
          <w:color w:val="000000" w:themeColor="text1"/>
        </w:rPr>
        <w:t>4）定期对设备设施进行维护，保证安全防护设施有效，并定期检查厂内灭火器等消防设施，及时更换过期、失效的消防器材</w:t>
      </w:r>
      <w:r>
        <w:rPr>
          <w:rFonts w:hint="eastAsia"/>
          <w:color w:val="000000" w:themeColor="text1"/>
        </w:rPr>
        <w:t>。</w:t>
      </w:r>
    </w:p>
    <w:p>
      <w:pPr>
        <w:pStyle w:val="36"/>
        <w:topLinePunct/>
        <w:ind w:firstLine="560"/>
        <w:rPr>
          <w:color w:val="000000" w:themeColor="text1"/>
        </w:rPr>
      </w:pPr>
      <w:r>
        <w:rPr>
          <w:rFonts w:hint="eastAsia"/>
          <w:color w:val="000000" w:themeColor="text1"/>
        </w:rPr>
        <w:t>（</w:t>
      </w:r>
      <w:r>
        <w:rPr>
          <w:color w:val="000000" w:themeColor="text1"/>
        </w:rPr>
        <w:t>5）</w:t>
      </w:r>
      <w:r>
        <w:rPr>
          <w:rFonts w:hint="eastAsia" w:ascii="宋体" w:hAnsi="宋体" w:cs="宋体"/>
          <w:color w:val="auto"/>
          <w:szCs w:val="28"/>
          <w:shd w:val="clear" w:color="auto" w:fill="FFFFFF"/>
        </w:rPr>
        <w:t>安全生产管理人员</w:t>
      </w:r>
      <w:r>
        <w:rPr>
          <w:color w:val="000000" w:themeColor="text1"/>
        </w:rPr>
        <w:t>应不断提高自身的综合安全管理水平，加强对</w:t>
      </w:r>
      <w:r>
        <w:rPr>
          <w:rFonts w:hint="eastAsia"/>
          <w:color w:val="000000" w:themeColor="text1"/>
        </w:rPr>
        <w:t>员</w:t>
      </w:r>
      <w:r>
        <w:rPr>
          <w:color w:val="000000" w:themeColor="text1"/>
        </w:rPr>
        <w:t>工及新进人员的安全教育工作，提高全体员工的安全意识和自我保护能力；并做好日常的安全教育培训记录；严禁违章作业、违章指挥；安全</w:t>
      </w:r>
      <w:r>
        <w:rPr>
          <w:rFonts w:hint="eastAsia"/>
          <w:color w:val="000000" w:themeColor="text1"/>
        </w:rPr>
        <w:t>生产</w:t>
      </w:r>
      <w:r>
        <w:rPr>
          <w:color w:val="000000" w:themeColor="text1"/>
        </w:rPr>
        <w:t>管理人员及特种作业人员应全员参加培训，经考核合格后，持证上岗</w:t>
      </w:r>
      <w:r>
        <w:rPr>
          <w:rFonts w:hint="eastAsia"/>
          <w:color w:val="000000" w:themeColor="text1"/>
        </w:rPr>
        <w:t>。</w:t>
      </w:r>
    </w:p>
    <w:p>
      <w:pPr>
        <w:pStyle w:val="36"/>
        <w:topLinePunct/>
        <w:ind w:firstLine="560"/>
        <w:rPr>
          <w:color w:val="000000" w:themeColor="text1"/>
        </w:rPr>
      </w:pPr>
      <w:r>
        <w:rPr>
          <w:rFonts w:hint="eastAsia"/>
          <w:color w:val="000000" w:themeColor="text1"/>
        </w:rPr>
        <w:t>（</w:t>
      </w:r>
      <w:r>
        <w:rPr>
          <w:color w:val="000000" w:themeColor="text1"/>
        </w:rPr>
        <w:t>6）根据生产的实际情况，不断完善安全生产管理规章制度；完善生产、检修等作业的安全操作规程；加强作业现场检维修管理</w:t>
      </w:r>
      <w:r>
        <w:rPr>
          <w:rFonts w:hint="eastAsia"/>
          <w:color w:val="000000" w:themeColor="text1"/>
        </w:rPr>
        <w:t>，</w:t>
      </w:r>
      <w:r>
        <w:rPr>
          <w:color w:val="000000" w:themeColor="text1"/>
        </w:rPr>
        <w:t>做好安全管理台帐</w:t>
      </w:r>
      <w:r>
        <w:rPr>
          <w:rFonts w:hint="eastAsia"/>
          <w:color w:val="000000" w:themeColor="text1"/>
        </w:rPr>
        <w:t>（</w:t>
      </w:r>
      <w:r>
        <w:rPr>
          <w:color w:val="000000" w:themeColor="text1"/>
        </w:rPr>
        <w:t>作业票票证管理</w:t>
      </w:r>
      <w:r>
        <w:rPr>
          <w:rFonts w:hint="eastAsia"/>
          <w:color w:val="000000" w:themeColor="text1"/>
        </w:rPr>
        <w:t>）</w:t>
      </w:r>
      <w:r>
        <w:rPr>
          <w:color w:val="000000" w:themeColor="text1"/>
        </w:rPr>
        <w:t>的记录</w:t>
      </w:r>
      <w:r>
        <w:rPr>
          <w:rFonts w:hint="eastAsia"/>
          <w:color w:val="000000" w:themeColor="text1"/>
        </w:rPr>
        <w:t>。</w:t>
      </w:r>
    </w:p>
    <w:p>
      <w:pPr>
        <w:pStyle w:val="36"/>
        <w:topLinePunct/>
        <w:ind w:firstLine="560"/>
        <w:rPr>
          <w:color w:val="000000" w:themeColor="text1"/>
        </w:rPr>
      </w:pPr>
      <w:r>
        <w:rPr>
          <w:rFonts w:hint="eastAsia"/>
          <w:color w:val="000000" w:themeColor="text1"/>
        </w:rPr>
        <w:t>（</w:t>
      </w:r>
      <w:r>
        <w:rPr>
          <w:color w:val="000000" w:themeColor="text1"/>
        </w:rPr>
        <w:t>7）保证每年安全生产所需要的资金投入，使公司具备安全生产条件，安全资金主要用在以下方面</w:t>
      </w:r>
      <w:r>
        <w:rPr>
          <w:rFonts w:hint="eastAsia"/>
          <w:color w:val="000000" w:themeColor="text1"/>
        </w:rPr>
        <w:t>：</w:t>
      </w:r>
    </w:p>
    <w:p>
      <w:pPr>
        <w:ind w:firstLine="560"/>
        <w:rPr>
          <w:rFonts w:ascii="宋体" w:hAnsi="宋体"/>
        </w:rPr>
      </w:pPr>
      <w:r>
        <w:rPr>
          <w:rFonts w:hint="eastAsia" w:ascii="宋体" w:hAnsi="宋体"/>
        </w:rPr>
        <w:t>1）完善、改造和维护安全防护设施设备支出（不含“三同时”要求初期投入的安全设施），包括车间、库房、罐区等作业场所的监控、监测、通风、防晒、调温、防火、灭火、防爆、泄压、防毒、消毒、中和、防潮、防雷、防静电、防腐、防渗漏、防护围堤和隔离操作等设施设备支出。</w:t>
      </w:r>
    </w:p>
    <w:p>
      <w:pPr>
        <w:ind w:firstLine="560"/>
        <w:rPr>
          <w:rFonts w:ascii="宋体" w:hAnsi="宋体"/>
        </w:rPr>
      </w:pPr>
      <w:r>
        <w:rPr>
          <w:rFonts w:hint="eastAsia" w:ascii="宋体" w:hAnsi="宋体"/>
        </w:rPr>
        <w:t>2）配备、维护、保养应急救援器材、设备支出和应急救援队伍建设、应急预案制修订与应急演练支出。</w:t>
      </w:r>
    </w:p>
    <w:p>
      <w:pPr>
        <w:ind w:firstLine="560"/>
        <w:rPr>
          <w:rFonts w:ascii="宋体" w:hAnsi="宋体"/>
        </w:rPr>
      </w:pPr>
      <w:r>
        <w:rPr>
          <w:rFonts w:hint="eastAsia" w:ascii="宋体" w:hAnsi="宋体"/>
        </w:rPr>
        <w:t>3）开展安全风险分级管控和事故隐患排查整改支出，安全生产风险监测预警系统等安全生产信息系统建设、运维和网络安全支出。</w:t>
      </w:r>
    </w:p>
    <w:p>
      <w:pPr>
        <w:ind w:firstLine="560"/>
        <w:rPr>
          <w:rFonts w:ascii="宋体" w:hAnsi="宋体"/>
        </w:rPr>
      </w:pPr>
      <w:r>
        <w:rPr>
          <w:rFonts w:hint="eastAsia" w:ascii="宋体" w:hAnsi="宋体"/>
        </w:rPr>
        <w:t>4）安全生产检查、评估评价（不含新建、改建、扩建项目安全评价）、咨询和标准化建设支出。</w:t>
      </w:r>
    </w:p>
    <w:p>
      <w:pPr>
        <w:ind w:firstLine="560"/>
        <w:rPr>
          <w:rFonts w:ascii="宋体" w:hAnsi="宋体"/>
        </w:rPr>
      </w:pPr>
      <w:r>
        <w:rPr>
          <w:rFonts w:hint="eastAsia" w:ascii="宋体" w:hAnsi="宋体"/>
        </w:rPr>
        <w:t>5）配备和更新现场作业人员安全防护用品支出。</w:t>
      </w:r>
    </w:p>
    <w:p>
      <w:pPr>
        <w:ind w:firstLine="560"/>
        <w:rPr>
          <w:rFonts w:ascii="宋体" w:hAnsi="宋体"/>
        </w:rPr>
      </w:pPr>
      <w:r>
        <w:rPr>
          <w:rFonts w:hint="eastAsia" w:ascii="宋体" w:hAnsi="宋体"/>
        </w:rPr>
        <w:t>6）安全生产宣传、教育、培训和从业人员发现并报告事故隐患的奖励支出。</w:t>
      </w:r>
    </w:p>
    <w:p>
      <w:pPr>
        <w:ind w:firstLine="560"/>
        <w:rPr>
          <w:rFonts w:ascii="宋体" w:hAnsi="宋体"/>
        </w:rPr>
      </w:pPr>
      <w:r>
        <w:rPr>
          <w:rFonts w:hint="eastAsia" w:ascii="宋体" w:hAnsi="宋体"/>
        </w:rPr>
        <w:t>7）安全生产适用的新技术、新标准、新工艺、新装备的推广应用支出。</w:t>
      </w:r>
    </w:p>
    <w:p>
      <w:pPr>
        <w:ind w:firstLine="560"/>
        <w:rPr>
          <w:rFonts w:ascii="宋体" w:hAnsi="宋体"/>
        </w:rPr>
      </w:pPr>
      <w:r>
        <w:rPr>
          <w:rFonts w:hint="eastAsia" w:ascii="宋体" w:hAnsi="宋体"/>
        </w:rPr>
        <w:t>8）全设施及特种设备检测检验、检定校准支出。</w:t>
      </w:r>
    </w:p>
    <w:p>
      <w:pPr>
        <w:ind w:firstLine="560"/>
        <w:rPr>
          <w:rFonts w:ascii="宋体" w:hAnsi="宋体"/>
        </w:rPr>
      </w:pPr>
      <w:r>
        <w:rPr>
          <w:rFonts w:hint="eastAsia" w:ascii="宋体" w:hAnsi="宋体"/>
        </w:rPr>
        <w:t>9）安全生产责任保险支出。</w:t>
      </w:r>
    </w:p>
    <w:p>
      <w:pPr>
        <w:ind w:firstLine="560"/>
        <w:rPr>
          <w:rFonts w:ascii="宋体" w:hAnsi="宋体"/>
        </w:rPr>
      </w:pPr>
      <w:r>
        <w:rPr>
          <w:rFonts w:hint="eastAsia" w:ascii="宋体" w:hAnsi="宋体"/>
        </w:rPr>
        <w:t>10）与安全生产直接相关的其他支出。</w:t>
      </w:r>
    </w:p>
    <w:p>
      <w:pPr>
        <w:pStyle w:val="36"/>
        <w:topLinePunct/>
        <w:ind w:firstLine="560"/>
        <w:rPr>
          <w:color w:val="000000" w:themeColor="text1"/>
        </w:rPr>
      </w:pPr>
      <w:r>
        <w:rPr>
          <w:rFonts w:hint="eastAsia"/>
          <w:color w:val="000000" w:themeColor="text1"/>
        </w:rPr>
        <w:t>（</w:t>
      </w:r>
      <w:r>
        <w:rPr>
          <w:color w:val="000000" w:themeColor="text1"/>
        </w:rPr>
        <w:t>8）应按《中华人民共和国安全生产法》</w:t>
      </w:r>
      <w:r>
        <w:rPr>
          <w:rFonts w:hint="eastAsia" w:ascii="宋体" w:hAnsi="宋体"/>
          <w:color w:val="000000" w:themeColor="text1"/>
          <w:szCs w:val="20"/>
        </w:rPr>
        <w:t>（</w:t>
      </w:r>
      <w:r>
        <w:rPr>
          <w:rFonts w:hint="eastAsia"/>
          <w:color w:val="000000" w:themeColor="text1"/>
        </w:rPr>
        <w:t>中华人民共和国主席令第88号</w:t>
      </w:r>
      <w:r>
        <w:rPr>
          <w:rFonts w:hint="eastAsia" w:ascii="宋体" w:hAnsi="宋体"/>
          <w:color w:val="000000" w:themeColor="text1"/>
          <w:szCs w:val="20"/>
        </w:rPr>
        <w:t>）</w:t>
      </w:r>
      <w:r>
        <w:rPr>
          <w:color w:val="000000" w:themeColor="text1"/>
        </w:rPr>
        <w:t>第</w:t>
      </w:r>
      <w:r>
        <w:rPr>
          <w:rFonts w:hint="eastAsia"/>
          <w:color w:val="000000" w:themeColor="text1"/>
        </w:rPr>
        <w:t>五</w:t>
      </w:r>
      <w:r>
        <w:rPr>
          <w:color w:val="000000" w:themeColor="text1"/>
        </w:rPr>
        <w:t>十</w:t>
      </w:r>
      <w:r>
        <w:rPr>
          <w:rFonts w:hint="eastAsia"/>
          <w:color w:val="000000" w:themeColor="text1"/>
        </w:rPr>
        <w:t>一</w:t>
      </w:r>
      <w:r>
        <w:rPr>
          <w:color w:val="000000" w:themeColor="text1"/>
        </w:rPr>
        <w:t>条</w:t>
      </w:r>
      <w:r>
        <w:rPr>
          <w:rFonts w:hint="eastAsia"/>
          <w:color w:val="000000" w:themeColor="text1"/>
        </w:rPr>
        <w:t>“</w:t>
      </w:r>
      <w:r>
        <w:rPr>
          <w:color w:val="000000" w:themeColor="text1"/>
        </w:rPr>
        <w:t>生产经营单位必须依法参加工伤社会保险，为从业人员缴纳保险费</w:t>
      </w:r>
      <w:r>
        <w:rPr>
          <w:rFonts w:hint="eastAsia"/>
          <w:color w:val="000000" w:themeColor="text1"/>
        </w:rPr>
        <w:t>”</w:t>
      </w:r>
      <w:r>
        <w:rPr>
          <w:color w:val="000000" w:themeColor="text1"/>
        </w:rPr>
        <w:t>的规定依法为从业人员缴纳工伤保险。</w:t>
      </w:r>
    </w:p>
    <w:p>
      <w:pPr>
        <w:pStyle w:val="36"/>
        <w:topLinePunct/>
        <w:ind w:firstLine="560"/>
        <w:rPr>
          <w:color w:val="000000" w:themeColor="text1"/>
        </w:rPr>
      </w:pPr>
      <w:r>
        <w:rPr>
          <w:rFonts w:hint="eastAsia"/>
          <w:color w:val="000000" w:themeColor="text1"/>
        </w:rPr>
        <w:t>（</w:t>
      </w:r>
      <w:r>
        <w:rPr>
          <w:color w:val="000000" w:themeColor="text1"/>
        </w:rPr>
        <w:t>9）定期为作业人员配发合格的劳动防护用品，并严格监督作业人员的劳动防护用品佩戴情况，及时更换失效的劳动防护用品。</w:t>
      </w:r>
    </w:p>
    <w:p>
      <w:pPr>
        <w:pStyle w:val="36"/>
        <w:topLinePunct/>
        <w:ind w:firstLine="560"/>
        <w:rPr>
          <w:color w:val="000000" w:themeColor="text1"/>
        </w:rPr>
      </w:pPr>
      <w:r>
        <w:rPr>
          <w:rFonts w:hint="eastAsia"/>
          <w:color w:val="000000" w:themeColor="text1"/>
        </w:rPr>
        <w:t>（</w:t>
      </w:r>
      <w:r>
        <w:rPr>
          <w:color w:val="000000" w:themeColor="text1"/>
        </w:rPr>
        <w:t>10）加强人员安全培训教育，定期组织安全培训教育活动，提高</w:t>
      </w:r>
      <w:r>
        <w:rPr>
          <w:rFonts w:hint="eastAsia"/>
          <w:color w:val="000000" w:themeColor="text1"/>
        </w:rPr>
        <w:t>员</w:t>
      </w:r>
      <w:r>
        <w:rPr>
          <w:color w:val="000000" w:themeColor="text1"/>
        </w:rPr>
        <w:t>工安全意识，掌握紧急事故处理、救援知识和实际操作方法</w:t>
      </w:r>
      <w:r>
        <w:rPr>
          <w:rFonts w:hint="eastAsia"/>
          <w:color w:val="000000" w:themeColor="text1"/>
        </w:rPr>
        <w:t>。</w:t>
      </w:r>
    </w:p>
    <w:p>
      <w:pPr>
        <w:pStyle w:val="4"/>
        <w:keepNext w:val="0"/>
        <w:keepLines w:val="0"/>
        <w:ind w:firstLine="562"/>
      </w:pPr>
      <w:bookmarkStart w:id="2667" w:name="_Toc28011"/>
      <w:bookmarkStart w:id="2668" w:name="_Toc13436"/>
      <w:bookmarkStart w:id="2669" w:name="_Toc12521"/>
      <w:bookmarkStart w:id="2670" w:name="_Toc745"/>
      <w:bookmarkStart w:id="2671" w:name="_Toc2544"/>
      <w:bookmarkStart w:id="2672" w:name="_Toc10890"/>
      <w:bookmarkStart w:id="2673" w:name="_Toc18494"/>
      <w:bookmarkStart w:id="2674" w:name="_Toc18978"/>
      <w:bookmarkStart w:id="2675" w:name="_Toc10545"/>
      <w:bookmarkStart w:id="2676" w:name="_Toc30003"/>
      <w:bookmarkStart w:id="2677" w:name="_Toc28303"/>
      <w:bookmarkStart w:id="2678" w:name="_Toc5617"/>
      <w:bookmarkStart w:id="2679" w:name="_Toc520297572"/>
      <w:bookmarkStart w:id="2680" w:name="_Toc15929"/>
      <w:bookmarkStart w:id="2681" w:name="_Toc30747"/>
      <w:bookmarkStart w:id="2682" w:name="_Toc16036"/>
      <w:bookmarkStart w:id="2683" w:name="_Toc30168"/>
      <w:bookmarkStart w:id="2684" w:name="_Toc5857"/>
      <w:bookmarkStart w:id="2685" w:name="_Toc955"/>
      <w:bookmarkStart w:id="2686" w:name="_Toc515540404"/>
      <w:bookmarkStart w:id="2687" w:name="_Toc14744"/>
      <w:bookmarkStart w:id="2688" w:name="_Toc19193"/>
      <w:bookmarkStart w:id="2689" w:name="_Toc3773"/>
      <w:bookmarkStart w:id="2690" w:name="_Toc19818"/>
      <w:bookmarkStart w:id="2691" w:name="_Toc29043"/>
      <w:bookmarkStart w:id="2692" w:name="_Toc11165"/>
      <w:bookmarkStart w:id="2693" w:name="_Toc128056474"/>
      <w:bookmarkStart w:id="2694" w:name="_Toc29791"/>
      <w:r>
        <w:rPr>
          <w:rFonts w:hint="eastAsia"/>
        </w:rPr>
        <w:t>7.2.3 其他方面</w:t>
      </w:r>
      <w:bookmarkEnd w:id="2667"/>
      <w:bookmarkEnd w:id="2668"/>
      <w:bookmarkEnd w:id="2669"/>
      <w:bookmarkEnd w:id="2670"/>
      <w:bookmarkEnd w:id="2671"/>
      <w:bookmarkEnd w:id="2672"/>
      <w:bookmarkEnd w:id="2673"/>
      <w:bookmarkEnd w:id="2674"/>
      <w:bookmarkEnd w:id="2675"/>
      <w:bookmarkEnd w:id="2676"/>
      <w:bookmarkEnd w:id="2677"/>
      <w:bookmarkEnd w:id="2678"/>
      <w:bookmarkEnd w:id="2679"/>
      <w:bookmarkEnd w:id="2680"/>
      <w:bookmarkEnd w:id="2681"/>
      <w:bookmarkEnd w:id="2682"/>
      <w:bookmarkEnd w:id="2683"/>
      <w:bookmarkEnd w:id="2684"/>
      <w:bookmarkEnd w:id="2685"/>
      <w:bookmarkEnd w:id="2686"/>
      <w:bookmarkEnd w:id="2687"/>
      <w:bookmarkEnd w:id="2688"/>
      <w:bookmarkEnd w:id="2689"/>
      <w:bookmarkEnd w:id="2690"/>
      <w:bookmarkEnd w:id="2691"/>
      <w:bookmarkEnd w:id="2692"/>
      <w:bookmarkEnd w:id="2693"/>
      <w:bookmarkEnd w:id="2694"/>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1）</w:t>
      </w:r>
      <w:r>
        <w:rPr>
          <w:rFonts w:hint="eastAsia"/>
          <w:color w:val="000000" w:themeColor="text1"/>
        </w:rPr>
        <w:t>不得将生产项目、场所、设备发包或者出租给不具备安全生产条件或者相应资质的单位或者个人。</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2）</w:t>
      </w:r>
      <w:r>
        <w:rPr>
          <w:rFonts w:hint="eastAsia"/>
          <w:color w:val="000000" w:themeColor="text1"/>
        </w:rPr>
        <w:t>与从业人员订立劳动合同。订立的劳动合同，应当载明有关保障从业人员劳动安全、防止职业危害的事项，以及依法为从业人员办理工伤社会保险的事项。生产单位不得以任何形式与从业人员订立协议，免除或者减轻其对从业人员因生产安全事故伤亡依法应承担的责任。</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3）</w:t>
      </w:r>
      <w:r>
        <w:rPr>
          <w:rFonts w:hint="eastAsia"/>
        </w:rPr>
        <w:t>企业涉及特殊作业时，应严格按照《危险化学品企业特殊作业安全规范》（GB30871-2022）的相关要求进行作业。</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4）</w:t>
      </w:r>
      <w:r>
        <w:rPr>
          <w:rFonts w:hint="eastAsia"/>
          <w:color w:val="000000" w:themeColor="text1"/>
        </w:rPr>
        <w:t>企业应建立和完善上岗、在岗期间和离岗的职业健康检查，完善和规范职业健康管理。为劳动者建立职业健康监护档案，并按照规定的期限妥善保存。</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5）</w:t>
      </w:r>
      <w:r>
        <w:rPr>
          <w:rFonts w:hint="eastAsia"/>
          <w:color w:val="000000" w:themeColor="text1"/>
        </w:rPr>
        <w:t>发生事故后，应立即启动相关应急预案，积极开展事故救援；应急结束后，应编制应急救援报告。</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6）</w:t>
      </w:r>
      <w:r>
        <w:rPr>
          <w:rFonts w:hint="eastAsia"/>
          <w:color w:val="000000" w:themeColor="text1"/>
        </w:rPr>
        <w:t>生产单位应建立健全事故隐患排查治理和监控等管理制度，逐级建立并落实从主要负责人到每个从业人员的隐患排查治理和监控责任制。</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7）</w:t>
      </w:r>
      <w:r>
        <w:rPr>
          <w:rFonts w:hint="eastAsia"/>
          <w:color w:val="000000" w:themeColor="text1"/>
        </w:rPr>
        <w:t>生产单位应当保证事故隐患排查治理所需的资金，建立资金使用专项制度。</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8）</w:t>
      </w:r>
      <w:r>
        <w:rPr>
          <w:rFonts w:hint="eastAsia"/>
          <w:color w:val="000000" w:themeColor="text1"/>
        </w:rPr>
        <w:t>生产单位对排查出的事故隐患，应当按照事故隐患的等级进行登记，建立事故隐患信息档案，并按照职责分工实施监控治理。</w:t>
      </w:r>
    </w:p>
    <w:p>
      <w:pPr>
        <w:pStyle w:val="36"/>
        <w:numPr>
          <w:ilvl w:val="2"/>
          <w:numId w:val="0"/>
        </w:numPr>
        <w:topLinePunct/>
        <w:ind w:firstLine="536" w:firstLineChars="200"/>
        <w:rPr>
          <w:color w:val="000000" w:themeColor="text1"/>
          <w:spacing w:val="-6"/>
        </w:rPr>
      </w:pPr>
      <w:r>
        <w:rPr>
          <w:rFonts w:hint="eastAsia"/>
          <w:color w:val="000000" w:themeColor="text1"/>
          <w:spacing w:val="-6"/>
        </w:rPr>
        <w:t>（</w:t>
      </w:r>
      <w:r>
        <w:rPr>
          <w:color w:val="000000" w:themeColor="text1"/>
          <w:spacing w:val="-6"/>
        </w:rPr>
        <w:t>9）</w:t>
      </w:r>
      <w:r>
        <w:rPr>
          <w:rFonts w:hint="eastAsia"/>
          <w:color w:val="000000" w:themeColor="text1"/>
          <w:spacing w:val="-6"/>
        </w:rPr>
        <w:t>对于一般事故隐患，由生产单位负责人或有关人员立即组织整改；对于重大事故隐患，由生产单位主要负责人组织制定并实施事故隐患治理方案。</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10）</w:t>
      </w:r>
      <w:r>
        <w:rPr>
          <w:rFonts w:hint="eastAsia"/>
          <w:color w:val="000000" w:themeColor="text1"/>
        </w:rPr>
        <w:t>生产单位在事故隐患治理过程中，应当采取相应的安全防范措施，防止事故发生。事故隐患排除前或者排除过程中无法保证安全的，应当从危险区域内撤出作业人员，并疏散可能危及的其他人员，设置警戒标志，暂时停产停业或者停止使用；对暂时难以停产或者停止使用的相关生产储存装置、设施、设备，应当加强维护和保养，防止事故发生。</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11）</w:t>
      </w:r>
      <w:r>
        <w:rPr>
          <w:rFonts w:hint="eastAsia"/>
          <w:color w:val="000000" w:themeColor="text1"/>
        </w:rPr>
        <w:t>制定综合检维修计划，加强日常检维修和定期检维修管理，落实“五定”原则，即定检维修方案、定检维修人员、定安全措施、定检维修质量、定检维修进度，并做好记录。</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12）</w:t>
      </w:r>
      <w:r>
        <w:rPr>
          <w:rFonts w:hint="eastAsia"/>
          <w:color w:val="000000" w:themeColor="text1"/>
        </w:rPr>
        <w:t>检维修方案包含作业安全风险分析、控制措施、应急处置措施及安全验收标准。检维修过程中执行安全控制措施，隔离能量和危险物质，并进行监督检查，检维修后应进行安全确认。</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13）</w:t>
      </w:r>
      <w:r>
        <w:rPr>
          <w:rFonts w:hint="eastAsia"/>
          <w:color w:val="000000" w:themeColor="text1"/>
        </w:rPr>
        <w:t>危险性较大的作业活动，实施作业许可管理，严格履行作业许可审批手续。作业许可包含安全风险分析、安全及职业病危害防护措施、应急处置等内容。作业许可实行闭环管理。</w:t>
      </w:r>
    </w:p>
    <w:p>
      <w:pPr>
        <w:pStyle w:val="36"/>
        <w:numPr>
          <w:ilvl w:val="2"/>
          <w:numId w:val="0"/>
        </w:numPr>
        <w:topLinePunct/>
        <w:ind w:firstLine="560" w:firstLineChars="200"/>
        <w:rPr>
          <w:color w:val="000000" w:themeColor="text1"/>
        </w:rPr>
      </w:pPr>
      <w:r>
        <w:rPr>
          <w:rFonts w:hint="eastAsia"/>
          <w:color w:val="000000" w:themeColor="text1"/>
        </w:rPr>
        <w:t>（</w:t>
      </w:r>
      <w:r>
        <w:rPr>
          <w:color w:val="000000" w:themeColor="text1"/>
        </w:rPr>
        <w:t>14）</w:t>
      </w:r>
      <w:r>
        <w:rPr>
          <w:rFonts w:hint="eastAsia"/>
          <w:color w:val="000000" w:themeColor="text1"/>
        </w:rPr>
        <w:t>两个以上作业队伍在同一作业区域内进行作业活动时，不同作业队伍相互之间签订管理协议，明确各自的安全生产、职业卫生管理职责和采取的有效措施，并指定专人进行检査与协调。</w:t>
      </w:r>
    </w:p>
    <w:p>
      <w:pPr>
        <w:pStyle w:val="36"/>
        <w:numPr>
          <w:ilvl w:val="2"/>
          <w:numId w:val="0"/>
        </w:numPr>
        <w:topLinePunct/>
        <w:ind w:firstLine="560" w:firstLineChars="200"/>
        <w:rPr>
          <w:rFonts w:ascii="宋体" w:hAnsi="宋体"/>
          <w:color w:val="000000" w:themeColor="text1"/>
          <w:szCs w:val="20"/>
        </w:rPr>
      </w:pPr>
      <w:r>
        <w:rPr>
          <w:rFonts w:hint="eastAsia" w:ascii="宋体" w:hAnsi="宋体"/>
          <w:color w:val="000000" w:themeColor="text1"/>
          <w:szCs w:val="20"/>
        </w:rPr>
        <w:t>（</w:t>
      </w:r>
      <w:r>
        <w:rPr>
          <w:rFonts w:ascii="宋体" w:hAnsi="宋体"/>
          <w:color w:val="000000" w:themeColor="text1"/>
          <w:szCs w:val="20"/>
        </w:rPr>
        <w:t>15）</w:t>
      </w:r>
      <w:r>
        <w:rPr>
          <w:rFonts w:hint="eastAsia"/>
          <w:color w:val="000000" w:themeColor="text1"/>
        </w:rPr>
        <w:t>安全设备设施不得随意拆除、挪用或弃置不用；确因检维修拆除的，采取临时安全措施，检维修完毕后立即复原。</w:t>
      </w:r>
      <w:bookmarkStart w:id="2695" w:name="_Toc503269940"/>
    </w:p>
    <w:p>
      <w:pPr>
        <w:pStyle w:val="4"/>
        <w:ind w:firstLine="562"/>
      </w:pPr>
      <w:bookmarkStart w:id="2696" w:name="_Toc30702"/>
      <w:bookmarkStart w:id="2697" w:name="_Toc3101"/>
      <w:bookmarkStart w:id="2698" w:name="_Toc28025"/>
      <w:bookmarkStart w:id="2699" w:name="_Toc11326"/>
      <w:bookmarkStart w:id="2700" w:name="_Toc24433"/>
      <w:bookmarkStart w:id="2701" w:name="_Toc2155"/>
      <w:bookmarkStart w:id="2702" w:name="_Toc31325"/>
      <w:bookmarkStart w:id="2703" w:name="_Toc28935"/>
      <w:bookmarkStart w:id="2704" w:name="_Toc15866"/>
      <w:bookmarkStart w:id="2705" w:name="_Toc32416"/>
      <w:bookmarkStart w:id="2706" w:name="_Toc27268"/>
      <w:bookmarkStart w:id="2707" w:name="_Toc14103"/>
      <w:bookmarkStart w:id="2708" w:name="_Toc20056"/>
      <w:bookmarkStart w:id="2709" w:name="_Toc1327"/>
      <w:bookmarkStart w:id="2710" w:name="_Toc29969"/>
      <w:bookmarkStart w:id="2711" w:name="_Toc128056475"/>
      <w:bookmarkStart w:id="2712" w:name="_Toc18905"/>
      <w:bookmarkStart w:id="2713" w:name="_Toc4099"/>
      <w:bookmarkStart w:id="2714" w:name="_Toc2033"/>
      <w:bookmarkStart w:id="2715" w:name="_Toc4809"/>
      <w:bookmarkStart w:id="2716" w:name="_Toc24471"/>
      <w:bookmarkStart w:id="2717" w:name="_Toc25364"/>
      <w:bookmarkStart w:id="2718" w:name="_Toc20937"/>
      <w:bookmarkStart w:id="2719" w:name="_Toc19744"/>
      <w:bookmarkStart w:id="2720" w:name="_Toc338"/>
      <w:bookmarkStart w:id="2721" w:name="_Toc23562"/>
      <w:bookmarkStart w:id="2722" w:name="_Toc62740961"/>
      <w:r>
        <w:rPr>
          <w:rFonts w:hint="eastAsia"/>
        </w:rPr>
        <w:t>7.2.4 应急救援对策措施及建议</w:t>
      </w:r>
      <w:bookmarkEnd w:id="2696"/>
      <w:bookmarkEnd w:id="2697"/>
      <w:bookmarkEnd w:id="2698"/>
      <w:bookmarkEnd w:id="2699"/>
      <w:bookmarkEnd w:id="2700"/>
      <w:bookmarkEnd w:id="2701"/>
      <w:bookmarkEnd w:id="2702"/>
      <w:bookmarkEnd w:id="2703"/>
      <w:bookmarkEnd w:id="2704"/>
      <w:bookmarkEnd w:id="2705"/>
      <w:bookmarkEnd w:id="2706"/>
      <w:bookmarkEnd w:id="2707"/>
      <w:bookmarkEnd w:id="2708"/>
      <w:bookmarkEnd w:id="2709"/>
      <w:bookmarkEnd w:id="2710"/>
      <w:bookmarkEnd w:id="2711"/>
      <w:bookmarkEnd w:id="2712"/>
      <w:bookmarkEnd w:id="2713"/>
      <w:bookmarkEnd w:id="2714"/>
      <w:bookmarkEnd w:id="2715"/>
      <w:bookmarkEnd w:id="2716"/>
      <w:bookmarkEnd w:id="2717"/>
      <w:bookmarkEnd w:id="2718"/>
      <w:bookmarkEnd w:id="2719"/>
      <w:bookmarkEnd w:id="2720"/>
      <w:bookmarkEnd w:id="2721"/>
    </w:p>
    <w:p>
      <w:pPr>
        <w:pStyle w:val="36"/>
        <w:topLinePunct/>
        <w:ind w:firstLine="560"/>
        <w:rPr>
          <w:color w:val="000000" w:themeColor="text1"/>
        </w:rPr>
      </w:pPr>
      <w:r>
        <w:rPr>
          <w:rFonts w:hint="eastAsia"/>
          <w:color w:val="000000" w:themeColor="text1"/>
        </w:rPr>
        <w:t>（</w:t>
      </w:r>
      <w:r>
        <w:rPr>
          <w:color w:val="000000" w:themeColor="text1"/>
        </w:rPr>
        <w:t>1）应按《生产经营单位生产安全事故应急预案编制导则》（GB/T29639-20</w:t>
      </w:r>
      <w:r>
        <w:rPr>
          <w:rFonts w:hint="eastAsia"/>
          <w:color w:val="000000" w:themeColor="text1"/>
        </w:rPr>
        <w:t>20</w:t>
      </w:r>
      <w:r>
        <w:rPr>
          <w:color w:val="000000" w:themeColor="text1"/>
        </w:rPr>
        <w:t>）</w:t>
      </w:r>
      <w:r>
        <w:rPr>
          <w:rFonts w:hint="eastAsia"/>
          <w:color w:val="000000" w:themeColor="text1"/>
        </w:rPr>
        <w:t>、</w:t>
      </w:r>
      <w:r>
        <w:rPr>
          <w:rFonts w:hint="eastAsia" w:ascii="宋体" w:hAnsi="宋体"/>
          <w:color w:val="000000" w:themeColor="text1"/>
        </w:rPr>
        <w:t>《生产安全事故应急预案管理办法》（国家安全生产监督管理总局令第88号，</w:t>
      </w:r>
      <w:r>
        <w:rPr>
          <w:rFonts w:hint="eastAsia" w:ascii="宋体" w:hAnsi="宋体" w:cs="宋体"/>
          <w:color w:val="000000" w:themeColor="text1"/>
          <w:szCs w:val="28"/>
          <w:shd w:val="clear" w:color="auto" w:fill="FFFFFF"/>
        </w:rPr>
        <w:t>根据2019年7月11日应急管理部令第2号修正</w:t>
      </w:r>
      <w:r>
        <w:rPr>
          <w:rFonts w:hint="eastAsia" w:ascii="宋体" w:hAnsi="宋体" w:cs="宋体"/>
          <w:color w:val="000000" w:themeColor="text1"/>
          <w:szCs w:val="28"/>
        </w:rPr>
        <w:t>）</w:t>
      </w:r>
      <w:r>
        <w:rPr>
          <w:rFonts w:hint="eastAsia"/>
          <w:color w:val="000000" w:themeColor="text1"/>
        </w:rPr>
        <w:t>等</w:t>
      </w:r>
      <w:r>
        <w:rPr>
          <w:color w:val="000000" w:themeColor="text1"/>
        </w:rPr>
        <w:t>的相关要求，</w:t>
      </w:r>
      <w:r>
        <w:rPr>
          <w:rFonts w:hint="eastAsia" w:ascii="宋体" w:hAnsi="宋体"/>
          <w:color w:val="000000" w:themeColor="text1"/>
        </w:rPr>
        <w:t>结合企业实际情况、危险特性以及发生事故后可能波</w:t>
      </w:r>
      <w:r>
        <w:rPr>
          <w:rFonts w:hint="eastAsia"/>
          <w:color w:val="000000" w:themeColor="text1"/>
        </w:rPr>
        <w:t>及的范围、严重程度及应急救援措施，完善生产安全事故应急预案，应急预案体系应包括综合预案、专项预案、现场处置方案、相关附件（附件包括有关应急部门、机构或人员的联系方式；应急物资装备的名录或清单；相关平面布置图纸、救援力量的分布图纸等，有关协议或备忘录等）。</w:t>
      </w:r>
      <w:r>
        <w:rPr>
          <w:color w:val="000000" w:themeColor="text1"/>
        </w:rPr>
        <w:t>定期进行演练、培训。应急预案中应明确各类联系方式和方法；应急预案应定期组织</w:t>
      </w:r>
      <w:r>
        <w:rPr>
          <w:rFonts w:hint="eastAsia"/>
          <w:color w:val="000000" w:themeColor="text1"/>
        </w:rPr>
        <w:t>员</w:t>
      </w:r>
      <w:r>
        <w:rPr>
          <w:color w:val="000000" w:themeColor="text1"/>
        </w:rPr>
        <w:t>工进行演练，每</w:t>
      </w:r>
      <w:r>
        <w:rPr>
          <w:rFonts w:hint="eastAsia"/>
          <w:color w:val="000000" w:themeColor="text1"/>
        </w:rPr>
        <w:t>半</w:t>
      </w:r>
      <w:r>
        <w:rPr>
          <w:color w:val="000000" w:themeColor="text1"/>
        </w:rPr>
        <w:t>年</w:t>
      </w:r>
      <w:r>
        <w:rPr>
          <w:rFonts w:hint="eastAsia"/>
          <w:color w:val="000000" w:themeColor="text1"/>
        </w:rPr>
        <w:t>至</w:t>
      </w:r>
      <w:r>
        <w:rPr>
          <w:color w:val="000000" w:themeColor="text1"/>
        </w:rPr>
        <w:t>少一次</w:t>
      </w:r>
      <w:r>
        <w:rPr>
          <w:rFonts w:hint="eastAsia"/>
          <w:color w:val="000000" w:themeColor="text1"/>
        </w:rPr>
        <w:t>生产安全事故应急预案演练</w:t>
      </w:r>
      <w:r>
        <w:rPr>
          <w:color w:val="000000" w:themeColor="text1"/>
        </w:rPr>
        <w:t>。</w:t>
      </w:r>
      <w:r>
        <w:rPr>
          <w:rFonts w:hint="eastAsia"/>
          <w:color w:val="000000" w:themeColor="text1"/>
        </w:rPr>
        <w:t>并对演练过程、效果、经验、存在问题、改进措施进行总结。</w:t>
      </w:r>
    </w:p>
    <w:p>
      <w:pPr>
        <w:pStyle w:val="36"/>
        <w:topLinePunct/>
        <w:ind w:firstLine="560"/>
        <w:rPr>
          <w:color w:val="000000" w:themeColor="text1"/>
        </w:rPr>
      </w:pPr>
      <w:r>
        <w:rPr>
          <w:rFonts w:hint="eastAsia"/>
          <w:color w:val="000000" w:themeColor="text1"/>
        </w:rPr>
        <w:t>（</w:t>
      </w:r>
      <w:r>
        <w:rPr>
          <w:color w:val="000000" w:themeColor="text1"/>
        </w:rPr>
        <w:t>2）企业应建立健全事故应急救援体系。依据国家相关法律法规及标准要求，建立、健全应急组织和专（兼）职应急队伍，明确职责，并定期进行事故应急演练。</w:t>
      </w:r>
    </w:p>
    <w:p>
      <w:pPr>
        <w:pStyle w:val="36"/>
        <w:topLinePunct/>
        <w:ind w:firstLine="560"/>
        <w:rPr>
          <w:color w:val="000000" w:themeColor="text1"/>
        </w:rPr>
      </w:pPr>
      <w:r>
        <w:rPr>
          <w:rFonts w:hint="eastAsia"/>
          <w:color w:val="000000" w:themeColor="text1"/>
        </w:rPr>
        <w:t>（</w:t>
      </w:r>
      <w:r>
        <w:rPr>
          <w:color w:val="000000" w:themeColor="text1"/>
        </w:rPr>
        <w:t>3）企业应配置与抵御企业风险要求相适应的应急装备、物资，做好应急装备、物资的日常管理维护，配备必要的应急药品和急救器材。</w:t>
      </w:r>
    </w:p>
    <w:p>
      <w:pPr>
        <w:pStyle w:val="36"/>
        <w:topLinePunct/>
        <w:ind w:firstLine="560"/>
        <w:rPr>
          <w:color w:val="000000" w:themeColor="text1"/>
        </w:rPr>
      </w:pPr>
      <w:r>
        <w:rPr>
          <w:rFonts w:hint="eastAsia"/>
          <w:color w:val="000000" w:themeColor="text1"/>
        </w:rPr>
        <w:t>（</w:t>
      </w:r>
      <w:r>
        <w:rPr>
          <w:color w:val="000000" w:themeColor="text1"/>
        </w:rPr>
        <w:t>4）企业应当在编制应急预案的基础上，针对工作场所、岗位的特点，编制简明、实用、有效的应急处置卡。应急处置卡应当规定重点岗位、人员的应急处置程序和措施，以及相关联络人员和联系方式。</w:t>
      </w:r>
    </w:p>
    <w:p>
      <w:pPr>
        <w:pStyle w:val="36"/>
        <w:topLinePunct/>
        <w:ind w:firstLine="560"/>
        <w:rPr>
          <w:color w:val="000000" w:themeColor="text1"/>
        </w:rPr>
      </w:pPr>
      <w:r>
        <w:rPr>
          <w:rFonts w:hint="eastAsia"/>
          <w:color w:val="000000" w:themeColor="text1"/>
        </w:rPr>
        <w:t>（</w:t>
      </w:r>
      <w:r>
        <w:rPr>
          <w:color w:val="000000" w:themeColor="text1"/>
        </w:rPr>
        <w:t>5）企业应当组织开展本单位的应急预案、应急知识、自救互救和避险逃生技能的培训活动，使有关人员了解应急预案内容，熟悉应急职责、应急处置程序和措施。</w:t>
      </w:r>
    </w:p>
    <w:p>
      <w:pPr>
        <w:pStyle w:val="36"/>
        <w:topLinePunct/>
        <w:ind w:firstLine="560"/>
        <w:rPr>
          <w:color w:val="000000" w:themeColor="text1"/>
        </w:rPr>
      </w:pPr>
      <w:r>
        <w:rPr>
          <w:rFonts w:hint="eastAsia"/>
          <w:color w:val="000000" w:themeColor="text1"/>
        </w:rPr>
        <w:t>（</w:t>
      </w:r>
      <w:r>
        <w:rPr>
          <w:color w:val="000000" w:themeColor="text1"/>
        </w:rPr>
        <w:t>6）企业应当按照应急预案的规定，落实应急指挥体系、应急救援队伍、应急物资及装备，建立应急物资、装备配备及其使用档案，并对应急物资、装备进行定期检测和维护，使其处于适用状态。</w:t>
      </w:r>
    </w:p>
    <w:p>
      <w:pPr>
        <w:pStyle w:val="36"/>
        <w:topLinePunct/>
        <w:ind w:firstLine="560"/>
        <w:rPr>
          <w:color w:val="000000" w:themeColor="text1"/>
        </w:rPr>
      </w:pPr>
      <w:r>
        <w:rPr>
          <w:rFonts w:hint="eastAsia"/>
          <w:color w:val="000000" w:themeColor="text1"/>
        </w:rPr>
        <w:t>（</w:t>
      </w:r>
      <w:r>
        <w:rPr>
          <w:color w:val="000000" w:themeColor="text1"/>
        </w:rPr>
        <w:t>7）</w:t>
      </w:r>
      <w:r>
        <w:rPr>
          <w:rFonts w:hint="eastAsia" w:ascii="宋体" w:hAnsi="宋体"/>
          <w:color w:val="000000" w:themeColor="text1"/>
        </w:rPr>
        <w:t>按</w:t>
      </w:r>
      <w:r>
        <w:rPr>
          <w:rFonts w:hint="eastAsia"/>
          <w:color w:val="000000" w:themeColor="text1"/>
        </w:rPr>
        <w:t>《生产经营单位生产安全事故应急预案评估指南》</w:t>
      </w:r>
      <w:r>
        <w:rPr>
          <w:rFonts w:hint="eastAsia" w:ascii="宋体" w:hAnsi="宋体"/>
          <w:color w:val="000000" w:themeColor="text1"/>
        </w:rPr>
        <w:t>（AQ/T9011-2019）</w:t>
      </w:r>
      <w:r>
        <w:rPr>
          <w:rFonts w:hint="eastAsia"/>
          <w:color w:val="000000" w:themeColor="text1"/>
        </w:rPr>
        <w:t>的规定，对应急演练的效果进行评估，根据评估结果，修订、完善应急预案，改进应急管理工作。</w:t>
      </w:r>
    </w:p>
    <w:p>
      <w:pPr>
        <w:pStyle w:val="36"/>
        <w:topLinePunct/>
        <w:ind w:firstLine="560"/>
        <w:rPr>
          <w:rFonts w:ascii="宋体" w:hAnsi="宋体" w:cs="宋体"/>
          <w:color w:val="000000" w:themeColor="text1"/>
          <w:kern w:val="0"/>
          <w:szCs w:val="28"/>
        </w:rPr>
      </w:pPr>
      <w:r>
        <w:rPr>
          <w:rFonts w:hint="eastAsia" w:ascii="宋体" w:hAnsi="宋体" w:cs="宋体"/>
          <w:color w:val="000000" w:themeColor="text1"/>
          <w:kern w:val="0"/>
          <w:szCs w:val="28"/>
        </w:rPr>
        <w:t>（</w:t>
      </w:r>
      <w:r>
        <w:rPr>
          <w:rFonts w:ascii="宋体" w:hAnsi="宋体" w:cs="宋体"/>
          <w:color w:val="000000" w:themeColor="text1"/>
          <w:kern w:val="0"/>
          <w:szCs w:val="28"/>
        </w:rPr>
        <w:t>8）</w:t>
      </w:r>
      <w:r>
        <w:rPr>
          <w:rFonts w:hint="eastAsia"/>
          <w:color w:val="000000" w:themeColor="text1"/>
        </w:rPr>
        <w:t>企业应对预案每三年修订</w:t>
      </w:r>
      <w:r>
        <w:rPr>
          <w:rFonts w:hint="eastAsia" w:ascii="宋体" w:hAnsi="宋体" w:cs="宋体"/>
          <w:color w:val="000000" w:themeColor="text1"/>
          <w:kern w:val="0"/>
          <w:szCs w:val="28"/>
        </w:rPr>
        <w:t>一次；有下列情形之一时，应急预案及时修订：</w:t>
      </w:r>
    </w:p>
    <w:p>
      <w:pPr>
        <w:widowControl/>
        <w:shd w:val="clear" w:color="auto" w:fill="FFFFFF"/>
        <w:ind w:firstLine="560"/>
        <w:jc w:val="left"/>
        <w:rPr>
          <w:rFonts w:ascii="宋体" w:hAnsi="宋体" w:cs="宋体"/>
          <w:kern w:val="0"/>
          <w:szCs w:val="28"/>
          <w:shd w:val="clear" w:color="auto" w:fill="FFFFFF"/>
        </w:rPr>
      </w:pPr>
      <w:r>
        <w:rPr>
          <w:rFonts w:ascii="宋体" w:hAnsi="宋体" w:cs="宋体"/>
          <w:kern w:val="0"/>
          <w:szCs w:val="28"/>
          <w:shd w:val="clear" w:color="auto" w:fill="FFFFFF"/>
        </w:rPr>
        <w:t>1）</w:t>
      </w:r>
      <w:r>
        <w:rPr>
          <w:rFonts w:hint="eastAsia" w:ascii="宋体" w:hAnsi="宋体" w:cs="宋体"/>
          <w:kern w:val="0"/>
          <w:szCs w:val="28"/>
          <w:shd w:val="clear" w:color="auto" w:fill="FFFFFF"/>
        </w:rPr>
        <w:t>依据的法律、法规、规章、标准及上位预案中的有关规定发生重大变化的；</w:t>
      </w:r>
    </w:p>
    <w:p>
      <w:pPr>
        <w:widowControl/>
        <w:shd w:val="clear" w:color="auto" w:fill="FFFFFF"/>
        <w:ind w:left="560" w:leftChars="200" w:firstLine="0" w:firstLineChars="0"/>
        <w:jc w:val="left"/>
        <w:rPr>
          <w:rFonts w:ascii="宋体" w:hAnsi="宋体" w:cs="宋体"/>
          <w:kern w:val="0"/>
          <w:szCs w:val="28"/>
          <w:shd w:val="clear" w:color="auto" w:fill="FFFFFF"/>
        </w:rPr>
      </w:pPr>
      <w:r>
        <w:rPr>
          <w:rFonts w:hint="eastAsia" w:ascii="宋体" w:hAnsi="宋体" w:cs="宋体"/>
          <w:kern w:val="0"/>
          <w:szCs w:val="28"/>
          <w:shd w:val="clear" w:color="auto" w:fill="FFFFFF"/>
        </w:rPr>
        <w:t>2）应急指挥机构及其职责发生调整的；</w:t>
      </w:r>
    </w:p>
    <w:p>
      <w:pPr>
        <w:widowControl/>
        <w:shd w:val="clear" w:color="auto" w:fill="FFFFFF"/>
        <w:ind w:left="560" w:leftChars="200" w:firstLine="0" w:firstLineChars="0"/>
        <w:jc w:val="left"/>
        <w:rPr>
          <w:rFonts w:ascii="宋体" w:hAnsi="宋体" w:cs="宋体"/>
          <w:kern w:val="0"/>
          <w:szCs w:val="28"/>
          <w:shd w:val="clear" w:color="auto" w:fill="FFFFFF"/>
        </w:rPr>
      </w:pPr>
      <w:r>
        <w:rPr>
          <w:rFonts w:hint="eastAsia" w:ascii="宋体" w:hAnsi="宋体" w:cs="宋体"/>
          <w:kern w:val="0"/>
          <w:szCs w:val="28"/>
          <w:shd w:val="clear" w:color="auto" w:fill="FFFFFF"/>
        </w:rPr>
        <w:t>3）面临的事故风险发生重大变化的；</w:t>
      </w:r>
    </w:p>
    <w:p>
      <w:pPr>
        <w:widowControl/>
        <w:shd w:val="clear" w:color="auto" w:fill="FFFFFF"/>
        <w:ind w:left="560" w:leftChars="200" w:firstLine="0" w:firstLineChars="0"/>
        <w:jc w:val="left"/>
        <w:rPr>
          <w:rFonts w:ascii="宋体" w:hAnsi="宋体" w:cs="宋体"/>
          <w:kern w:val="0"/>
          <w:szCs w:val="28"/>
          <w:shd w:val="clear" w:color="auto" w:fill="FFFFFF"/>
        </w:rPr>
      </w:pPr>
      <w:r>
        <w:rPr>
          <w:rFonts w:hint="eastAsia" w:ascii="宋体" w:hAnsi="宋体" w:cs="宋体"/>
          <w:kern w:val="0"/>
          <w:szCs w:val="28"/>
          <w:shd w:val="clear" w:color="auto" w:fill="FFFFFF"/>
        </w:rPr>
        <w:t>4）重要应急资源发生重大变化的；</w:t>
      </w:r>
    </w:p>
    <w:p>
      <w:pPr>
        <w:widowControl/>
        <w:shd w:val="clear" w:color="auto" w:fill="FFFFFF"/>
        <w:ind w:left="560" w:leftChars="200" w:firstLine="0" w:firstLineChars="0"/>
        <w:jc w:val="left"/>
        <w:rPr>
          <w:rFonts w:ascii="宋体" w:hAnsi="宋体" w:cs="宋体"/>
          <w:kern w:val="0"/>
          <w:szCs w:val="28"/>
          <w:shd w:val="clear" w:color="auto" w:fill="FFFFFF"/>
        </w:rPr>
      </w:pPr>
      <w:r>
        <w:rPr>
          <w:rFonts w:hint="eastAsia" w:ascii="宋体" w:hAnsi="宋体" w:cs="宋体"/>
          <w:kern w:val="0"/>
          <w:szCs w:val="28"/>
          <w:shd w:val="clear" w:color="auto" w:fill="FFFFFF"/>
        </w:rPr>
        <w:t>5）预案中的其他重要信息发生变化的；</w:t>
      </w:r>
    </w:p>
    <w:p>
      <w:pPr>
        <w:widowControl/>
        <w:shd w:val="clear" w:color="auto" w:fill="FFFFFF"/>
        <w:ind w:left="560" w:leftChars="200" w:firstLine="0" w:firstLineChars="0"/>
        <w:jc w:val="left"/>
        <w:rPr>
          <w:rFonts w:ascii="宋体" w:hAnsi="宋体" w:cs="宋体"/>
          <w:kern w:val="0"/>
          <w:szCs w:val="28"/>
          <w:shd w:val="clear" w:color="auto" w:fill="FFFFFF"/>
        </w:rPr>
      </w:pPr>
      <w:r>
        <w:rPr>
          <w:rFonts w:hint="eastAsia" w:ascii="宋体" w:hAnsi="宋体" w:cs="宋体"/>
          <w:kern w:val="0"/>
          <w:szCs w:val="28"/>
          <w:shd w:val="clear" w:color="auto" w:fill="FFFFFF"/>
        </w:rPr>
        <w:t>6）在应急演练和事故应急救援中发现问题需要修订的；</w:t>
      </w:r>
    </w:p>
    <w:p>
      <w:pPr>
        <w:widowControl/>
        <w:shd w:val="clear" w:color="auto" w:fill="FFFFFF"/>
        <w:ind w:left="560" w:leftChars="200" w:firstLine="0" w:firstLineChars="0"/>
        <w:jc w:val="left"/>
        <w:rPr>
          <w:rFonts w:ascii="宋体" w:hAnsi="宋体" w:cs="宋体"/>
          <w:color w:val="333333"/>
          <w:szCs w:val="28"/>
        </w:rPr>
      </w:pPr>
      <w:r>
        <w:rPr>
          <w:rFonts w:hint="eastAsia" w:ascii="宋体" w:hAnsi="宋体" w:cs="宋体"/>
          <w:kern w:val="0"/>
          <w:szCs w:val="28"/>
          <w:shd w:val="clear" w:color="auto" w:fill="FFFFFF"/>
        </w:rPr>
        <w:t>7）编制单位认为应当修订的其他情况。</w:t>
      </w:r>
    </w:p>
    <w:p>
      <w:pPr>
        <w:pStyle w:val="36"/>
        <w:topLinePunct/>
        <w:ind w:firstLine="560"/>
        <w:rPr>
          <w:rFonts w:ascii="宋体" w:hAnsi="宋体" w:cs="宋体"/>
          <w:color w:val="000000" w:themeColor="text1"/>
          <w:kern w:val="0"/>
          <w:szCs w:val="28"/>
        </w:rPr>
      </w:pPr>
      <w:r>
        <w:rPr>
          <w:rFonts w:hint="eastAsia" w:ascii="宋体" w:hAnsi="宋体" w:cs="宋体"/>
          <w:color w:val="000000" w:themeColor="text1"/>
          <w:kern w:val="0"/>
          <w:szCs w:val="28"/>
        </w:rPr>
        <w:t>（</w:t>
      </w:r>
      <w:r>
        <w:rPr>
          <w:rFonts w:ascii="宋体" w:hAnsi="宋体" w:cs="宋体"/>
          <w:color w:val="000000" w:themeColor="text1"/>
          <w:kern w:val="0"/>
          <w:szCs w:val="28"/>
        </w:rPr>
        <w:t>9）</w:t>
      </w:r>
      <w:r>
        <w:rPr>
          <w:rFonts w:hint="eastAsia"/>
          <w:color w:val="000000" w:themeColor="text1"/>
        </w:rPr>
        <w:t>发生事故后，应立即启动相关应急预案，积极开展事故救援；应急结束后，应编制应急救援报告。</w:t>
      </w:r>
    </w:p>
    <w:p>
      <w:pPr>
        <w:pStyle w:val="36"/>
        <w:topLinePunct/>
        <w:ind w:left="560" w:leftChars="200" w:firstLine="0" w:firstLineChars="0"/>
        <w:rPr>
          <w:color w:val="000000" w:themeColor="text1"/>
        </w:rPr>
      </w:pPr>
    </w:p>
    <w:p>
      <w:pPr>
        <w:pStyle w:val="36"/>
        <w:topLinePunct/>
        <w:ind w:left="560" w:leftChars="200" w:firstLine="0" w:firstLineChars="0"/>
        <w:rPr>
          <w:color w:val="000000" w:themeColor="text1"/>
        </w:rPr>
      </w:pPr>
    </w:p>
    <w:p>
      <w:pPr>
        <w:pStyle w:val="36"/>
        <w:topLinePunct/>
        <w:ind w:firstLine="0" w:firstLineChars="0"/>
        <w:rPr>
          <w:color w:val="000000" w:themeColor="text1"/>
        </w:rPr>
      </w:pPr>
    </w:p>
    <w:p>
      <w:pPr>
        <w:pStyle w:val="2"/>
        <w:rPr>
          <w:rFonts w:ascii="楷体" w:hAnsi="楷体" w:eastAsia="楷体" w:cs="楷体"/>
          <w:b/>
          <w:bCs w:val="0"/>
          <w:color w:val="000000" w:themeColor="text1"/>
        </w:rPr>
      </w:pPr>
      <w:bookmarkStart w:id="2723" w:name="_Toc39"/>
      <w:bookmarkStart w:id="2724" w:name="_Toc1213"/>
      <w:bookmarkStart w:id="2725" w:name="_Toc31203"/>
      <w:bookmarkStart w:id="2726" w:name="_Toc23063"/>
      <w:bookmarkStart w:id="2727" w:name="_Toc16830"/>
      <w:bookmarkStart w:id="2728" w:name="_Toc3508"/>
      <w:bookmarkStart w:id="2729" w:name="_Toc7617"/>
      <w:bookmarkStart w:id="2730" w:name="_Toc827"/>
      <w:bookmarkStart w:id="2731" w:name="_Toc14206"/>
      <w:bookmarkStart w:id="2732" w:name="_Toc5890"/>
      <w:bookmarkStart w:id="2733" w:name="_Toc27031"/>
      <w:bookmarkStart w:id="2734" w:name="_Toc18625"/>
      <w:bookmarkStart w:id="2735" w:name="_Toc3363"/>
      <w:bookmarkStart w:id="2736" w:name="_Toc8735"/>
      <w:bookmarkStart w:id="2737" w:name="_Toc8362"/>
      <w:bookmarkStart w:id="2738" w:name="_Toc22269"/>
      <w:bookmarkStart w:id="2739" w:name="_Toc11365"/>
      <w:bookmarkStart w:id="2740" w:name="_Toc31198"/>
      <w:bookmarkStart w:id="2741" w:name="_Toc28006"/>
      <w:bookmarkStart w:id="2742" w:name="_Toc18022"/>
      <w:bookmarkStart w:id="2743" w:name="_Toc128056476"/>
      <w:bookmarkStart w:id="2744" w:name="_Toc2525"/>
      <w:bookmarkStart w:id="2745" w:name="_Toc2549"/>
      <w:bookmarkStart w:id="2746" w:name="_Toc12146"/>
      <w:bookmarkStart w:id="2747" w:name="_Toc20090"/>
      <w:bookmarkStart w:id="2748" w:name="_Toc15836"/>
      <w:bookmarkStart w:id="2749" w:name="_Toc28370"/>
      <w:bookmarkStart w:id="2750" w:name="_Toc28010"/>
      <w:bookmarkStart w:id="2751" w:name="_Toc11875"/>
      <w:bookmarkStart w:id="2752" w:name="_Toc8761"/>
      <w:bookmarkStart w:id="2753" w:name="_Toc26290"/>
      <w:bookmarkStart w:id="2754" w:name="_Toc3585"/>
      <w:bookmarkStart w:id="2755" w:name="_Toc30896"/>
      <w:bookmarkStart w:id="2756" w:name="_Toc32161"/>
      <w:bookmarkStart w:id="2757" w:name="_Toc11733"/>
      <w:bookmarkStart w:id="2758" w:name="_Toc12457"/>
      <w:r>
        <w:rPr>
          <w:rFonts w:hint="eastAsia" w:ascii="楷体" w:hAnsi="楷体" w:eastAsia="楷体" w:cs="楷体"/>
          <w:b/>
          <w:bCs w:val="0"/>
          <w:color w:val="000000" w:themeColor="text1"/>
        </w:rPr>
        <w:t>8  安全现状评价结论</w:t>
      </w:r>
      <w:bookmarkEnd w:id="2695"/>
      <w:bookmarkEnd w:id="2722"/>
      <w:bookmarkEnd w:id="2723"/>
      <w:bookmarkEnd w:id="2724"/>
      <w:bookmarkEnd w:id="2725"/>
      <w:bookmarkEnd w:id="2726"/>
      <w:bookmarkEnd w:id="2727"/>
      <w:bookmarkEnd w:id="2728"/>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bookmarkEnd w:id="2745"/>
      <w:bookmarkEnd w:id="2746"/>
      <w:bookmarkEnd w:id="2747"/>
      <w:bookmarkEnd w:id="2748"/>
      <w:bookmarkEnd w:id="2749"/>
      <w:bookmarkEnd w:id="2750"/>
      <w:bookmarkEnd w:id="2751"/>
      <w:bookmarkEnd w:id="2752"/>
      <w:bookmarkEnd w:id="2753"/>
      <w:bookmarkEnd w:id="2754"/>
      <w:bookmarkEnd w:id="2755"/>
      <w:bookmarkEnd w:id="2756"/>
      <w:bookmarkEnd w:id="2757"/>
      <w:bookmarkEnd w:id="2758"/>
    </w:p>
    <w:bookmarkEnd w:id="361"/>
    <w:p>
      <w:pPr>
        <w:pStyle w:val="16"/>
        <w:ind w:firstLine="560"/>
      </w:pPr>
      <w:bookmarkStart w:id="2759" w:name="_Toc15935"/>
      <w:bookmarkStart w:id="2760" w:name="_Toc9276"/>
      <w:bookmarkStart w:id="2761" w:name="_Toc15773"/>
      <w:bookmarkStart w:id="2762" w:name="_Toc118297966"/>
      <w:bookmarkStart w:id="2763" w:name="_Toc5825"/>
      <w:bookmarkStart w:id="2764" w:name="_Toc9773"/>
      <w:bookmarkStart w:id="2765" w:name="_Toc26203"/>
      <w:bookmarkStart w:id="2766" w:name="_Toc27465"/>
      <w:bookmarkStart w:id="2767" w:name="_Toc5232"/>
      <w:bookmarkStart w:id="2768" w:name="_Toc128056477"/>
      <w:bookmarkStart w:id="2769" w:name="_Toc235500182"/>
      <w:bookmarkStart w:id="2770" w:name="_Toc525367390"/>
      <w:bookmarkStart w:id="2771" w:name="_Toc230529483"/>
      <w:bookmarkStart w:id="2772" w:name="_Toc28340"/>
      <w:bookmarkStart w:id="2773" w:name="_Toc420453733"/>
      <w:bookmarkStart w:id="2774" w:name="_Toc20406"/>
      <w:bookmarkStart w:id="2775" w:name="_Toc518768142"/>
      <w:bookmarkStart w:id="2776" w:name="_Toc231615876"/>
      <w:bookmarkStart w:id="2777" w:name="_Toc42724693"/>
      <w:bookmarkStart w:id="2778" w:name="_Toc388949936"/>
      <w:bookmarkStart w:id="2779" w:name="_Toc62740962"/>
      <w:bookmarkStart w:id="2780" w:name="_Toc27498_WPSOffice_Level1"/>
      <w:bookmarkStart w:id="2781" w:name="_Toc31755_WPSOffice_Level1"/>
    </w:p>
    <w:p>
      <w:pPr>
        <w:pStyle w:val="3"/>
        <w:keepNext w:val="0"/>
        <w:keepLines w:val="0"/>
        <w:ind w:firstLine="562"/>
        <w:rPr>
          <w:rFonts w:ascii="黑体" w:hAnsi="黑体" w:eastAsia="黑体" w:cs="黑体"/>
          <w:color w:val="000000" w:themeColor="text1"/>
        </w:rPr>
      </w:pPr>
      <w:bookmarkStart w:id="2782" w:name="_Toc8852"/>
      <w:bookmarkStart w:id="2783" w:name="_Toc30576"/>
      <w:bookmarkStart w:id="2784" w:name="_Toc27559"/>
      <w:bookmarkStart w:id="2785" w:name="_Toc30911"/>
      <w:bookmarkStart w:id="2786" w:name="_Toc30841"/>
      <w:bookmarkStart w:id="2787" w:name="_Toc10447"/>
      <w:bookmarkStart w:id="2788" w:name="_Toc7448"/>
      <w:bookmarkStart w:id="2789" w:name="_Toc15886"/>
      <w:bookmarkStart w:id="2790" w:name="_Toc3426"/>
      <w:bookmarkStart w:id="2791" w:name="_Toc20128"/>
      <w:bookmarkStart w:id="2792" w:name="_Toc1703"/>
      <w:bookmarkStart w:id="2793" w:name="_Toc22194"/>
      <w:bookmarkStart w:id="2794" w:name="_Toc13397"/>
      <w:bookmarkStart w:id="2795" w:name="_Toc12967"/>
      <w:bookmarkStart w:id="2796" w:name="_Toc4548"/>
      <w:bookmarkStart w:id="2797" w:name="_Toc3188"/>
      <w:bookmarkStart w:id="2798" w:name="_Toc1635"/>
      <w:bookmarkStart w:id="2799" w:name="_Toc26951"/>
      <w:bookmarkStart w:id="2800" w:name="_Toc8544"/>
      <w:bookmarkStart w:id="2801" w:name="_Toc190"/>
      <w:bookmarkStart w:id="2802" w:name="_Toc19151"/>
      <w:bookmarkStart w:id="2803" w:name="_Toc916"/>
      <w:bookmarkStart w:id="2804" w:name="_Toc26377"/>
      <w:bookmarkStart w:id="2805" w:name="_Toc31266"/>
      <w:bookmarkStart w:id="2806" w:name="_Toc10019"/>
      <w:r>
        <w:rPr>
          <w:rFonts w:hint="eastAsia" w:ascii="黑体" w:hAnsi="黑体" w:eastAsia="黑体" w:cs="黑体"/>
          <w:color w:val="000000" w:themeColor="text1"/>
        </w:rPr>
        <w:t>8.1 主要危险和有害因素评价结果</w:t>
      </w:r>
      <w:bookmarkEnd w:id="2759"/>
      <w:bookmarkEnd w:id="2760"/>
      <w:bookmarkEnd w:id="2761"/>
      <w:bookmarkEnd w:id="2762"/>
      <w:bookmarkEnd w:id="2763"/>
      <w:bookmarkEnd w:id="2764"/>
      <w:bookmarkEnd w:id="2765"/>
      <w:bookmarkEnd w:id="2766"/>
      <w:bookmarkEnd w:id="2782"/>
      <w:bookmarkEnd w:id="2783"/>
      <w:bookmarkEnd w:id="2784"/>
      <w:bookmarkEnd w:id="2785"/>
      <w:bookmarkEnd w:id="2786"/>
      <w:bookmarkEnd w:id="2787"/>
      <w:bookmarkEnd w:id="2788"/>
      <w:bookmarkEnd w:id="2789"/>
      <w:bookmarkEnd w:id="2790"/>
      <w:bookmarkEnd w:id="2791"/>
      <w:bookmarkEnd w:id="2792"/>
      <w:bookmarkEnd w:id="2793"/>
      <w:bookmarkEnd w:id="2794"/>
      <w:bookmarkEnd w:id="2795"/>
      <w:bookmarkEnd w:id="2796"/>
      <w:bookmarkEnd w:id="2797"/>
      <w:bookmarkEnd w:id="2798"/>
      <w:bookmarkEnd w:id="2799"/>
      <w:bookmarkEnd w:id="2800"/>
      <w:bookmarkEnd w:id="2801"/>
      <w:bookmarkEnd w:id="2802"/>
      <w:bookmarkEnd w:id="2803"/>
      <w:bookmarkEnd w:id="2804"/>
      <w:bookmarkEnd w:id="2805"/>
      <w:bookmarkEnd w:id="2806"/>
    </w:p>
    <w:p>
      <w:pPr>
        <w:pStyle w:val="4"/>
        <w:ind w:firstLine="562"/>
      </w:pPr>
      <w:bookmarkStart w:id="2807" w:name="_Toc5024"/>
      <w:bookmarkStart w:id="2808" w:name="_Toc16738"/>
      <w:bookmarkStart w:id="2809" w:name="_Toc8882"/>
      <w:bookmarkStart w:id="2810" w:name="_Toc3137"/>
      <w:bookmarkStart w:id="2811" w:name="_Toc24434"/>
      <w:bookmarkStart w:id="2812" w:name="_Toc4484"/>
      <w:bookmarkStart w:id="2813" w:name="_Toc13285"/>
      <w:bookmarkStart w:id="2814" w:name="_Toc4564"/>
      <w:bookmarkStart w:id="2815" w:name="_Toc7357"/>
      <w:bookmarkStart w:id="2816" w:name="_Toc118297970"/>
      <w:bookmarkStart w:id="2817" w:name="_Toc29722"/>
      <w:bookmarkStart w:id="2818" w:name="_Toc29006"/>
      <w:bookmarkStart w:id="2819" w:name="_Toc2019"/>
      <w:bookmarkStart w:id="2820" w:name="_Toc12292"/>
      <w:bookmarkStart w:id="2821" w:name="_Toc11413"/>
      <w:bookmarkStart w:id="2822" w:name="_Toc8076"/>
      <w:bookmarkStart w:id="2823" w:name="_Toc28989"/>
      <w:bookmarkStart w:id="2824" w:name="_Toc23858"/>
      <w:bookmarkStart w:id="2825" w:name="_Toc6029"/>
      <w:bookmarkStart w:id="2826" w:name="_Toc3184"/>
      <w:bookmarkStart w:id="2827" w:name="_Toc14455"/>
      <w:bookmarkStart w:id="2828" w:name="_Toc2530"/>
      <w:bookmarkStart w:id="2829" w:name="_Toc28942"/>
      <w:bookmarkStart w:id="2830" w:name="_Toc4139"/>
      <w:bookmarkStart w:id="2831" w:name="_Toc6248"/>
      <w:bookmarkStart w:id="2832" w:name="_Toc118297967"/>
      <w:r>
        <w:rPr>
          <w:rFonts w:hint="eastAsia"/>
        </w:rPr>
        <w:t>8.1.1 单元评价综述</w:t>
      </w:r>
      <w:bookmarkEnd w:id="2807"/>
      <w:bookmarkEnd w:id="2808"/>
      <w:bookmarkEnd w:id="2809"/>
      <w:bookmarkEnd w:id="2810"/>
      <w:bookmarkEnd w:id="2811"/>
      <w:bookmarkEnd w:id="2812"/>
      <w:bookmarkEnd w:id="2813"/>
      <w:bookmarkEnd w:id="2814"/>
      <w:bookmarkEnd w:id="2815"/>
      <w:bookmarkEnd w:id="2816"/>
      <w:bookmarkEnd w:id="2817"/>
      <w:bookmarkEnd w:id="2818"/>
      <w:bookmarkEnd w:id="2819"/>
      <w:bookmarkEnd w:id="2820"/>
      <w:bookmarkEnd w:id="2821"/>
      <w:bookmarkEnd w:id="2822"/>
      <w:bookmarkEnd w:id="2823"/>
      <w:bookmarkEnd w:id="2824"/>
      <w:bookmarkEnd w:id="2825"/>
      <w:bookmarkEnd w:id="2826"/>
      <w:bookmarkEnd w:id="2827"/>
      <w:bookmarkEnd w:id="2828"/>
      <w:bookmarkEnd w:id="2829"/>
    </w:p>
    <w:p>
      <w:pPr>
        <w:ind w:firstLine="560"/>
      </w:pPr>
      <w:bookmarkStart w:id="2833" w:name="_Toc31732"/>
      <w:bookmarkStart w:id="2834" w:name="_Toc128056479"/>
      <w:bookmarkStart w:id="2835" w:name="_Toc420453735"/>
      <w:bookmarkStart w:id="2836" w:name="_Toc5755"/>
      <w:bookmarkStart w:id="2837" w:name="_Toc525367392"/>
      <w:bookmarkStart w:id="2838" w:name="_Toc24905"/>
      <w:r>
        <w:rPr>
          <w:rFonts w:hint="eastAsia"/>
        </w:rPr>
        <w:t>厂址及总平面布置单元</w:t>
      </w:r>
      <w:bookmarkEnd w:id="2833"/>
      <w:bookmarkEnd w:id="2834"/>
      <w:bookmarkEnd w:id="2835"/>
      <w:bookmarkEnd w:id="2836"/>
      <w:bookmarkEnd w:id="2837"/>
      <w:bookmarkEnd w:id="2838"/>
      <w:bookmarkStart w:id="2839" w:name="_Toc420453736"/>
      <w:bookmarkStart w:id="2840" w:name="_Toc525367393"/>
      <w:r>
        <w:rPr>
          <w:rFonts w:hint="eastAsia"/>
        </w:rPr>
        <w:t>：</w:t>
      </w:r>
      <w:r>
        <w:rPr>
          <w:rFonts w:hint="eastAsia"/>
          <w:color w:val="000000" w:themeColor="text1"/>
        </w:rPr>
        <w:t>项目厂址及</w:t>
      </w:r>
      <w:r>
        <w:rPr>
          <w:color w:val="000000" w:themeColor="text1"/>
        </w:rPr>
        <w:t>总平面布置符合《工业企业总平面设计规范》(GB50187-2012)</w:t>
      </w:r>
      <w:r>
        <w:rPr>
          <w:rFonts w:hint="eastAsia"/>
          <w:color w:val="000000" w:themeColor="text1"/>
        </w:rPr>
        <w:t>、</w:t>
      </w:r>
      <w:r>
        <w:rPr>
          <w:color w:val="000000" w:themeColor="text1"/>
        </w:rPr>
        <w:t>《化工企业安全卫生设计规范》(HG20571-2014)、《建筑设计防火规范</w:t>
      </w:r>
      <w:r>
        <w:rPr>
          <w:rFonts w:hint="eastAsia"/>
          <w:color w:val="000000" w:themeColor="text1"/>
        </w:rPr>
        <w:t>（</w:t>
      </w:r>
      <w:r>
        <w:rPr>
          <w:color w:val="000000" w:themeColor="text1"/>
        </w:rPr>
        <w:t>2018年版</w:t>
      </w:r>
      <w:r>
        <w:rPr>
          <w:rFonts w:hint="eastAsia"/>
          <w:color w:val="000000" w:themeColor="text1"/>
        </w:rPr>
        <w:t>）》</w:t>
      </w:r>
      <w:r>
        <w:rPr>
          <w:color w:val="000000" w:themeColor="text1"/>
        </w:rPr>
        <w:t>(GB50016-2014)等标准、规范的要求。</w:t>
      </w:r>
    </w:p>
    <w:p>
      <w:pPr>
        <w:ind w:firstLine="560"/>
      </w:pPr>
      <w:bookmarkStart w:id="2841" w:name="_Toc128056480"/>
      <w:bookmarkStart w:id="2842" w:name="_Toc32145"/>
      <w:bookmarkStart w:id="2843" w:name="_Toc27308"/>
      <w:bookmarkStart w:id="2844" w:name="_Toc2366"/>
      <w:r>
        <w:rPr>
          <w:rFonts w:hint="eastAsia"/>
        </w:rPr>
        <w:t>生产工艺及设备设施单元</w:t>
      </w:r>
      <w:bookmarkEnd w:id="2839"/>
      <w:bookmarkEnd w:id="2840"/>
      <w:bookmarkEnd w:id="2841"/>
      <w:bookmarkEnd w:id="2842"/>
      <w:bookmarkEnd w:id="2843"/>
      <w:bookmarkEnd w:id="2844"/>
      <w:bookmarkStart w:id="2845" w:name="_Toc525367396"/>
      <w:bookmarkStart w:id="2846" w:name="_Toc420453739"/>
      <w:r>
        <w:rPr>
          <w:rFonts w:hint="eastAsia"/>
        </w:rPr>
        <w:t>：</w:t>
      </w:r>
      <w:r>
        <w:rPr>
          <w:rFonts w:hint="eastAsia" w:ascii="宋体" w:hAnsi="宋体" w:cs="Tahoma"/>
          <w:color w:val="000000" w:themeColor="text1"/>
          <w:szCs w:val="28"/>
        </w:rPr>
        <w:t>项目</w:t>
      </w:r>
      <w:r>
        <w:rPr>
          <w:rFonts w:ascii="宋体" w:hAnsi="宋体" w:cs="Tahoma"/>
          <w:color w:val="000000" w:themeColor="text1"/>
          <w:szCs w:val="28"/>
        </w:rPr>
        <w:t>生产工艺</w:t>
      </w:r>
      <w:r>
        <w:rPr>
          <w:rFonts w:hint="eastAsia" w:ascii="宋体" w:hAnsi="宋体" w:cs="Tahoma"/>
          <w:color w:val="000000" w:themeColor="text1"/>
          <w:szCs w:val="28"/>
        </w:rPr>
        <w:t>及设备设施不属于国家明令禁止使用或淘汰的，生产工艺过程及设备设施符合相关安全规范。</w:t>
      </w:r>
    </w:p>
    <w:p>
      <w:pPr>
        <w:ind w:firstLine="560"/>
      </w:pPr>
      <w:bookmarkStart w:id="2847" w:name="_Toc128056481"/>
      <w:bookmarkStart w:id="2848" w:name="_Toc14996"/>
      <w:bookmarkStart w:id="2849" w:name="_Toc24697"/>
      <w:bookmarkStart w:id="2850" w:name="_Toc25748"/>
      <w:r>
        <w:rPr>
          <w:rFonts w:hint="eastAsia"/>
        </w:rPr>
        <w:t>公用工程及辅助设施单元</w:t>
      </w:r>
      <w:bookmarkEnd w:id="2845"/>
      <w:bookmarkEnd w:id="2846"/>
      <w:bookmarkEnd w:id="2847"/>
      <w:bookmarkEnd w:id="2848"/>
      <w:bookmarkEnd w:id="2849"/>
      <w:bookmarkEnd w:id="2850"/>
      <w:bookmarkStart w:id="2851" w:name="_Toc420453740"/>
      <w:bookmarkStart w:id="2852" w:name="_Toc525367397"/>
      <w:bookmarkStart w:id="2853" w:name="_Toc128056482"/>
      <w:r>
        <w:rPr>
          <w:rFonts w:hint="eastAsia"/>
        </w:rPr>
        <w:t>：</w:t>
      </w:r>
      <w:r>
        <w:rPr>
          <w:rFonts w:hint="eastAsia"/>
          <w:color w:val="000000" w:themeColor="text1"/>
        </w:rPr>
        <w:t>项目供配电、给排水及消防设施</w:t>
      </w:r>
      <w:r>
        <w:rPr>
          <w:color w:val="000000" w:themeColor="text1"/>
        </w:rPr>
        <w:t>能满足安全生产需求，消防设施、灭火器的配置及用电管理符合国家法规标准要求。</w:t>
      </w:r>
    </w:p>
    <w:p>
      <w:pPr>
        <w:ind w:firstLine="560"/>
        <w:rPr>
          <w:color w:val="000000" w:themeColor="text1"/>
        </w:rPr>
      </w:pPr>
      <w:bookmarkStart w:id="2854" w:name="_Toc28453"/>
      <w:bookmarkStart w:id="2855" w:name="_Toc9216"/>
      <w:bookmarkStart w:id="2856" w:name="_Toc23595"/>
      <w:r>
        <w:rPr>
          <w:rFonts w:hint="eastAsia"/>
        </w:rPr>
        <w:t>安全管理及应急救援单元</w:t>
      </w:r>
      <w:bookmarkEnd w:id="2851"/>
      <w:bookmarkEnd w:id="2852"/>
      <w:bookmarkEnd w:id="2853"/>
      <w:bookmarkEnd w:id="2854"/>
      <w:bookmarkEnd w:id="2855"/>
      <w:bookmarkEnd w:id="2856"/>
      <w:r>
        <w:rPr>
          <w:rFonts w:hint="eastAsia"/>
        </w:rPr>
        <w:t>：</w:t>
      </w:r>
      <w:r>
        <w:rPr>
          <w:rFonts w:hint="eastAsia" w:ascii="宋体" w:hAnsi="宋体"/>
          <w:color w:val="000000" w:themeColor="text1"/>
          <w:szCs w:val="28"/>
        </w:rPr>
        <w:t>公司主要负责人及专职安全生产管理人员取得安全生产知识和管理能力考核合格证，持证上岗；特种作业人员经有资格培训单位进行培训、考核、取证后持证上岗；为从业人员配备有劳动防护用品；建立了安全生产责任制、</w:t>
      </w:r>
      <w:r>
        <w:rPr>
          <w:rFonts w:hint="eastAsia" w:hAnsi="宋体"/>
          <w:color w:val="000000" w:themeColor="text1"/>
        </w:rPr>
        <w:t>安全管理制度、安全操作规程，编制了</w:t>
      </w:r>
      <w:r>
        <w:rPr>
          <w:rFonts w:hint="eastAsia" w:ascii="宋体" w:hAnsi="宋体" w:cs="宋体"/>
          <w:szCs w:val="28"/>
        </w:rPr>
        <w:t>生产安全</w:t>
      </w:r>
      <w:r>
        <w:rPr>
          <w:rFonts w:hint="eastAsia" w:hAnsi="宋体"/>
          <w:color w:val="000000" w:themeColor="text1"/>
        </w:rPr>
        <w:t>事故应急预案并到应急管局备案；</w:t>
      </w:r>
      <w:r>
        <w:rPr>
          <w:rFonts w:hint="eastAsia" w:ascii="宋体" w:hAnsi="宋体"/>
          <w:color w:val="000000" w:themeColor="text1"/>
          <w:szCs w:val="28"/>
        </w:rPr>
        <w:t>配备了相应急器材及设施，并定期组织演练。</w:t>
      </w:r>
      <w:r>
        <w:rPr>
          <w:rFonts w:hint="eastAsia"/>
          <w:color w:val="000000" w:themeColor="text1"/>
        </w:rPr>
        <w:t>项目</w:t>
      </w:r>
      <w:r>
        <w:rPr>
          <w:color w:val="000000" w:themeColor="text1"/>
        </w:rPr>
        <w:t>的安全管理符合国家法规文件要求。</w:t>
      </w:r>
    </w:p>
    <w:p>
      <w:pPr>
        <w:ind w:firstLine="560"/>
      </w:pPr>
      <w:r>
        <w:rPr>
          <w:rFonts w:hint="eastAsia"/>
        </w:rPr>
        <w:t>重大安全隐患判定符合性分析评价：项目不</w:t>
      </w:r>
      <w:r>
        <w:rPr>
          <w:rFonts w:hint="eastAsia"/>
          <w:color w:val="000000" w:themeColor="text1"/>
        </w:rPr>
        <w:t>存在《国家安全监管总局关于印发&lt;化工和危险化学品生产经营单位重大生产安全事故隐患判定标准（试行）&gt;&lt;烟花爆竹生产经营单位重大生产安全事故隐患判定标准（试行）&gt;的通知》（安监总管三[2017]121号）规定的重大事故隐患。</w:t>
      </w:r>
    </w:p>
    <w:p>
      <w:pPr>
        <w:ind w:firstLine="560"/>
      </w:pPr>
      <w:r>
        <w:rPr>
          <w:rFonts w:hint="eastAsia"/>
        </w:rPr>
        <w:t>安全生产许可证换证条件评价：本项目安全生产条件符合《危险化学品生产企业安全生产许可证实施办法》(</w:t>
      </w:r>
      <w:r>
        <w:rPr>
          <w:color w:val="000000" w:themeColor="text1"/>
        </w:rPr>
        <w:t>国家安全生产监督管理总局令第41号，第79号第一次修正，第89号第二次修正</w:t>
      </w:r>
      <w:r>
        <w:rPr>
          <w:rFonts w:hint="eastAsia"/>
        </w:rPr>
        <w:t>)的相关要求。</w:t>
      </w:r>
    </w:p>
    <w:p>
      <w:pPr>
        <w:pStyle w:val="4"/>
        <w:ind w:firstLine="562"/>
      </w:pPr>
      <w:bookmarkStart w:id="2857" w:name="_Toc12707"/>
      <w:bookmarkStart w:id="2858" w:name="_Toc20642"/>
      <w:bookmarkStart w:id="2859" w:name="_Toc8251"/>
      <w:bookmarkStart w:id="2860" w:name="_Toc6878"/>
      <w:bookmarkStart w:id="2861" w:name="_Toc10598"/>
      <w:bookmarkStart w:id="2862" w:name="_Toc5958"/>
      <w:bookmarkStart w:id="2863" w:name="_Toc28336"/>
      <w:bookmarkStart w:id="2864" w:name="_Toc12931"/>
      <w:bookmarkStart w:id="2865" w:name="_Toc13777"/>
      <w:bookmarkStart w:id="2866" w:name="_Toc10366"/>
      <w:bookmarkStart w:id="2867" w:name="_Toc13376"/>
      <w:bookmarkStart w:id="2868" w:name="_Toc16996"/>
      <w:bookmarkStart w:id="2869" w:name="_Toc5478"/>
      <w:bookmarkStart w:id="2870" w:name="_Toc31813"/>
      <w:bookmarkStart w:id="2871" w:name="_Toc123"/>
      <w:bookmarkStart w:id="2872" w:name="_Toc28556"/>
      <w:bookmarkStart w:id="2873" w:name="_Toc10698"/>
      <w:bookmarkStart w:id="2874" w:name="_Toc2059"/>
      <w:bookmarkStart w:id="2875" w:name="_Toc11731"/>
      <w:bookmarkStart w:id="2876" w:name="_Toc20125"/>
      <w:r>
        <w:rPr>
          <w:rFonts w:hint="eastAsia"/>
        </w:rPr>
        <w:t>8.1.2 存在的主要危险、有害物质</w:t>
      </w:r>
      <w:bookmarkEnd w:id="2830"/>
      <w:bookmarkEnd w:id="2831"/>
      <w:bookmarkEnd w:id="2832"/>
      <w:bookmarkEnd w:id="2857"/>
      <w:bookmarkEnd w:id="2858"/>
      <w:bookmarkEnd w:id="2859"/>
      <w:bookmarkEnd w:id="2860"/>
      <w:bookmarkEnd w:id="2861"/>
      <w:bookmarkEnd w:id="2862"/>
      <w:bookmarkEnd w:id="2863"/>
      <w:bookmarkEnd w:id="2864"/>
      <w:bookmarkEnd w:id="2865"/>
      <w:bookmarkEnd w:id="2866"/>
      <w:bookmarkEnd w:id="2867"/>
      <w:bookmarkEnd w:id="2868"/>
      <w:bookmarkEnd w:id="2869"/>
      <w:bookmarkEnd w:id="2870"/>
      <w:bookmarkEnd w:id="2871"/>
      <w:bookmarkEnd w:id="2872"/>
      <w:bookmarkEnd w:id="2873"/>
      <w:bookmarkEnd w:id="2874"/>
      <w:bookmarkEnd w:id="2875"/>
      <w:bookmarkEnd w:id="2876"/>
    </w:p>
    <w:p>
      <w:pPr>
        <w:pStyle w:val="62"/>
        <w:topLinePunct/>
        <w:ind w:firstLine="560"/>
        <w:rPr>
          <w:rFonts w:ascii="宋体" w:hAnsi="宋体"/>
          <w:color w:val="auto"/>
          <w:szCs w:val="28"/>
        </w:rPr>
      </w:pPr>
      <w:r>
        <w:rPr>
          <w:rFonts w:hint="eastAsia"/>
        </w:rPr>
        <w:t>跃进化工存在的主要危险、有害物质有：</w:t>
      </w:r>
      <w:bookmarkStart w:id="2877" w:name="_Toc118297968"/>
      <w:r>
        <w:rPr>
          <w:rFonts w:hint="eastAsia"/>
          <w:color w:val="000000" w:themeColor="text1"/>
        </w:rPr>
        <w:t>生产中使用和产生的危险物质主要有</w:t>
      </w:r>
      <w:r>
        <w:rPr>
          <w:rFonts w:hint="eastAsia"/>
          <w:color w:val="auto"/>
          <w:kern w:val="0"/>
          <w:szCs w:val="28"/>
        </w:rPr>
        <w:t>硫酸、二氧化硫、三氧化硫、双氧水、五氧化二钒及柴油</w:t>
      </w:r>
      <w:r>
        <w:rPr>
          <w:rFonts w:hint="eastAsia"/>
        </w:rPr>
        <w:t>。</w:t>
      </w:r>
    </w:p>
    <w:p>
      <w:pPr>
        <w:pStyle w:val="4"/>
        <w:ind w:firstLine="562"/>
      </w:pPr>
      <w:bookmarkStart w:id="2878" w:name="_Toc13903"/>
      <w:bookmarkStart w:id="2879" w:name="_Toc22788"/>
      <w:bookmarkStart w:id="2880" w:name="_Toc10272"/>
      <w:bookmarkStart w:id="2881" w:name="_Toc10683"/>
      <w:bookmarkStart w:id="2882" w:name="_Toc18965"/>
      <w:bookmarkStart w:id="2883" w:name="_Toc19421"/>
      <w:bookmarkStart w:id="2884" w:name="_Toc23604"/>
      <w:bookmarkStart w:id="2885" w:name="_Toc6508"/>
      <w:bookmarkStart w:id="2886" w:name="_Toc21515"/>
      <w:bookmarkStart w:id="2887" w:name="_Toc31122"/>
      <w:bookmarkStart w:id="2888" w:name="_Toc29673"/>
      <w:bookmarkStart w:id="2889" w:name="_Toc25398"/>
      <w:bookmarkStart w:id="2890" w:name="_Toc4295"/>
      <w:bookmarkStart w:id="2891" w:name="_Toc25561"/>
      <w:bookmarkStart w:id="2892" w:name="_Toc18784"/>
      <w:bookmarkStart w:id="2893" w:name="_Toc13556"/>
      <w:bookmarkStart w:id="2894" w:name="_Toc20538"/>
      <w:bookmarkStart w:id="2895" w:name="_Toc1554"/>
      <w:bookmarkStart w:id="2896" w:name="_Toc2129"/>
      <w:bookmarkStart w:id="2897" w:name="_Toc19758"/>
      <w:bookmarkStart w:id="2898" w:name="_Toc4878"/>
      <w:bookmarkStart w:id="2899" w:name="_Toc15664"/>
      <w:r>
        <w:rPr>
          <w:rFonts w:hint="eastAsia"/>
        </w:rPr>
        <w:t>8.1.3 存在的主要</w:t>
      </w:r>
      <w:bookmarkEnd w:id="2877"/>
      <w:bookmarkEnd w:id="2878"/>
      <w:bookmarkEnd w:id="2879"/>
      <w:bookmarkEnd w:id="2880"/>
      <w:bookmarkEnd w:id="2881"/>
      <w:bookmarkEnd w:id="2882"/>
      <w:bookmarkEnd w:id="2883"/>
      <w:r>
        <w:rPr>
          <w:rFonts w:hint="eastAsia"/>
        </w:rPr>
        <w:t>危险和有害因素</w:t>
      </w:r>
      <w:bookmarkEnd w:id="2884"/>
      <w:bookmarkEnd w:id="2885"/>
      <w:bookmarkEnd w:id="2886"/>
      <w:bookmarkEnd w:id="2887"/>
      <w:bookmarkEnd w:id="2888"/>
      <w:bookmarkEnd w:id="2889"/>
      <w:bookmarkEnd w:id="2890"/>
      <w:bookmarkEnd w:id="2891"/>
      <w:bookmarkEnd w:id="2892"/>
      <w:bookmarkEnd w:id="2893"/>
      <w:bookmarkEnd w:id="2894"/>
      <w:bookmarkEnd w:id="2895"/>
      <w:bookmarkEnd w:id="2896"/>
      <w:bookmarkEnd w:id="2897"/>
      <w:bookmarkEnd w:id="2898"/>
      <w:bookmarkEnd w:id="2899"/>
    </w:p>
    <w:p>
      <w:pPr>
        <w:ind w:firstLine="560"/>
      </w:pPr>
      <w:r>
        <w:rPr>
          <w:rFonts w:hint="eastAsia"/>
        </w:rPr>
        <w:t>跃进化工在生产过程中主要存在的危险有害因素为：</w:t>
      </w:r>
      <w:bookmarkStart w:id="2900" w:name="_Hlk68533365"/>
      <w:r>
        <w:rPr>
          <w:rFonts w:hint="eastAsia" w:ascii="宋体" w:hAnsi="宋体"/>
          <w:color w:val="auto"/>
          <w:szCs w:val="28"/>
        </w:rPr>
        <w:t>中毒窒息、化学灼伤、腐蚀、灼烫、机械伤害、电气伤害、物体打击、高处坠落、起重伤害、车辆伤害、淹溺、噪声、火灾、爆炸、尘粉伤害</w:t>
      </w:r>
      <w:bookmarkEnd w:id="2900"/>
      <w:r>
        <w:rPr>
          <w:rFonts w:hint="eastAsia"/>
          <w:color w:val="auto"/>
        </w:rPr>
        <w:t>等危险和有害因素</w:t>
      </w:r>
      <w:r>
        <w:rPr>
          <w:rFonts w:hint="eastAsia"/>
        </w:rPr>
        <w:t>。</w:t>
      </w:r>
    </w:p>
    <w:p>
      <w:pPr>
        <w:ind w:firstLine="560"/>
      </w:pPr>
      <w:r>
        <w:rPr>
          <w:rFonts w:hint="eastAsia"/>
        </w:rPr>
        <w:t>一旦发生上述安全事故，将会造成人员伤亡、财产损失，环境破坏。针对上述危险有害因素，企业应采取有效的安全对策措施加以防范和控制。</w:t>
      </w:r>
    </w:p>
    <w:bookmarkEnd w:id="2767"/>
    <w:bookmarkEnd w:id="2768"/>
    <w:bookmarkEnd w:id="2769"/>
    <w:bookmarkEnd w:id="2770"/>
    <w:bookmarkEnd w:id="2771"/>
    <w:bookmarkEnd w:id="2772"/>
    <w:bookmarkEnd w:id="2773"/>
    <w:bookmarkEnd w:id="2774"/>
    <w:p>
      <w:pPr>
        <w:pStyle w:val="3"/>
        <w:keepNext w:val="0"/>
        <w:keepLines w:val="0"/>
        <w:ind w:firstLine="562"/>
        <w:rPr>
          <w:rFonts w:ascii="黑体" w:hAnsi="黑体" w:eastAsia="黑体" w:cs="黑体"/>
        </w:rPr>
      </w:pPr>
      <w:bookmarkStart w:id="2901" w:name="_Toc29073"/>
      <w:bookmarkStart w:id="2902" w:name="_Toc28423"/>
      <w:bookmarkStart w:id="2903" w:name="_Toc13509"/>
      <w:bookmarkStart w:id="2904" w:name="_Toc25843"/>
      <w:bookmarkStart w:id="2905" w:name="_Toc18383"/>
      <w:bookmarkStart w:id="2906" w:name="_Toc1997"/>
      <w:bookmarkStart w:id="2907" w:name="_Toc10942"/>
      <w:bookmarkStart w:id="2908" w:name="_Toc15916"/>
      <w:bookmarkStart w:id="2909" w:name="_Toc1780"/>
      <w:bookmarkStart w:id="2910" w:name="_Toc11043"/>
      <w:bookmarkStart w:id="2911" w:name="_Toc27346"/>
      <w:bookmarkStart w:id="2912" w:name="_Toc4761"/>
      <w:bookmarkStart w:id="2913" w:name="_Toc118297969"/>
      <w:bookmarkStart w:id="2914" w:name="_Toc13422"/>
      <w:bookmarkStart w:id="2915" w:name="_Toc19"/>
      <w:bookmarkStart w:id="2916" w:name="_Toc27419"/>
      <w:bookmarkStart w:id="2917" w:name="_Toc14174"/>
      <w:bookmarkStart w:id="2918" w:name="_Toc5960"/>
      <w:bookmarkStart w:id="2919" w:name="_Toc22968"/>
      <w:bookmarkStart w:id="2920" w:name="_Toc21342"/>
      <w:bookmarkStart w:id="2921" w:name="_Toc13968"/>
      <w:bookmarkStart w:id="2922" w:name="_Toc24672"/>
      <w:bookmarkStart w:id="2923" w:name="_Toc8604"/>
      <w:bookmarkStart w:id="2924" w:name="_Toc4220"/>
      <w:bookmarkStart w:id="2925" w:name="_Toc30719"/>
      <w:bookmarkStart w:id="2926" w:name="_Toc2478"/>
      <w:bookmarkStart w:id="2927" w:name="_Toc14616"/>
      <w:bookmarkStart w:id="2928" w:name="_Toc835"/>
      <w:bookmarkStart w:id="2929" w:name="_Toc3649"/>
      <w:bookmarkStart w:id="2930" w:name="_Toc31028"/>
      <w:bookmarkStart w:id="2931" w:name="_Toc20902"/>
      <w:bookmarkStart w:id="2932" w:name="_Toc11193"/>
      <w:bookmarkStart w:id="2933" w:name="_Toc8274"/>
      <w:bookmarkStart w:id="2934" w:name="_Toc19242"/>
      <w:bookmarkStart w:id="2935" w:name="_Toc128056483"/>
      <w:bookmarkStart w:id="2936" w:name="_Toc28695"/>
      <w:bookmarkStart w:id="2937" w:name="_Toc10958"/>
      <w:bookmarkStart w:id="2938" w:name="_Toc1313"/>
      <w:bookmarkStart w:id="2939" w:name="_Toc2678"/>
      <w:bookmarkStart w:id="2940" w:name="_Toc29653"/>
      <w:bookmarkStart w:id="2941" w:name="_Toc3825"/>
      <w:bookmarkStart w:id="2942" w:name="_Toc24822"/>
      <w:bookmarkStart w:id="2943" w:name="_Toc22164"/>
      <w:bookmarkStart w:id="2944" w:name="_Toc31426"/>
      <w:bookmarkStart w:id="2945" w:name="_Toc31519"/>
      <w:bookmarkStart w:id="2946" w:name="_Toc9468"/>
      <w:bookmarkStart w:id="2947" w:name="_Toc678"/>
      <w:bookmarkStart w:id="2948" w:name="_Toc31484"/>
      <w:bookmarkStart w:id="2949" w:name="_Toc1079"/>
      <w:bookmarkStart w:id="2950" w:name="_Toc26704"/>
      <w:bookmarkStart w:id="2951" w:name="_Toc7734"/>
      <w:bookmarkStart w:id="2952" w:name="_Toc6013"/>
      <w:bookmarkStart w:id="2953" w:name="_Toc2826"/>
      <w:bookmarkStart w:id="2954" w:name="_Toc4378"/>
      <w:bookmarkStart w:id="2955" w:name="_Toc15676"/>
      <w:bookmarkStart w:id="2956" w:name="_Toc300"/>
      <w:bookmarkStart w:id="2957" w:name="_Toc18110"/>
      <w:bookmarkStart w:id="2958" w:name="_Toc32377"/>
      <w:bookmarkStart w:id="2959" w:name="_Toc13988"/>
      <w:bookmarkStart w:id="2960" w:name="_Toc17466"/>
      <w:bookmarkStart w:id="2961" w:name="_Toc31933"/>
      <w:r>
        <w:rPr>
          <w:rFonts w:hint="eastAsia" w:ascii="黑体" w:hAnsi="黑体" w:eastAsia="黑体" w:cs="黑体"/>
        </w:rPr>
        <w:t>8.2 本项目应重点防范的重大事故</w:t>
      </w:r>
      <w:bookmarkEnd w:id="2901"/>
      <w:bookmarkEnd w:id="2902"/>
      <w:bookmarkEnd w:id="2903"/>
      <w:bookmarkEnd w:id="2904"/>
      <w:bookmarkEnd w:id="2905"/>
      <w:bookmarkEnd w:id="2906"/>
      <w:bookmarkEnd w:id="2907"/>
      <w:bookmarkEnd w:id="2908"/>
      <w:bookmarkEnd w:id="2909"/>
      <w:bookmarkEnd w:id="2910"/>
      <w:bookmarkEnd w:id="2911"/>
      <w:bookmarkEnd w:id="2912"/>
      <w:bookmarkEnd w:id="2913"/>
      <w:bookmarkEnd w:id="2914"/>
      <w:bookmarkEnd w:id="2915"/>
      <w:bookmarkEnd w:id="2916"/>
      <w:bookmarkEnd w:id="2917"/>
      <w:bookmarkEnd w:id="2918"/>
      <w:bookmarkEnd w:id="2919"/>
      <w:bookmarkEnd w:id="2920"/>
      <w:bookmarkEnd w:id="2921"/>
      <w:bookmarkEnd w:id="2922"/>
      <w:bookmarkEnd w:id="2923"/>
      <w:bookmarkEnd w:id="2924"/>
      <w:bookmarkEnd w:id="2925"/>
      <w:bookmarkEnd w:id="2926"/>
      <w:bookmarkEnd w:id="2927"/>
      <w:bookmarkEnd w:id="2928"/>
      <w:bookmarkEnd w:id="2929"/>
      <w:bookmarkEnd w:id="2930"/>
      <w:bookmarkEnd w:id="2931"/>
      <w:bookmarkEnd w:id="2932"/>
      <w:bookmarkEnd w:id="2933"/>
    </w:p>
    <w:p>
      <w:pPr>
        <w:ind w:firstLine="560"/>
      </w:pPr>
      <w:r>
        <w:rPr>
          <w:rFonts w:hint="eastAsia"/>
        </w:rPr>
        <w:t>本项目应重点防范的重大事故：（1）</w:t>
      </w:r>
      <w:r>
        <w:rPr>
          <w:rFonts w:hint="eastAsia" w:ascii="宋体" w:hAnsi="宋体"/>
          <w:color w:val="auto"/>
          <w:szCs w:val="28"/>
        </w:rPr>
        <w:t>酸性腐蚀品</w:t>
      </w:r>
      <w:r>
        <w:rPr>
          <w:rFonts w:hint="eastAsia"/>
        </w:rPr>
        <w:t>；（2）</w:t>
      </w:r>
      <w:r>
        <w:rPr>
          <w:rFonts w:hint="eastAsia" w:ascii="宋体" w:hAnsi="宋体"/>
          <w:color w:val="auto"/>
          <w:szCs w:val="28"/>
        </w:rPr>
        <w:t>机械伤害；（3）中毒；（4）灼烫。</w:t>
      </w:r>
    </w:p>
    <w:p>
      <w:pPr>
        <w:pStyle w:val="3"/>
        <w:keepNext w:val="0"/>
        <w:keepLines w:val="0"/>
        <w:ind w:firstLine="562"/>
        <w:rPr>
          <w:rFonts w:ascii="黑体" w:hAnsi="黑体" w:eastAsia="黑体" w:cs="黑体"/>
        </w:rPr>
      </w:pPr>
      <w:bookmarkStart w:id="2962" w:name="_Toc31024"/>
      <w:bookmarkStart w:id="2963" w:name="_Toc5384"/>
      <w:bookmarkStart w:id="2964" w:name="_Toc32207"/>
      <w:bookmarkStart w:id="2965" w:name="_Toc12566"/>
      <w:bookmarkStart w:id="2966" w:name="_Toc22276"/>
      <w:bookmarkStart w:id="2967" w:name="_Toc724"/>
      <w:bookmarkStart w:id="2968" w:name="_Toc24571"/>
      <w:bookmarkStart w:id="2969" w:name="_Toc20159"/>
      <w:r>
        <w:rPr>
          <w:rFonts w:hint="eastAsia" w:ascii="黑体" w:hAnsi="黑体" w:eastAsia="黑体" w:cs="黑体"/>
        </w:rPr>
        <w:t>8.3 评价结论</w:t>
      </w:r>
      <w:bookmarkEnd w:id="2775"/>
      <w:bookmarkEnd w:id="2776"/>
      <w:bookmarkEnd w:id="2777"/>
      <w:bookmarkEnd w:id="2778"/>
      <w:bookmarkEnd w:id="2934"/>
      <w:bookmarkEnd w:id="2935"/>
      <w:bookmarkEnd w:id="2936"/>
      <w:bookmarkEnd w:id="2937"/>
      <w:bookmarkEnd w:id="2938"/>
      <w:bookmarkEnd w:id="2939"/>
      <w:bookmarkEnd w:id="2940"/>
      <w:bookmarkEnd w:id="2941"/>
      <w:bookmarkEnd w:id="2942"/>
      <w:bookmarkEnd w:id="2943"/>
      <w:bookmarkEnd w:id="2944"/>
      <w:bookmarkEnd w:id="2945"/>
      <w:bookmarkEnd w:id="2946"/>
      <w:bookmarkEnd w:id="2947"/>
      <w:bookmarkEnd w:id="2948"/>
      <w:bookmarkEnd w:id="2949"/>
      <w:bookmarkEnd w:id="2950"/>
      <w:bookmarkEnd w:id="2951"/>
      <w:bookmarkEnd w:id="2952"/>
      <w:bookmarkEnd w:id="2953"/>
      <w:bookmarkEnd w:id="2954"/>
      <w:bookmarkEnd w:id="2955"/>
      <w:bookmarkEnd w:id="2956"/>
      <w:bookmarkEnd w:id="2957"/>
      <w:bookmarkEnd w:id="2958"/>
      <w:bookmarkEnd w:id="2959"/>
      <w:bookmarkEnd w:id="2960"/>
      <w:bookmarkEnd w:id="2961"/>
      <w:bookmarkEnd w:id="2962"/>
      <w:bookmarkEnd w:id="2963"/>
      <w:bookmarkEnd w:id="2964"/>
      <w:bookmarkEnd w:id="2965"/>
      <w:bookmarkEnd w:id="2966"/>
      <w:bookmarkEnd w:id="2967"/>
      <w:bookmarkEnd w:id="2968"/>
      <w:bookmarkEnd w:id="2969"/>
    </w:p>
    <w:p>
      <w:pPr>
        <w:ind w:firstLine="560"/>
      </w:pPr>
      <w:r>
        <w:rPr>
          <w:rFonts w:hint="eastAsia"/>
        </w:rPr>
        <w:t>昭通市鼎安科技有限公司受漾濞县跃进化工有限责任公司的委托，依据相关法律法规的要求，对跃进化工的安全生产管理、总平面布置、生产工艺、设备设施等方面分单元进行了分析评价，经评价组综合分析评价，作出如下结论：</w:t>
      </w:r>
    </w:p>
    <w:p>
      <w:pPr>
        <w:ind w:firstLine="560"/>
      </w:pPr>
      <w:r>
        <w:rPr>
          <w:rFonts w:hint="eastAsia"/>
        </w:rPr>
        <w:t>（1）本企业营业执照、安全生产许可证、危险化学品登记证均合法有效，且在有效期内。</w:t>
      </w:r>
    </w:p>
    <w:p>
      <w:pPr>
        <w:ind w:firstLine="560"/>
      </w:pPr>
      <w:r>
        <w:rPr>
          <w:rFonts w:hint="eastAsia"/>
        </w:rPr>
        <w:t>（2）本企业总平面布置方面符合国家相关规范的要求。</w:t>
      </w:r>
    </w:p>
    <w:p>
      <w:pPr>
        <w:ind w:firstLine="560"/>
      </w:pPr>
      <w:r>
        <w:rPr>
          <w:rFonts w:hint="eastAsia"/>
        </w:rPr>
        <w:t>（3）本企业生产装置采用的生产充装工艺和设备均属于国内比较成熟的工艺、设备，没有国家明令淘汰、禁止使用的危及生产安全的工艺、设备。生产工艺、设施设备符合相关法律、法规及标准规范的要求。</w:t>
      </w:r>
    </w:p>
    <w:p>
      <w:pPr>
        <w:ind w:firstLine="560"/>
      </w:pPr>
      <w:r>
        <w:rPr>
          <w:rFonts w:hint="eastAsia"/>
        </w:rPr>
        <w:t>（4）本企业设置的安全设施及采取的安全防护措施合理、有效，符合相关法律法规的要求。</w:t>
      </w:r>
    </w:p>
    <w:p>
      <w:pPr>
        <w:ind w:firstLine="560"/>
      </w:pPr>
      <w:r>
        <w:rPr>
          <w:rFonts w:hint="eastAsia"/>
        </w:rPr>
        <w:t>（5）本企业供配电、给排水、防雷防静电、消防等公辅设施的设置及采取的安全措施符合国家相关法律、法规及标准规范的要求。</w:t>
      </w:r>
    </w:p>
    <w:p>
      <w:pPr>
        <w:ind w:firstLine="560"/>
      </w:pPr>
      <w:r>
        <w:rPr>
          <w:rFonts w:hint="eastAsia"/>
        </w:rPr>
        <w:t>（6）公司结合自身实际，成立安全生产委员会，任命专职安全员，主要负责人负责公司的安全工作；主要负责人、安全生产管理人员取得</w:t>
      </w:r>
      <w:r>
        <w:rPr>
          <w:rFonts w:hint="eastAsia" w:ascii="宋体" w:hAnsi="宋体"/>
          <w:color w:val="000000" w:themeColor="text1"/>
          <w:szCs w:val="28"/>
        </w:rPr>
        <w:t>安全生产知识和管理能力考核合格证</w:t>
      </w:r>
      <w:r>
        <w:rPr>
          <w:rFonts w:hint="eastAsia"/>
        </w:rPr>
        <w:t>，特种作业人员进行相应的技术培训并取得相应的资质证，持证上岗；各级人员安全职责明确，各级安全生产责任制、安全管理制度、各工序安全操作规程、应急救援预案健全、可行。</w:t>
      </w:r>
    </w:p>
    <w:p>
      <w:pPr>
        <w:ind w:firstLine="560"/>
      </w:pPr>
      <w:r>
        <w:rPr>
          <w:rFonts w:hint="eastAsia"/>
        </w:rPr>
        <w:t>（7）企业为从业人员配发了劳动保护用品，购买了安全责任险，并根据国家相关法规要求足额提取安全专项资金用于改善安全生产条件。</w:t>
      </w:r>
    </w:p>
    <w:p>
      <w:pPr>
        <w:ind w:firstLine="560"/>
      </w:pPr>
      <w:r>
        <w:rPr>
          <w:rFonts w:hint="eastAsia"/>
        </w:rPr>
        <w:t>（8）取证以来，严格按照国家相关法律法规及省、州应急管理部门的相关规定组织生产，对各种生产、工艺、技术、检修规程严格要求和执行，生产正常，本次安全生产批准周期内没有发生过生产安全事故。</w:t>
      </w:r>
    </w:p>
    <w:p>
      <w:pPr>
        <w:ind w:firstLine="560"/>
      </w:pPr>
      <w:r>
        <w:rPr>
          <w:rFonts w:hint="eastAsia"/>
        </w:rPr>
        <w:t>（9）针对存在问题，企业积极进行了整改。</w:t>
      </w:r>
    </w:p>
    <w:p>
      <w:pPr>
        <w:ind w:firstLine="560"/>
      </w:pPr>
      <w:r>
        <w:rPr>
          <w:rFonts w:hint="eastAsia"/>
        </w:rPr>
        <w:t>（10）本项目安全生产许可证换证条件符合《危险化学品生产企业安全生产许可证实施办法》（</w:t>
      </w:r>
      <w:r>
        <w:rPr>
          <w:color w:val="000000" w:themeColor="text1"/>
        </w:rPr>
        <w:t>国家安全生产监督管理总局令第41号，第79号第一次修正，第89号第二次修正</w:t>
      </w:r>
      <w:r>
        <w:rPr>
          <w:rFonts w:hint="eastAsia"/>
        </w:rPr>
        <w:t>）的有关规定。</w:t>
      </w:r>
    </w:p>
    <w:p>
      <w:pPr>
        <w:ind w:firstLine="562"/>
        <w:rPr>
          <w:b/>
          <w:bCs/>
        </w:rPr>
      </w:pPr>
      <w:r>
        <w:rPr>
          <w:rFonts w:hint="eastAsia"/>
          <w:b/>
          <w:bCs/>
        </w:rPr>
        <w:t>综上所述：</w:t>
      </w:r>
      <w:r>
        <w:rPr>
          <w:rFonts w:hint="eastAsia"/>
          <w:b/>
        </w:rPr>
        <w:t>漾濞县跃进化工有限责任公司</w:t>
      </w:r>
      <w:r>
        <w:rPr>
          <w:rFonts w:hint="eastAsia"/>
          <w:b/>
          <w:bCs/>
        </w:rPr>
        <w:t>安全生产条件符合国家有关安全生产方面的法律、法规、规章、标准、规范的要求，其现状具备安全生产条件。</w:t>
      </w:r>
    </w:p>
    <w:p>
      <w:pPr>
        <w:ind w:firstLine="560"/>
        <w:rPr>
          <w:color w:val="000000" w:themeColor="text1"/>
        </w:rPr>
      </w:pPr>
      <w:r>
        <w:rPr>
          <w:rFonts w:hint="eastAsia"/>
          <w:color w:val="000000" w:themeColor="text1"/>
        </w:rPr>
        <w:t>企业在今后的生产过程中，应根据生产条件的变化，把安全管理工作贯穿于生产的全过程，不断完善企业安全管理，依靠科技进步提升安全技术水平，防止安全事故的发生，实现本质化安全，切实保障人民生命和财产的安全。</w:t>
      </w:r>
    </w:p>
    <w:p>
      <w:pPr>
        <w:pStyle w:val="2"/>
        <w:rPr>
          <w:rFonts w:ascii="楷体" w:hAnsi="楷体" w:eastAsia="楷体" w:cs="楷体"/>
          <w:b/>
          <w:bCs w:val="0"/>
          <w:color w:val="000000" w:themeColor="text1"/>
        </w:rPr>
      </w:pPr>
      <w:bookmarkStart w:id="2970" w:name="_Toc17833"/>
      <w:bookmarkStart w:id="2971" w:name="_Toc6369"/>
      <w:bookmarkStart w:id="2972" w:name="_Toc942"/>
      <w:bookmarkStart w:id="2973" w:name="_Toc4202"/>
      <w:bookmarkStart w:id="2974" w:name="_Toc29867"/>
      <w:bookmarkStart w:id="2975" w:name="_Toc17515"/>
      <w:bookmarkStart w:id="2976" w:name="_Toc2987"/>
      <w:bookmarkStart w:id="2977" w:name="_Toc15411"/>
      <w:bookmarkStart w:id="2978" w:name="_Toc25514"/>
      <w:bookmarkStart w:id="2979" w:name="_Toc31892"/>
      <w:bookmarkStart w:id="2980" w:name="_Toc17090"/>
      <w:bookmarkStart w:id="2981" w:name="_Toc25482"/>
      <w:bookmarkStart w:id="2982" w:name="_Toc24380"/>
      <w:bookmarkStart w:id="2983" w:name="_Toc32274"/>
      <w:bookmarkStart w:id="2984" w:name="_Toc21973"/>
      <w:bookmarkStart w:id="2985" w:name="_Toc1748"/>
      <w:bookmarkStart w:id="2986" w:name="_Toc12501"/>
      <w:bookmarkStart w:id="2987" w:name="_Toc30220"/>
      <w:bookmarkStart w:id="2988" w:name="_Toc4151"/>
      <w:bookmarkStart w:id="2989" w:name="_Toc10341"/>
      <w:bookmarkStart w:id="2990" w:name="_Toc9916"/>
      <w:bookmarkStart w:id="2991" w:name="_Toc128056484"/>
      <w:bookmarkStart w:id="2992" w:name="_Toc16114"/>
      <w:bookmarkStart w:id="2993" w:name="_Toc25147"/>
      <w:bookmarkStart w:id="2994" w:name="_Toc13288"/>
      <w:bookmarkStart w:id="2995" w:name="_Toc30510"/>
      <w:bookmarkStart w:id="2996" w:name="_Toc10891"/>
      <w:bookmarkStart w:id="2997" w:name="_Toc30615"/>
      <w:bookmarkStart w:id="2998" w:name="_Toc21886"/>
      <w:bookmarkStart w:id="2999" w:name="_Toc22669"/>
      <w:bookmarkStart w:id="3000" w:name="_Toc21322"/>
      <w:bookmarkStart w:id="3001" w:name="_Toc29547"/>
      <w:bookmarkStart w:id="3002" w:name="_Toc223"/>
      <w:bookmarkStart w:id="3003" w:name="_Toc7475"/>
      <w:bookmarkStart w:id="3004" w:name="_Toc125057672"/>
      <w:bookmarkStart w:id="3005" w:name="_Toc8729"/>
      <w:bookmarkStart w:id="3006" w:name="_Toc14894"/>
      <w:r>
        <w:rPr>
          <w:rFonts w:hint="eastAsia" w:ascii="楷体" w:hAnsi="楷体" w:eastAsia="楷体" w:cs="楷体"/>
          <w:b/>
          <w:bCs w:val="0"/>
          <w:color w:val="000000" w:themeColor="text1"/>
        </w:rPr>
        <w:t>9  与</w:t>
      </w:r>
      <w:r>
        <w:rPr>
          <w:rFonts w:hint="eastAsia" w:ascii="楷体" w:hAnsi="楷体" w:eastAsia="楷体" w:cs="楷体"/>
          <w:b/>
          <w:bCs w:val="0"/>
          <w:color w:val="000000" w:themeColor="text1"/>
          <w:lang w:val="en-US" w:eastAsia="zh-CN"/>
        </w:rPr>
        <w:t>被评价</w:t>
      </w:r>
      <w:r>
        <w:rPr>
          <w:rFonts w:hint="eastAsia" w:ascii="楷体" w:hAnsi="楷体" w:eastAsia="楷体" w:cs="楷体"/>
          <w:b/>
          <w:bCs w:val="0"/>
          <w:color w:val="000000" w:themeColor="text1"/>
        </w:rPr>
        <w:t>单位交换意见的情况结果</w:t>
      </w:r>
      <w:bookmarkEnd w:id="2970"/>
      <w:bookmarkEnd w:id="2971"/>
      <w:bookmarkEnd w:id="2972"/>
      <w:bookmarkEnd w:id="2973"/>
      <w:bookmarkEnd w:id="2974"/>
      <w:bookmarkEnd w:id="2975"/>
      <w:bookmarkEnd w:id="2976"/>
      <w:bookmarkEnd w:id="2977"/>
      <w:bookmarkEnd w:id="2978"/>
      <w:bookmarkEnd w:id="2979"/>
      <w:bookmarkEnd w:id="2980"/>
      <w:bookmarkEnd w:id="2981"/>
      <w:bookmarkEnd w:id="2982"/>
      <w:bookmarkEnd w:id="2983"/>
      <w:bookmarkEnd w:id="2984"/>
      <w:bookmarkEnd w:id="2985"/>
      <w:bookmarkEnd w:id="2986"/>
      <w:bookmarkEnd w:id="2987"/>
      <w:bookmarkEnd w:id="2988"/>
      <w:bookmarkEnd w:id="2989"/>
      <w:bookmarkEnd w:id="2990"/>
      <w:bookmarkEnd w:id="2991"/>
      <w:bookmarkEnd w:id="2992"/>
      <w:bookmarkEnd w:id="2993"/>
      <w:bookmarkEnd w:id="2994"/>
      <w:bookmarkEnd w:id="2995"/>
      <w:bookmarkEnd w:id="2996"/>
      <w:bookmarkEnd w:id="2997"/>
      <w:bookmarkEnd w:id="2998"/>
      <w:bookmarkEnd w:id="2999"/>
      <w:bookmarkEnd w:id="3000"/>
      <w:bookmarkEnd w:id="3001"/>
      <w:bookmarkEnd w:id="3002"/>
      <w:bookmarkEnd w:id="3003"/>
      <w:bookmarkEnd w:id="3004"/>
      <w:bookmarkEnd w:id="3005"/>
      <w:bookmarkEnd w:id="3006"/>
    </w:p>
    <w:bookmarkEnd w:id="2779"/>
    <w:p>
      <w:pPr>
        <w:topLinePunct/>
        <w:ind w:firstLine="560"/>
      </w:pPr>
    </w:p>
    <w:p>
      <w:pPr>
        <w:topLinePunct/>
        <w:ind w:firstLine="560"/>
        <w:rPr>
          <w:rFonts w:ascii="宋体" w:hAnsi="宋体" w:cs="宋体"/>
          <w:color w:val="000000" w:themeColor="text1"/>
          <w:szCs w:val="28"/>
        </w:rPr>
      </w:pPr>
      <w:r>
        <w:rPr>
          <w:rFonts w:hint="eastAsia"/>
        </w:rPr>
        <w:t>漾濞县跃进化工有限责任公司为办理《危险化学品安全生产许可证》换证手续，委托昭通市鼎安科技有限公司对漾濞县跃进化工有限责任公司</w:t>
      </w:r>
      <w:r>
        <w:rPr>
          <w:rFonts w:hint="eastAsia" w:ascii="宋体" w:hAnsi="宋体" w:cs="宋体"/>
          <w:color w:val="000000" w:themeColor="text1"/>
          <w:szCs w:val="28"/>
        </w:rPr>
        <w:t>生产项目</w:t>
      </w:r>
      <w:r>
        <w:rPr>
          <w:rFonts w:hint="eastAsia"/>
          <w:color w:val="000000" w:themeColor="text1"/>
        </w:rPr>
        <w:t>涉及到的厂址、总图布置、周边环境、生产工艺装置、公用工程、安全设施及安全管理</w:t>
      </w:r>
      <w:r>
        <w:rPr>
          <w:rFonts w:hint="eastAsia"/>
        </w:rPr>
        <w:t>等安全工作进行安全现状评价。评价组于2024年3月12日，进入该企业现场，在企业负责人的陪同下，对其现场进行了检查，随后对其安全管理和安全责任制进行了查阅。经现场检查，</w:t>
      </w:r>
      <w:r>
        <w:rPr>
          <w:rFonts w:hint="eastAsia"/>
          <w:lang w:val="en-US" w:eastAsia="zh-CN"/>
        </w:rPr>
        <w:t>被评价单位于2023年2月14日取得安全生产标准化三级证书，并且按照要求每年进行一次自评，</w:t>
      </w:r>
      <w:r>
        <w:rPr>
          <w:rFonts w:hint="eastAsia"/>
        </w:rPr>
        <w:t>评价组对检查中发现的问题，向该企业提出了整改的安全措施建议，该企业负责人同意尽快进行整改完善。</w:t>
      </w:r>
    </w:p>
    <w:p>
      <w:pPr>
        <w:ind w:firstLine="560"/>
        <w:rPr>
          <w:b/>
          <w:bCs/>
        </w:rPr>
      </w:pPr>
      <w:r>
        <w:rPr>
          <w:rFonts w:hint="eastAsia"/>
        </w:rPr>
        <w:t>在评价报告编制过程中，评价组向该企业提出了补充安全措施建议，</w:t>
      </w:r>
      <w:r>
        <w:rPr>
          <w:rFonts w:hint="eastAsia"/>
          <w:lang w:val="en-US" w:eastAsia="zh-CN"/>
        </w:rPr>
        <w:t>主要负责人安全生产管理和知识考核证书将到期，应及时进行复审换证；</w:t>
      </w:r>
      <w:r>
        <w:rPr>
          <w:rFonts w:hint="eastAsia"/>
        </w:rPr>
        <w:t>特种设备及附件</w:t>
      </w:r>
      <w:r>
        <w:rPr>
          <w:rFonts w:hint="eastAsia" w:ascii="宋体" w:hAnsi="宋体" w:cs="宋体"/>
          <w:szCs w:val="28"/>
        </w:rPr>
        <w:t>将到期，应按时进行定检，对</w:t>
      </w:r>
      <w:r>
        <w:rPr>
          <w:rFonts w:hint="eastAsia"/>
        </w:rPr>
        <w:t>腐蚀严重的生产设备及设施进行更换，同时不断完善安全管理制度及操作规程、建立应急值班制度，提高安全管理水平。</w:t>
      </w:r>
    </w:p>
    <w:p>
      <w:pPr>
        <w:topLinePunct/>
        <w:ind w:left="562" w:firstLine="0" w:firstLineChars="0"/>
        <w:rPr>
          <w:rFonts w:ascii="宋体" w:hAnsi="宋体"/>
          <w:color w:val="000000" w:themeColor="text1"/>
        </w:rPr>
      </w:pPr>
    </w:p>
    <w:p>
      <w:pPr>
        <w:ind w:firstLine="560"/>
        <w:rPr>
          <w:rFonts w:ascii="宋体" w:hAnsi="宋体"/>
          <w:color w:val="000000" w:themeColor="text1"/>
        </w:rPr>
      </w:pPr>
    </w:p>
    <w:p>
      <w:pPr>
        <w:pStyle w:val="37"/>
        <w:ind w:firstLine="560"/>
        <w:rPr>
          <w:rFonts w:ascii="宋体" w:hAnsi="宋体"/>
          <w:color w:val="000000" w:themeColor="text1"/>
        </w:rPr>
      </w:pPr>
    </w:p>
    <w:p>
      <w:pPr>
        <w:ind w:firstLine="560"/>
        <w:rPr>
          <w:rFonts w:ascii="宋体" w:hAnsi="宋体"/>
          <w:color w:val="000000" w:themeColor="text1"/>
        </w:rPr>
      </w:pPr>
    </w:p>
    <w:p>
      <w:pPr>
        <w:pStyle w:val="37"/>
        <w:ind w:firstLine="560"/>
        <w:rPr>
          <w:rFonts w:ascii="宋体" w:hAnsi="宋体"/>
          <w:color w:val="000000" w:themeColor="text1"/>
        </w:rPr>
      </w:pPr>
    </w:p>
    <w:p>
      <w:pPr>
        <w:ind w:firstLine="560"/>
        <w:rPr>
          <w:rFonts w:ascii="宋体" w:hAnsi="宋体"/>
          <w:color w:val="000000" w:themeColor="text1"/>
        </w:rPr>
      </w:pPr>
    </w:p>
    <w:p>
      <w:pPr>
        <w:pStyle w:val="37"/>
        <w:ind w:firstLine="560"/>
        <w:rPr>
          <w:rFonts w:ascii="宋体" w:hAnsi="宋体"/>
          <w:color w:val="000000" w:themeColor="text1"/>
        </w:rPr>
      </w:pPr>
    </w:p>
    <w:p>
      <w:pPr>
        <w:ind w:firstLine="560"/>
        <w:rPr>
          <w:rFonts w:ascii="宋体" w:hAnsi="宋体"/>
          <w:color w:val="000000" w:themeColor="text1"/>
        </w:rPr>
      </w:pPr>
    </w:p>
    <w:p>
      <w:pPr>
        <w:pStyle w:val="37"/>
        <w:ind w:firstLine="560"/>
        <w:rPr>
          <w:rFonts w:ascii="宋体" w:hAnsi="宋体"/>
          <w:color w:val="000000" w:themeColor="text1"/>
        </w:rPr>
      </w:pPr>
    </w:p>
    <w:p>
      <w:pPr>
        <w:ind w:firstLine="560"/>
        <w:rPr>
          <w:rFonts w:ascii="宋体" w:hAnsi="宋体"/>
          <w:color w:val="000000" w:themeColor="text1"/>
        </w:rPr>
      </w:pPr>
    </w:p>
    <w:p>
      <w:pPr>
        <w:pStyle w:val="37"/>
        <w:ind w:firstLine="560"/>
        <w:rPr>
          <w:rFonts w:ascii="宋体" w:hAnsi="宋体"/>
          <w:color w:val="000000" w:themeColor="text1"/>
        </w:rPr>
      </w:pPr>
    </w:p>
    <w:p>
      <w:pPr>
        <w:pStyle w:val="37"/>
        <w:ind w:firstLine="0" w:firstLineChars="0"/>
        <w:rPr>
          <w:rFonts w:ascii="宋体" w:hAnsi="宋体"/>
          <w:color w:val="000000" w:themeColor="text1"/>
        </w:rPr>
      </w:pPr>
    </w:p>
    <w:p>
      <w:pPr>
        <w:pStyle w:val="37"/>
        <w:ind w:firstLine="0" w:firstLineChars="0"/>
        <w:rPr>
          <w:rFonts w:ascii="宋体" w:hAnsi="宋体"/>
          <w:color w:val="000000" w:themeColor="text1"/>
          <w:szCs w:val="28"/>
        </w:rPr>
      </w:pPr>
    </w:p>
    <w:p>
      <w:pPr>
        <w:ind w:firstLine="560"/>
        <w:rPr>
          <w:rFonts w:ascii="宋体" w:hAnsi="宋体"/>
          <w:color w:val="000000" w:themeColor="text1"/>
          <w:szCs w:val="28"/>
        </w:rPr>
      </w:pPr>
    </w:p>
    <w:p>
      <w:pPr>
        <w:ind w:firstLine="560"/>
        <w:rPr>
          <w:rFonts w:ascii="宋体" w:hAnsi="宋体"/>
          <w:color w:val="000000" w:themeColor="text1"/>
          <w:szCs w:val="28"/>
        </w:rPr>
      </w:pPr>
    </w:p>
    <w:p>
      <w:pPr>
        <w:ind w:firstLine="560"/>
        <w:rPr>
          <w:rFonts w:ascii="宋体" w:hAnsi="宋体"/>
          <w:color w:val="000000" w:themeColor="text1"/>
          <w:szCs w:val="28"/>
        </w:rPr>
      </w:pPr>
    </w:p>
    <w:p>
      <w:pPr>
        <w:widowControl/>
        <w:ind w:firstLine="0" w:firstLineChars="0"/>
        <w:jc w:val="center"/>
        <w:rPr>
          <w:rFonts w:ascii="宋体" w:hAnsi="宋体" w:cs="宋体"/>
          <w:b/>
          <w:bCs/>
          <w:kern w:val="0"/>
          <w:sz w:val="44"/>
          <w:szCs w:val="44"/>
        </w:rPr>
      </w:pPr>
      <w:bookmarkStart w:id="3007" w:name="_Toc10124"/>
      <w:bookmarkStart w:id="3008" w:name="_Toc18786"/>
      <w:bookmarkStart w:id="3009" w:name="_Toc7195"/>
      <w:bookmarkStart w:id="3010" w:name="_Toc42724695"/>
      <w:bookmarkStart w:id="3011" w:name="_Toc128056486"/>
      <w:bookmarkStart w:id="3012" w:name="_Toc62740965"/>
      <w:r>
        <w:rPr>
          <w:rFonts w:hint="eastAsia" w:ascii="宋体" w:hAnsi="宋体" w:cs="宋体-18030"/>
          <w:b/>
          <w:color w:val="000000" w:themeColor="text1"/>
          <w:sz w:val="44"/>
          <w:szCs w:val="44"/>
        </w:rPr>
        <w:t>漾濞县跃进化工有限责任公司</w:t>
      </w:r>
    </w:p>
    <w:p>
      <w:pPr>
        <w:ind w:firstLine="0" w:firstLineChars="0"/>
        <w:jc w:val="center"/>
        <w:rPr>
          <w:rFonts w:ascii="宋体" w:hAnsi="宋体" w:cs="宋体-18030"/>
          <w:color w:val="000000" w:themeColor="text1"/>
          <w:szCs w:val="28"/>
        </w:rPr>
      </w:pPr>
    </w:p>
    <w:p>
      <w:pPr>
        <w:ind w:firstLine="0" w:firstLineChars="0"/>
        <w:jc w:val="center"/>
        <w:rPr>
          <w:rFonts w:ascii="宋体" w:hAnsi="宋体" w:cs="宋体-18030"/>
          <w:b/>
          <w:bCs/>
          <w:color w:val="000000" w:themeColor="text1"/>
          <w:sz w:val="44"/>
          <w:szCs w:val="44"/>
        </w:rPr>
      </w:pPr>
      <w:r>
        <w:rPr>
          <w:rFonts w:hint="eastAsia" w:ascii="宋体" w:hAnsi="宋体" w:cs="宋体-18030"/>
          <w:b/>
          <w:bCs/>
          <w:color w:val="000000" w:themeColor="text1"/>
          <w:sz w:val="44"/>
          <w:szCs w:val="44"/>
        </w:rPr>
        <w:t>12万t/a硫酸生产装置</w:t>
      </w:r>
    </w:p>
    <w:p>
      <w:pPr>
        <w:pStyle w:val="16"/>
        <w:ind w:firstLine="0" w:firstLineChars="0"/>
      </w:pPr>
    </w:p>
    <w:p>
      <w:pPr>
        <w:ind w:firstLine="0" w:firstLineChars="0"/>
        <w:jc w:val="center"/>
        <w:rPr>
          <w:rFonts w:ascii="宋体" w:hAnsi="宋体" w:cs="宋体"/>
          <w:b/>
          <w:color w:val="000000" w:themeColor="text1"/>
          <w:sz w:val="52"/>
          <w:szCs w:val="52"/>
        </w:rPr>
      </w:pPr>
      <w:r>
        <w:rPr>
          <w:rFonts w:hint="eastAsia" w:ascii="宋体" w:hAnsi="宋体" w:cs="宋体"/>
          <w:b/>
          <w:color w:val="000000" w:themeColor="text1"/>
          <w:sz w:val="52"/>
          <w:szCs w:val="52"/>
        </w:rPr>
        <w:t>安全现状评价报告附件</w:t>
      </w:r>
    </w:p>
    <w:p>
      <w:pPr>
        <w:pStyle w:val="2"/>
        <w:rPr>
          <w:rFonts w:ascii="楷体" w:hAnsi="楷体" w:eastAsia="楷体" w:cs="楷体"/>
          <w:b/>
          <w:bCs w:val="0"/>
          <w:color w:val="000000" w:themeColor="text1"/>
        </w:rPr>
      </w:pPr>
      <w:bookmarkStart w:id="3013" w:name="_Toc32676"/>
      <w:bookmarkStart w:id="3014" w:name="_Toc1361"/>
      <w:bookmarkStart w:id="3015" w:name="_Toc15418"/>
      <w:bookmarkStart w:id="3016" w:name="_Toc24077"/>
      <w:bookmarkStart w:id="3017" w:name="_Toc29581"/>
      <w:bookmarkStart w:id="3018" w:name="_Toc12659"/>
      <w:bookmarkStart w:id="3019" w:name="_Toc4997"/>
      <w:bookmarkStart w:id="3020" w:name="_Toc118297973"/>
      <w:bookmarkStart w:id="3021" w:name="_Toc2235"/>
      <w:bookmarkStart w:id="3022" w:name="_Toc118131115"/>
      <w:bookmarkStart w:id="3023" w:name="_Toc23735"/>
      <w:bookmarkStart w:id="3024" w:name="_Toc23953"/>
      <w:bookmarkStart w:id="3025" w:name="_Toc2405"/>
      <w:bookmarkStart w:id="3026" w:name="_Toc20076"/>
      <w:bookmarkStart w:id="3027" w:name="_Toc21654"/>
      <w:bookmarkStart w:id="3028" w:name="_Toc19835"/>
      <w:bookmarkStart w:id="3029" w:name="_Toc3338"/>
      <w:bookmarkStart w:id="3030" w:name="_Toc30116"/>
      <w:bookmarkStart w:id="3031" w:name="_Toc25012"/>
      <w:bookmarkStart w:id="3032" w:name="_Toc11454"/>
      <w:bookmarkStart w:id="3033" w:name="_Toc24076"/>
      <w:bookmarkStart w:id="3034" w:name="_Toc7976"/>
      <w:bookmarkStart w:id="3035" w:name="_Toc8734"/>
      <w:bookmarkStart w:id="3036" w:name="_Toc13232"/>
      <w:bookmarkStart w:id="3037" w:name="_Toc20140"/>
      <w:bookmarkStart w:id="3038" w:name="_Toc29168"/>
      <w:bookmarkStart w:id="3039" w:name="_Toc1685"/>
      <w:bookmarkStart w:id="3040" w:name="_Toc15986"/>
      <w:bookmarkStart w:id="3041" w:name="_Toc20373"/>
      <w:bookmarkStart w:id="3042" w:name="_Toc10161"/>
      <w:bookmarkStart w:id="3043" w:name="_Toc22096"/>
      <w:bookmarkStart w:id="3044" w:name="_Toc31955"/>
      <w:bookmarkStart w:id="3045" w:name="_Toc5225"/>
      <w:bookmarkStart w:id="3046" w:name="_Toc16652"/>
      <w:r>
        <w:rPr>
          <w:rFonts w:hint="eastAsia" w:ascii="楷体" w:hAnsi="楷体" w:eastAsia="楷体" w:cs="楷体"/>
          <w:b/>
          <w:bCs w:val="0"/>
          <w:color w:val="000000" w:themeColor="text1"/>
        </w:rPr>
        <w:t>F1  项目图表文件</w:t>
      </w:r>
      <w:bookmarkEnd w:id="3013"/>
      <w:bookmarkEnd w:id="3014"/>
      <w:bookmarkEnd w:id="3015"/>
      <w:bookmarkEnd w:id="3016"/>
      <w:bookmarkEnd w:id="3017"/>
      <w:bookmarkEnd w:id="3018"/>
      <w:bookmarkEnd w:id="3019"/>
      <w:bookmarkEnd w:id="3020"/>
      <w:bookmarkEnd w:id="3021"/>
      <w:bookmarkEnd w:id="3022"/>
      <w:bookmarkEnd w:id="3023"/>
      <w:bookmarkEnd w:id="3024"/>
      <w:bookmarkEnd w:id="3025"/>
      <w:bookmarkEnd w:id="3026"/>
      <w:bookmarkEnd w:id="3027"/>
      <w:bookmarkEnd w:id="3028"/>
      <w:bookmarkEnd w:id="3029"/>
      <w:bookmarkEnd w:id="3030"/>
      <w:bookmarkEnd w:id="3031"/>
      <w:bookmarkEnd w:id="3032"/>
      <w:bookmarkEnd w:id="3033"/>
      <w:bookmarkEnd w:id="3034"/>
      <w:bookmarkEnd w:id="3035"/>
      <w:bookmarkEnd w:id="3036"/>
      <w:bookmarkEnd w:id="3037"/>
      <w:bookmarkEnd w:id="3038"/>
      <w:bookmarkEnd w:id="3039"/>
      <w:bookmarkEnd w:id="3040"/>
      <w:bookmarkEnd w:id="3041"/>
      <w:bookmarkEnd w:id="3042"/>
      <w:bookmarkEnd w:id="3043"/>
      <w:bookmarkEnd w:id="3044"/>
      <w:bookmarkEnd w:id="3045"/>
      <w:bookmarkEnd w:id="3046"/>
      <w:bookmarkStart w:id="3047" w:name="_Toc19676"/>
      <w:bookmarkStart w:id="3048" w:name="_Toc19143"/>
      <w:bookmarkStart w:id="3049" w:name="_Toc5833"/>
      <w:bookmarkStart w:id="3050" w:name="_Toc12757"/>
      <w:bookmarkStart w:id="3051" w:name="_Toc118131117"/>
      <w:bookmarkStart w:id="3052" w:name="_Toc118297975"/>
      <w:bookmarkStart w:id="3053" w:name="_Toc22059"/>
      <w:bookmarkStart w:id="3054" w:name="_Toc26031"/>
      <w:bookmarkStart w:id="3055" w:name="_Toc30601"/>
      <w:bookmarkStart w:id="3056" w:name="_Toc11697"/>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outlineLvl w:val="9"/>
        <w:rPr>
          <w:rFonts w:ascii="黑体" w:hAnsi="黑体" w:eastAsia="黑体" w:cs="黑体"/>
        </w:rPr>
      </w:pPr>
      <w:bookmarkStart w:id="3057" w:name="_Toc19803"/>
      <w:bookmarkStart w:id="3058" w:name="_Toc3413"/>
      <w:bookmarkStart w:id="3059" w:name="_Toc9885"/>
      <w:bookmarkStart w:id="3060" w:name="_Toc2828"/>
      <w:bookmarkStart w:id="3061" w:name="_Toc11361"/>
      <w:bookmarkStart w:id="3062" w:name="_Toc15973"/>
      <w:bookmarkStart w:id="3063" w:name="_Toc29358"/>
      <w:bookmarkStart w:id="3064" w:name="_Toc1366"/>
      <w:bookmarkStart w:id="3065" w:name="_Toc26477"/>
      <w:bookmarkStart w:id="3066" w:name="_Toc11900"/>
      <w:bookmarkStart w:id="3067" w:name="_Toc16669"/>
      <w:bookmarkStart w:id="3068" w:name="_Toc7604"/>
      <w:bookmarkStart w:id="3069" w:name="_Toc21839"/>
      <w:bookmarkStart w:id="3070" w:name="_Toc508"/>
      <w:bookmarkStart w:id="3071" w:name="_Toc14362"/>
      <w:bookmarkStart w:id="3072" w:name="_Toc16817"/>
      <w:bookmarkStart w:id="3073" w:name="_Toc21026"/>
      <w:bookmarkStart w:id="3074" w:name="_Toc25594"/>
      <w:bookmarkStart w:id="3075" w:name="_Toc24590"/>
      <w:r>
        <w:rPr>
          <w:rFonts w:hint="eastAsia" w:ascii="黑体" w:hAnsi="黑体" w:eastAsia="黑体" w:cs="黑体"/>
          <w:lang w:val="en-US" w:eastAsia="zh-CN"/>
        </w:rPr>
        <w:t xml:space="preserve">                                                                                                                                                                                                                                                                                                                                                                                                                                                                                                                                                                                                                                                                                                                                                                                                                                                                                                                                                                                                                                                                                                                                                                                                                                                                                                                                                                                                                 </w:t>
      </w:r>
      <w:r>
        <w:rPr>
          <w:rFonts w:hint="eastAsia" w:ascii="黑体" w:hAnsi="黑体" w:eastAsia="黑体" w:cs="黑体"/>
        </w:rPr>
        <w:t>F1.1 安全设施清单</w:t>
      </w:r>
      <w:bookmarkEnd w:id="3047"/>
      <w:bookmarkEnd w:id="3048"/>
      <w:bookmarkEnd w:id="3049"/>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bookmarkEnd w:id="3064"/>
      <w:bookmarkEnd w:id="3065"/>
      <w:bookmarkEnd w:id="3066"/>
      <w:bookmarkEnd w:id="3067"/>
      <w:bookmarkEnd w:id="3068"/>
      <w:bookmarkEnd w:id="3069"/>
      <w:bookmarkEnd w:id="3070"/>
      <w:bookmarkEnd w:id="3071"/>
      <w:bookmarkEnd w:id="3072"/>
      <w:bookmarkEnd w:id="3073"/>
      <w:bookmarkEnd w:id="3074"/>
      <w:bookmarkEnd w:id="3075"/>
    </w:p>
    <w:tbl>
      <w:tblPr>
        <w:tblStyle w:val="38"/>
        <w:tblW w:w="495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
        <w:gridCol w:w="435"/>
        <w:gridCol w:w="1410"/>
        <w:gridCol w:w="1526"/>
        <w:gridCol w:w="762"/>
        <w:gridCol w:w="862"/>
        <w:gridCol w:w="2802"/>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trPr>
        <w:tc>
          <w:tcPr>
            <w:tcW w:w="243" w:type="pct"/>
            <w:vAlign w:val="center"/>
          </w:tcPr>
          <w:p>
            <w:pPr>
              <w:tabs>
                <w:tab w:val="left" w:pos="1004"/>
                <w:tab w:val="left" w:pos="1757"/>
                <w:tab w:val="left" w:pos="6275"/>
              </w:tabs>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类别</w:t>
            </w: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序号</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设施名称</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型  号</w:t>
            </w: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数 量</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材 料</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布  置  部  位</w:t>
            </w:r>
          </w:p>
        </w:tc>
        <w:tc>
          <w:tcPr>
            <w:tcW w:w="518" w:type="pct"/>
            <w:vAlign w:val="center"/>
          </w:tcPr>
          <w:p>
            <w:pPr>
              <w:tabs>
                <w:tab w:val="left" w:pos="1004"/>
                <w:tab w:val="left" w:pos="1757"/>
                <w:tab w:val="left" w:pos="6275"/>
              </w:tabs>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exact"/>
          <w:tblHeader/>
        </w:trPr>
        <w:tc>
          <w:tcPr>
            <w:tcW w:w="243" w:type="pct"/>
            <w:vMerge w:val="restar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预防事故设施</w:t>
            </w: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压力表</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(0-6)MPa</w:t>
            </w: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20只</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锅炉在用、仓库备用</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温湿度计</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1只</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color w:val="auto"/>
                <w:sz w:val="21"/>
                <w:szCs w:val="21"/>
              </w:rPr>
              <w:t>质检部化验室</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3</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可燃气体报警仪</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11个</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sz w:val="21"/>
                <w:szCs w:val="21"/>
              </w:rPr>
              <w:t>SO</w:t>
            </w:r>
            <w:r>
              <w:rPr>
                <w:rFonts w:hint="eastAsia" w:ascii="宋体" w:hAnsi="宋体" w:cs="宋体"/>
                <w:sz w:val="21"/>
                <w:szCs w:val="21"/>
                <w:vertAlign w:val="subscript"/>
              </w:rPr>
              <w:t>2</w:t>
            </w:r>
            <w:r>
              <w:rPr>
                <w:rFonts w:hint="eastAsia" w:ascii="宋体" w:hAnsi="宋体" w:cs="宋体"/>
                <w:sz w:val="21"/>
                <w:szCs w:val="21"/>
              </w:rPr>
              <w:t>风机房、干吸工段、转换工段、焙烧工段</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4</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便携式可燃气体测试仪</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2个</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生产车间、仓管处</w:t>
            </w:r>
          </w:p>
        </w:tc>
        <w:tc>
          <w:tcPr>
            <w:tcW w:w="51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3"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5</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设备安全防护设施</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sz w:val="21"/>
                <w:szCs w:val="21"/>
              </w:rPr>
              <w:t>楼梯安装了扶手、高处平台安装防护栏</w:t>
            </w: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若干</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厂区</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6</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安全阀</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6只</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锅炉</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7</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防护罩</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若干</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sz w:val="21"/>
                <w:szCs w:val="21"/>
              </w:rPr>
              <w:t>电机联轴器、皮带轮、风机、泵体等</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8</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避雷网、防雷接地</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3组</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碳钢</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厂区办公楼、车间、仓库建筑</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9</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防静电跨接及接地</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1组</w:t>
            </w:r>
          </w:p>
        </w:tc>
        <w:tc>
          <w:tcPr>
            <w:tcW w:w="468" w:type="pct"/>
            <w:vAlign w:val="center"/>
          </w:tcPr>
          <w:p>
            <w:pPr>
              <w:tabs>
                <w:tab w:val="left" w:pos="1004"/>
                <w:tab w:val="left" w:pos="1757"/>
                <w:tab w:val="left" w:pos="6275"/>
              </w:tabs>
              <w:spacing w:line="240" w:lineRule="auto"/>
              <w:ind w:firstLine="0" w:firstLineChars="0"/>
              <w:rPr>
                <w:rFonts w:ascii="宋体" w:hAnsi="宋体" w:cs="宋体"/>
                <w:bCs/>
                <w:color w:val="auto"/>
                <w:sz w:val="21"/>
                <w:szCs w:val="21"/>
              </w:rPr>
            </w:pPr>
            <w:r>
              <w:rPr>
                <w:rFonts w:hint="eastAsia" w:ascii="宋体" w:hAnsi="宋体" w:cs="宋体"/>
                <w:bCs/>
                <w:color w:val="auto"/>
                <w:sz w:val="21"/>
                <w:szCs w:val="21"/>
              </w:rPr>
              <w:t>铜片、碳钢</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砂磨机、搅拌机、过滤机、配电柜等</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10</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保温隔热层</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sz w:val="21"/>
                <w:szCs w:val="21"/>
              </w:rPr>
              <w:t>蒸汽输送管线</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11</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安全警示标志</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285块</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厂区</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12</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触摸式静电导电桩</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6根</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硫酸储罐区、转化工段、净化工段、焙烧工段、双氧水储罐区</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exact"/>
          <w:tblHeader/>
        </w:trPr>
        <w:tc>
          <w:tcPr>
            <w:tcW w:w="243" w:type="pct"/>
            <w:vMerge w:val="restar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减少事故影响设施</w:t>
            </w: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13</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室外消火栓</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16个</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碳钢</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厂区</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14</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室内消火栓</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7个</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碳钢</w:t>
            </w:r>
          </w:p>
        </w:tc>
        <w:tc>
          <w:tcPr>
            <w:tcW w:w="1522" w:type="pct"/>
            <w:vAlign w:val="center"/>
          </w:tcPr>
          <w:p>
            <w:pPr>
              <w:tabs>
                <w:tab w:val="left" w:pos="1004"/>
                <w:tab w:val="left" w:pos="1757"/>
                <w:tab w:val="left" w:pos="6275"/>
              </w:tabs>
              <w:spacing w:line="240" w:lineRule="auto"/>
              <w:ind w:firstLine="0" w:firstLineChars="0"/>
              <w:jc w:val="left"/>
              <w:rPr>
                <w:rFonts w:ascii="宋体" w:hAnsi="宋体" w:cs="宋体"/>
                <w:bCs/>
                <w:color w:val="auto"/>
                <w:sz w:val="21"/>
                <w:szCs w:val="21"/>
              </w:rPr>
            </w:pPr>
            <w:r>
              <w:rPr>
                <w:rFonts w:hint="eastAsia" w:ascii="宋体" w:hAnsi="宋体" w:cs="宋体"/>
                <w:bCs/>
                <w:color w:val="auto"/>
                <w:sz w:val="21"/>
                <w:szCs w:val="21"/>
              </w:rPr>
              <w:t>厂区余热发电等巡检室</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15</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手提灭火器</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MFZ/ABC4</w:t>
            </w:r>
          </w:p>
        </w:tc>
        <w:tc>
          <w:tcPr>
            <w:tcW w:w="414" w:type="pct"/>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80具</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碳钢</w:t>
            </w:r>
          </w:p>
        </w:tc>
        <w:tc>
          <w:tcPr>
            <w:tcW w:w="1522" w:type="pct"/>
            <w:vAlign w:val="center"/>
          </w:tcPr>
          <w:p>
            <w:pPr>
              <w:tabs>
                <w:tab w:val="left" w:pos="1004"/>
                <w:tab w:val="left" w:pos="1757"/>
                <w:tab w:val="left" w:pos="6275"/>
              </w:tabs>
              <w:spacing w:line="240" w:lineRule="auto"/>
              <w:ind w:firstLine="0" w:firstLineChars="0"/>
              <w:jc w:val="left"/>
              <w:rPr>
                <w:rFonts w:ascii="宋体" w:hAnsi="宋体" w:cs="宋体"/>
                <w:bCs/>
                <w:color w:val="auto"/>
                <w:sz w:val="21"/>
                <w:szCs w:val="21"/>
              </w:rPr>
            </w:pPr>
            <w:r>
              <w:rPr>
                <w:rFonts w:hint="eastAsia" w:ascii="宋体" w:hAnsi="宋体" w:cs="宋体"/>
                <w:bCs/>
                <w:color w:val="auto"/>
                <w:sz w:val="21"/>
                <w:szCs w:val="21"/>
              </w:rPr>
              <w:t>公司内部</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16</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推车式灭火器</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MFTZ/ABC35</w:t>
            </w: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w w:val="90"/>
                <w:sz w:val="21"/>
                <w:szCs w:val="21"/>
              </w:rPr>
            </w:pPr>
            <w:r>
              <w:rPr>
                <w:rFonts w:hint="eastAsia" w:ascii="宋体" w:hAnsi="宋体" w:cs="宋体"/>
                <w:bCs/>
                <w:color w:val="auto"/>
                <w:w w:val="90"/>
                <w:sz w:val="21"/>
                <w:szCs w:val="21"/>
              </w:rPr>
              <w:t>2台</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碳钢</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余热发电汽轮机室</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17</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二氧化碳灭火器</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MT/2</w:t>
            </w: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w w:val="90"/>
                <w:sz w:val="21"/>
                <w:szCs w:val="21"/>
              </w:rPr>
            </w:pPr>
            <w:r>
              <w:rPr>
                <w:rFonts w:hint="eastAsia" w:ascii="宋体" w:hAnsi="宋体" w:cs="宋体"/>
                <w:bCs/>
                <w:color w:val="auto"/>
                <w:w w:val="90"/>
                <w:sz w:val="21"/>
                <w:szCs w:val="21"/>
              </w:rPr>
              <w:t>4具</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碳钢</w:t>
            </w: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配电室</w:t>
            </w:r>
          </w:p>
        </w:tc>
        <w:tc>
          <w:tcPr>
            <w:tcW w:w="518" w:type="pct"/>
          </w:tcPr>
          <w:p>
            <w:pPr>
              <w:spacing w:line="240" w:lineRule="auto"/>
              <w:ind w:firstLine="0" w:firstLineChars="0"/>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18</w:t>
            </w:r>
          </w:p>
        </w:tc>
        <w:tc>
          <w:tcPr>
            <w:tcW w:w="76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应急池</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1500m</w:t>
            </w:r>
            <w:r>
              <w:rPr>
                <w:rFonts w:hint="eastAsia" w:ascii="宋体" w:hAnsi="宋体" w:cs="宋体"/>
                <w:bCs/>
                <w:color w:val="auto"/>
                <w:sz w:val="21"/>
                <w:szCs w:val="21"/>
                <w:vertAlign w:val="superscript"/>
              </w:rPr>
              <w:t>3</w:t>
            </w:r>
          </w:p>
        </w:tc>
        <w:tc>
          <w:tcPr>
            <w:tcW w:w="414" w:type="pct"/>
            <w:vAlign w:val="center"/>
          </w:tcPr>
          <w:p>
            <w:pPr>
              <w:tabs>
                <w:tab w:val="left" w:pos="1004"/>
                <w:tab w:val="left" w:pos="1757"/>
                <w:tab w:val="left" w:pos="6275"/>
              </w:tabs>
              <w:spacing w:line="240" w:lineRule="auto"/>
              <w:ind w:firstLine="0" w:firstLineChars="0"/>
              <w:jc w:val="center"/>
              <w:rPr>
                <w:rFonts w:ascii="宋体" w:hAnsi="宋体" w:cs="宋体"/>
                <w:bCs/>
                <w:color w:val="auto"/>
                <w:w w:val="90"/>
                <w:sz w:val="21"/>
                <w:szCs w:val="21"/>
              </w:rPr>
            </w:pPr>
            <w:r>
              <w:rPr>
                <w:rFonts w:hint="eastAsia" w:ascii="宋体" w:hAnsi="宋体" w:cs="宋体"/>
                <w:bCs/>
                <w:color w:val="auto"/>
                <w:w w:val="90"/>
                <w:sz w:val="21"/>
                <w:szCs w:val="21"/>
              </w:rPr>
              <w:t>1个</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1522"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生产车间</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19</w:t>
            </w:r>
          </w:p>
        </w:tc>
        <w:tc>
          <w:tcPr>
            <w:tcW w:w="766"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化学防酸服</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widowControl/>
              <w:spacing w:line="240" w:lineRule="auto"/>
              <w:ind w:firstLine="0" w:firstLineChars="0"/>
              <w:jc w:val="center"/>
              <w:rPr>
                <w:rFonts w:ascii="宋体" w:hAnsi="宋体" w:cs="宋体"/>
                <w:bCs/>
                <w:color w:val="auto"/>
                <w:w w:val="90"/>
                <w:sz w:val="21"/>
                <w:szCs w:val="21"/>
              </w:rPr>
            </w:pPr>
            <w:r>
              <w:rPr>
                <w:rFonts w:hint="eastAsia" w:ascii="宋体" w:hAnsi="宋体" w:cs="宋体"/>
                <w:color w:val="auto"/>
                <w:kern w:val="0"/>
                <w:sz w:val="21"/>
                <w:szCs w:val="21"/>
              </w:rPr>
              <w:t>10套</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耐酸</w:t>
            </w:r>
          </w:p>
        </w:tc>
        <w:tc>
          <w:tcPr>
            <w:tcW w:w="1522"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各操作室</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20</w:t>
            </w:r>
          </w:p>
        </w:tc>
        <w:tc>
          <w:tcPr>
            <w:tcW w:w="766"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防毒面罩</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widowControl/>
              <w:spacing w:line="240" w:lineRule="auto"/>
              <w:ind w:firstLine="0" w:firstLineChars="0"/>
              <w:jc w:val="center"/>
              <w:rPr>
                <w:rFonts w:ascii="宋体" w:hAnsi="宋体" w:cs="宋体"/>
                <w:bCs/>
                <w:color w:val="auto"/>
                <w:w w:val="90"/>
                <w:sz w:val="21"/>
                <w:szCs w:val="21"/>
              </w:rPr>
            </w:pPr>
            <w:r>
              <w:rPr>
                <w:rFonts w:hint="eastAsia" w:ascii="宋体" w:hAnsi="宋体" w:cs="宋体"/>
                <w:color w:val="auto"/>
                <w:kern w:val="0"/>
                <w:sz w:val="21"/>
                <w:szCs w:val="21"/>
              </w:rPr>
              <w:t>15个</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各操作室</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21</w:t>
            </w:r>
          </w:p>
        </w:tc>
        <w:tc>
          <w:tcPr>
            <w:tcW w:w="766"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防尘呼吸器</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widowControl/>
              <w:spacing w:line="240" w:lineRule="auto"/>
              <w:ind w:firstLine="0" w:firstLineChars="0"/>
              <w:jc w:val="center"/>
              <w:rPr>
                <w:rFonts w:ascii="宋体" w:hAnsi="宋体" w:cs="宋体"/>
                <w:bCs/>
                <w:color w:val="auto"/>
                <w:w w:val="90"/>
                <w:sz w:val="21"/>
                <w:szCs w:val="21"/>
              </w:rPr>
            </w:pPr>
            <w:r>
              <w:rPr>
                <w:rFonts w:hint="eastAsia" w:ascii="宋体" w:hAnsi="宋体" w:cs="宋体"/>
                <w:color w:val="auto"/>
                <w:kern w:val="0"/>
                <w:sz w:val="21"/>
                <w:szCs w:val="21"/>
              </w:rPr>
              <w:t>15组</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各操作室</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22</w:t>
            </w:r>
          </w:p>
        </w:tc>
        <w:tc>
          <w:tcPr>
            <w:tcW w:w="766"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应急电话</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0000FF"/>
                <w:sz w:val="21"/>
                <w:szCs w:val="21"/>
              </w:rPr>
            </w:pPr>
          </w:p>
        </w:tc>
        <w:tc>
          <w:tcPr>
            <w:tcW w:w="414" w:type="pct"/>
            <w:vAlign w:val="center"/>
          </w:tcPr>
          <w:p>
            <w:pPr>
              <w:widowControl/>
              <w:spacing w:line="240" w:lineRule="auto"/>
              <w:ind w:firstLine="0" w:firstLineChars="0"/>
              <w:jc w:val="center"/>
              <w:rPr>
                <w:rFonts w:ascii="宋体" w:hAnsi="宋体" w:cs="宋体"/>
                <w:bCs/>
                <w:color w:val="0000FF"/>
                <w:w w:val="90"/>
                <w:sz w:val="21"/>
                <w:szCs w:val="21"/>
              </w:rPr>
            </w:pPr>
            <w:r>
              <w:rPr>
                <w:rFonts w:hint="eastAsia" w:ascii="宋体" w:hAnsi="宋体" w:cs="宋体"/>
                <w:kern w:val="0"/>
                <w:sz w:val="21"/>
                <w:szCs w:val="21"/>
              </w:rPr>
              <w:t>1部</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0000FF"/>
                <w:sz w:val="21"/>
                <w:szCs w:val="21"/>
              </w:rPr>
            </w:pPr>
          </w:p>
        </w:tc>
        <w:tc>
          <w:tcPr>
            <w:tcW w:w="1522"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门卫室</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23</w:t>
            </w:r>
          </w:p>
        </w:tc>
        <w:tc>
          <w:tcPr>
            <w:tcW w:w="766"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石灰（大碱）</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0000FF"/>
                <w:sz w:val="21"/>
                <w:szCs w:val="21"/>
              </w:rPr>
            </w:pPr>
          </w:p>
        </w:tc>
        <w:tc>
          <w:tcPr>
            <w:tcW w:w="414"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10吨</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0000FF"/>
                <w:sz w:val="21"/>
                <w:szCs w:val="21"/>
              </w:rPr>
            </w:pPr>
          </w:p>
        </w:tc>
        <w:tc>
          <w:tcPr>
            <w:tcW w:w="1522"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污水车间</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24</w:t>
            </w:r>
          </w:p>
        </w:tc>
        <w:tc>
          <w:tcPr>
            <w:tcW w:w="766"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防爆电筒</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0000FF"/>
                <w:sz w:val="21"/>
                <w:szCs w:val="21"/>
              </w:rPr>
            </w:pPr>
          </w:p>
        </w:tc>
        <w:tc>
          <w:tcPr>
            <w:tcW w:w="414"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15个</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0000FF"/>
                <w:sz w:val="21"/>
                <w:szCs w:val="21"/>
              </w:rPr>
            </w:pPr>
          </w:p>
        </w:tc>
        <w:tc>
          <w:tcPr>
            <w:tcW w:w="1522"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各操作室</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25</w:t>
            </w:r>
          </w:p>
        </w:tc>
        <w:tc>
          <w:tcPr>
            <w:tcW w:w="766"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沙土</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10吨</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原料堆场</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26</w:t>
            </w:r>
          </w:p>
        </w:tc>
        <w:tc>
          <w:tcPr>
            <w:tcW w:w="766"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应急照明灯</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414"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28盏</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操作室及办公大楼</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exac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27</w:t>
            </w:r>
          </w:p>
        </w:tc>
        <w:tc>
          <w:tcPr>
            <w:tcW w:w="766"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应急车辆</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414"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1辆</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办公楼车库</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28</w:t>
            </w:r>
          </w:p>
        </w:tc>
        <w:tc>
          <w:tcPr>
            <w:tcW w:w="766"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防腐橡胶手套</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w:t>
            </w:r>
          </w:p>
        </w:tc>
        <w:tc>
          <w:tcPr>
            <w:tcW w:w="414"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w:t>
            </w:r>
          </w:p>
        </w:tc>
        <w:tc>
          <w:tcPr>
            <w:tcW w:w="1522" w:type="pct"/>
            <w:vAlign w:val="center"/>
          </w:tcPr>
          <w:p>
            <w:pPr>
              <w:widowControl/>
              <w:spacing w:line="240" w:lineRule="auto"/>
              <w:ind w:firstLine="0" w:firstLineChars="0"/>
              <w:jc w:val="center"/>
              <w:rPr>
                <w:rFonts w:ascii="宋体" w:hAnsi="宋体" w:cs="宋体"/>
                <w:bCs/>
                <w:color w:val="auto"/>
                <w:sz w:val="21"/>
                <w:szCs w:val="21"/>
              </w:rPr>
            </w:pPr>
            <w:r>
              <w:rPr>
                <w:rFonts w:hint="eastAsia" w:ascii="宋体" w:hAnsi="宋体" w:cs="宋体"/>
                <w:color w:val="auto"/>
                <w:kern w:val="0"/>
                <w:sz w:val="21"/>
                <w:szCs w:val="21"/>
              </w:rPr>
              <w:t>按作业人数配发</w:t>
            </w:r>
          </w:p>
        </w:tc>
        <w:tc>
          <w:tcPr>
            <w:tcW w:w="518" w:type="pct"/>
          </w:tcPr>
          <w:p>
            <w:pPr>
              <w:spacing w:line="240" w:lineRule="auto"/>
              <w:ind w:firstLine="0" w:firstLineChars="0"/>
              <w:jc w:val="center"/>
              <w:rPr>
                <w:rFonts w:ascii="宋体" w:hAnsi="宋体" w:cs="宋体"/>
                <w:bCs/>
                <w:color w:val="0000FF"/>
                <w:sz w:val="21"/>
                <w:szCs w:val="21"/>
              </w:rPr>
            </w:pPr>
            <w:r>
              <w:rPr>
                <w:rFonts w:hint="eastAsia" w:ascii="宋体" w:hAnsi="宋体" w:cs="宋体"/>
                <w:bCs/>
                <w:color w:val="auto"/>
                <w:sz w:val="21"/>
                <w:szCs w:val="21"/>
              </w:rPr>
              <w:t>发放到个人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 w:hRule="atLeas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29</w:t>
            </w:r>
          </w:p>
        </w:tc>
        <w:tc>
          <w:tcPr>
            <w:tcW w:w="766"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防尘口罩</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color w:val="0000FF"/>
                <w:kern w:val="0"/>
                <w:sz w:val="21"/>
                <w:szCs w:val="21"/>
              </w:rPr>
            </w:pPr>
          </w:p>
        </w:tc>
        <w:tc>
          <w:tcPr>
            <w:tcW w:w="414"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0000FF"/>
                <w:sz w:val="21"/>
                <w:szCs w:val="21"/>
              </w:rPr>
            </w:pPr>
          </w:p>
        </w:tc>
        <w:tc>
          <w:tcPr>
            <w:tcW w:w="1522"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按作业人数配发</w:t>
            </w:r>
          </w:p>
        </w:tc>
        <w:tc>
          <w:tcPr>
            <w:tcW w:w="518" w:type="pct"/>
          </w:tcPr>
          <w:p>
            <w:pPr>
              <w:spacing w:line="240" w:lineRule="auto"/>
              <w:ind w:firstLine="0" w:firstLineChars="0"/>
              <w:jc w:val="center"/>
              <w:rPr>
                <w:rFonts w:ascii="宋体" w:hAnsi="宋体" w:cs="宋体"/>
                <w:bCs/>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tblHeader/>
        </w:trPr>
        <w:tc>
          <w:tcPr>
            <w:tcW w:w="243" w:type="pct"/>
            <w:vMerge w:val="continue"/>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p>
        </w:tc>
        <w:tc>
          <w:tcPr>
            <w:tcW w:w="236" w:type="pct"/>
            <w:vAlign w:val="center"/>
          </w:tcPr>
          <w:p>
            <w:pPr>
              <w:tabs>
                <w:tab w:val="left" w:pos="1004"/>
                <w:tab w:val="left" w:pos="1757"/>
                <w:tab w:val="left" w:pos="6275"/>
              </w:tabs>
              <w:spacing w:line="240" w:lineRule="auto"/>
              <w:ind w:firstLine="0" w:firstLineChars="0"/>
              <w:jc w:val="center"/>
              <w:rPr>
                <w:rFonts w:ascii="宋体" w:hAnsi="宋体" w:cs="宋体"/>
                <w:bCs/>
                <w:color w:val="auto"/>
                <w:sz w:val="21"/>
                <w:szCs w:val="21"/>
              </w:rPr>
            </w:pPr>
            <w:r>
              <w:rPr>
                <w:rFonts w:hint="eastAsia" w:ascii="宋体" w:hAnsi="宋体" w:cs="宋体"/>
                <w:bCs/>
                <w:color w:val="auto"/>
                <w:sz w:val="21"/>
                <w:szCs w:val="21"/>
              </w:rPr>
              <w:t>30</w:t>
            </w:r>
          </w:p>
        </w:tc>
        <w:tc>
          <w:tcPr>
            <w:tcW w:w="766"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防酸靴</w:t>
            </w:r>
          </w:p>
        </w:tc>
        <w:tc>
          <w:tcPr>
            <w:tcW w:w="829" w:type="pct"/>
            <w:vAlign w:val="center"/>
          </w:tcPr>
          <w:p>
            <w:pPr>
              <w:tabs>
                <w:tab w:val="left" w:pos="1004"/>
                <w:tab w:val="left" w:pos="1757"/>
                <w:tab w:val="left" w:pos="6275"/>
              </w:tabs>
              <w:spacing w:line="240" w:lineRule="auto"/>
              <w:ind w:firstLine="0" w:firstLineChars="0"/>
              <w:jc w:val="center"/>
              <w:rPr>
                <w:rFonts w:ascii="宋体" w:hAnsi="宋体" w:cs="宋体"/>
                <w:color w:val="0000FF"/>
                <w:kern w:val="0"/>
                <w:sz w:val="21"/>
                <w:szCs w:val="21"/>
              </w:rPr>
            </w:pPr>
          </w:p>
        </w:tc>
        <w:tc>
          <w:tcPr>
            <w:tcW w:w="414"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w:t>
            </w:r>
          </w:p>
        </w:tc>
        <w:tc>
          <w:tcPr>
            <w:tcW w:w="468" w:type="pct"/>
            <w:vAlign w:val="center"/>
          </w:tcPr>
          <w:p>
            <w:pPr>
              <w:tabs>
                <w:tab w:val="left" w:pos="1004"/>
                <w:tab w:val="left" w:pos="1757"/>
                <w:tab w:val="left" w:pos="6275"/>
              </w:tabs>
              <w:spacing w:line="240" w:lineRule="auto"/>
              <w:ind w:firstLine="0" w:firstLineChars="0"/>
              <w:jc w:val="center"/>
              <w:rPr>
                <w:rFonts w:ascii="宋体" w:hAnsi="宋体" w:cs="宋体"/>
                <w:bCs/>
                <w:color w:val="0000FF"/>
                <w:sz w:val="21"/>
                <w:szCs w:val="21"/>
              </w:rPr>
            </w:pPr>
          </w:p>
        </w:tc>
        <w:tc>
          <w:tcPr>
            <w:tcW w:w="1522" w:type="pct"/>
            <w:vAlign w:val="center"/>
          </w:tcPr>
          <w:p>
            <w:pPr>
              <w:widowControl/>
              <w:spacing w:line="240" w:lineRule="auto"/>
              <w:ind w:firstLine="0" w:firstLineChars="0"/>
              <w:jc w:val="center"/>
              <w:rPr>
                <w:rFonts w:ascii="宋体" w:hAnsi="宋体" w:cs="宋体"/>
                <w:bCs/>
                <w:color w:val="0000FF"/>
                <w:sz w:val="21"/>
                <w:szCs w:val="21"/>
              </w:rPr>
            </w:pPr>
            <w:r>
              <w:rPr>
                <w:rFonts w:hint="eastAsia" w:ascii="宋体" w:hAnsi="宋体" w:cs="宋体"/>
                <w:kern w:val="0"/>
                <w:sz w:val="21"/>
                <w:szCs w:val="21"/>
              </w:rPr>
              <w:t>按作业人数配发</w:t>
            </w:r>
          </w:p>
        </w:tc>
        <w:tc>
          <w:tcPr>
            <w:tcW w:w="518" w:type="pct"/>
          </w:tcPr>
          <w:p>
            <w:pPr>
              <w:spacing w:line="240" w:lineRule="auto"/>
              <w:ind w:firstLine="0" w:firstLineChars="0"/>
              <w:jc w:val="center"/>
              <w:rPr>
                <w:rFonts w:ascii="宋体" w:hAnsi="宋体" w:cs="宋体"/>
                <w:bCs/>
                <w:color w:val="0000FF"/>
                <w:sz w:val="21"/>
                <w:szCs w:val="21"/>
              </w:rPr>
            </w:pPr>
          </w:p>
        </w:tc>
      </w:tr>
    </w:tbl>
    <w:p>
      <w:pPr>
        <w:keepNext/>
        <w:keepLines/>
        <w:ind w:firstLine="560"/>
      </w:pPr>
    </w:p>
    <w:p>
      <w:pPr>
        <w:pStyle w:val="3"/>
        <w:keepNext w:val="0"/>
        <w:keepLines w:val="0"/>
        <w:ind w:firstLine="562"/>
        <w:rPr>
          <w:rFonts w:ascii="黑体" w:hAnsi="黑体" w:eastAsia="黑体" w:cs="黑体"/>
        </w:rPr>
      </w:pPr>
      <w:bookmarkStart w:id="3076" w:name="_Toc6"/>
      <w:bookmarkStart w:id="3077" w:name="_Toc14994"/>
      <w:bookmarkStart w:id="3078" w:name="_Toc15653"/>
      <w:bookmarkStart w:id="3079" w:name="_Toc20502"/>
      <w:bookmarkStart w:id="3080" w:name="_Toc28754"/>
      <w:bookmarkStart w:id="3081" w:name="_Toc1472"/>
      <w:bookmarkStart w:id="3082" w:name="_Toc9588"/>
      <w:bookmarkStart w:id="3083" w:name="_Toc3235"/>
      <w:bookmarkStart w:id="3084" w:name="_Toc14234"/>
      <w:bookmarkStart w:id="3085" w:name="_Toc29520"/>
      <w:bookmarkStart w:id="3086" w:name="_Toc25371"/>
      <w:bookmarkStart w:id="3087" w:name="_Toc25716"/>
      <w:r>
        <w:rPr>
          <w:rFonts w:hint="eastAsia" w:ascii="黑体" w:hAnsi="黑体" w:eastAsia="黑体" w:cs="黑体"/>
        </w:rPr>
        <w:t>F1.2 有毒气体报警控制器分布、检查情况汇总表</w:t>
      </w:r>
      <w:bookmarkEnd w:id="3076"/>
      <w:bookmarkEnd w:id="3077"/>
      <w:bookmarkEnd w:id="3078"/>
      <w:bookmarkEnd w:id="3079"/>
      <w:bookmarkEnd w:id="3080"/>
      <w:bookmarkEnd w:id="3081"/>
      <w:bookmarkEnd w:id="3082"/>
      <w:bookmarkEnd w:id="3083"/>
      <w:bookmarkEnd w:id="3084"/>
      <w:bookmarkEnd w:id="3085"/>
      <w:bookmarkEnd w:id="3086"/>
      <w:bookmarkEnd w:id="3087"/>
    </w:p>
    <w:tbl>
      <w:tblPr>
        <w:tblStyle w:val="38"/>
        <w:tblW w:w="51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601"/>
        <w:gridCol w:w="709"/>
        <w:gridCol w:w="747"/>
        <w:gridCol w:w="1144"/>
        <w:gridCol w:w="655"/>
        <w:gridCol w:w="655"/>
        <w:gridCol w:w="1629"/>
        <w:gridCol w:w="875"/>
        <w:gridCol w:w="8"/>
        <w:gridCol w:w="343"/>
        <w:gridCol w:w="13"/>
        <w:gridCol w:w="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序号</w:t>
            </w:r>
          </w:p>
        </w:tc>
        <w:tc>
          <w:tcPr>
            <w:tcW w:w="840"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检测报警仪名称</w:t>
            </w:r>
          </w:p>
        </w:tc>
        <w:tc>
          <w:tcPr>
            <w:tcW w:w="372"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固定/便携式</w:t>
            </w:r>
          </w:p>
        </w:tc>
        <w:tc>
          <w:tcPr>
            <w:tcW w:w="392"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检测</w:t>
            </w:r>
          </w:p>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介质</w:t>
            </w:r>
          </w:p>
        </w:tc>
        <w:tc>
          <w:tcPr>
            <w:tcW w:w="600"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检测日期</w:t>
            </w:r>
          </w:p>
        </w:tc>
        <w:tc>
          <w:tcPr>
            <w:tcW w:w="344"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检测单位</w:t>
            </w:r>
          </w:p>
        </w:tc>
        <w:tc>
          <w:tcPr>
            <w:tcW w:w="344"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检测</w:t>
            </w:r>
          </w:p>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结论</w:t>
            </w:r>
          </w:p>
        </w:tc>
        <w:tc>
          <w:tcPr>
            <w:tcW w:w="855"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安装位置及其正确性</w:t>
            </w:r>
          </w:p>
        </w:tc>
        <w:tc>
          <w:tcPr>
            <w:tcW w:w="460"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报警值设定是否准确合理</w:t>
            </w:r>
          </w:p>
        </w:tc>
        <w:tc>
          <w:tcPr>
            <w:tcW w:w="184" w:type="pct"/>
            <w:gridSpan w:val="2"/>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检查</w:t>
            </w:r>
          </w:p>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结论</w:t>
            </w:r>
          </w:p>
        </w:tc>
        <w:tc>
          <w:tcPr>
            <w:tcW w:w="296" w:type="pct"/>
            <w:gridSpan w:val="2"/>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1</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氢气气体检测报警仪</w:t>
            </w:r>
          </w:p>
        </w:tc>
        <w:tc>
          <w:tcPr>
            <w:tcW w:w="372" w:type="pct"/>
            <w:noWrap/>
            <w:vAlign w:val="center"/>
          </w:tcPr>
          <w:p>
            <w:pPr>
              <w:adjustRightInd/>
              <w:snapToGrid/>
              <w:spacing w:line="240" w:lineRule="auto"/>
              <w:ind w:firstLine="0" w:firstLineChars="0"/>
              <w:jc w:val="center"/>
              <w:rPr>
                <w:rFonts w:ascii="宋体" w:hAnsi="宋体" w:cs="宋体"/>
                <w:bCs/>
                <w:sz w:val="21"/>
                <w:szCs w:val="21"/>
              </w:rPr>
            </w:pPr>
            <w:r>
              <w:rPr>
                <w:rFonts w:hint="eastAsia" w:ascii="宋体" w:hAnsi="宋体" w:cs="宋体"/>
                <w:bCs/>
                <w:sz w:val="21"/>
                <w:szCs w:val="21"/>
              </w:rPr>
              <w:t>便携式</w:t>
            </w:r>
          </w:p>
        </w:tc>
        <w:tc>
          <w:tcPr>
            <w:tcW w:w="392" w:type="pct"/>
            <w:vMerge w:val="restar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氢气</w:t>
            </w:r>
          </w:p>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二氧化硫</w:t>
            </w: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restar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云南浩且检测有限公司</w:t>
            </w: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p>
        </w:tc>
        <w:tc>
          <w:tcPr>
            <w:tcW w:w="46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6"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2</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气体检测报警仪</w:t>
            </w:r>
          </w:p>
        </w:tc>
        <w:tc>
          <w:tcPr>
            <w:tcW w:w="372" w:type="pct"/>
            <w:noWrap/>
            <w:vAlign w:val="center"/>
          </w:tcPr>
          <w:p>
            <w:pPr>
              <w:adjustRightInd/>
              <w:snapToGrid/>
              <w:spacing w:line="240" w:lineRule="auto"/>
              <w:ind w:firstLine="0" w:firstLineChars="0"/>
              <w:jc w:val="center"/>
              <w:rPr>
                <w:rFonts w:ascii="宋体" w:hAnsi="宋体" w:cs="宋体"/>
                <w:bCs/>
                <w:sz w:val="21"/>
                <w:szCs w:val="21"/>
              </w:rPr>
            </w:pPr>
            <w:r>
              <w:rPr>
                <w:rFonts w:hint="eastAsia" w:ascii="宋体" w:hAnsi="宋体" w:cs="宋体"/>
                <w:bCs/>
                <w:sz w:val="21"/>
                <w:szCs w:val="21"/>
              </w:rPr>
              <w:t>便携式</w:t>
            </w:r>
          </w:p>
        </w:tc>
        <w:tc>
          <w:tcPr>
            <w:tcW w:w="392"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p>
        </w:tc>
        <w:tc>
          <w:tcPr>
            <w:tcW w:w="46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6"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3</w:t>
            </w:r>
          </w:p>
        </w:tc>
        <w:tc>
          <w:tcPr>
            <w:tcW w:w="840" w:type="pct"/>
            <w:noWrap/>
            <w:vAlign w:val="center"/>
          </w:tcPr>
          <w:p>
            <w:pPr>
              <w:adjustRightInd/>
              <w:snapToGrid/>
              <w:spacing w:line="240" w:lineRule="auto"/>
              <w:ind w:firstLine="210" w:firstLineChars="10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四万吨干吸循环槽</w:t>
            </w:r>
          </w:p>
        </w:tc>
        <w:tc>
          <w:tcPr>
            <w:tcW w:w="46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6"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4</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双氧水吸收塔</w:t>
            </w:r>
          </w:p>
        </w:tc>
        <w:tc>
          <w:tcPr>
            <w:tcW w:w="46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6"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5</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四万吨转化器</w:t>
            </w:r>
          </w:p>
        </w:tc>
        <w:tc>
          <w:tcPr>
            <w:tcW w:w="46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7"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6</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风机房</w:t>
            </w:r>
          </w:p>
        </w:tc>
        <w:tc>
          <w:tcPr>
            <w:tcW w:w="46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7"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7</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四万吨沸腾炉</w:t>
            </w:r>
          </w:p>
        </w:tc>
        <w:tc>
          <w:tcPr>
            <w:tcW w:w="46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7"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8</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八万吨沸腾炉</w:t>
            </w:r>
          </w:p>
        </w:tc>
        <w:tc>
          <w:tcPr>
            <w:tcW w:w="46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7"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9</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八万吨干吸循环槽</w:t>
            </w:r>
          </w:p>
        </w:tc>
        <w:tc>
          <w:tcPr>
            <w:tcW w:w="46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7"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10</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restart"/>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restart"/>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八万吨Ⅴ换热器</w:t>
            </w:r>
          </w:p>
        </w:tc>
        <w:tc>
          <w:tcPr>
            <w:tcW w:w="46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7"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11</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2024.3.5</w:t>
            </w:r>
          </w:p>
        </w:tc>
        <w:tc>
          <w:tcPr>
            <w:tcW w:w="344"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八万吨转化器</w:t>
            </w:r>
          </w:p>
        </w:tc>
        <w:tc>
          <w:tcPr>
            <w:tcW w:w="46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7"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12</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restar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二氧化硫</w:t>
            </w: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w:t>
            </w:r>
          </w:p>
        </w:tc>
        <w:tc>
          <w:tcPr>
            <w:tcW w:w="344" w:type="pct"/>
            <w:vMerge w:val="restar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河南中安电子探测技术有限公司</w:t>
            </w: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四万吨转化器</w:t>
            </w:r>
          </w:p>
        </w:tc>
        <w:tc>
          <w:tcPr>
            <w:tcW w:w="46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7"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 w:type="pct"/>
            <w:noWrap/>
            <w:vAlign w:val="center"/>
          </w:tcPr>
          <w:p>
            <w:pPr>
              <w:adjustRightInd/>
              <w:snapToGrid/>
              <w:spacing w:line="240" w:lineRule="auto"/>
              <w:ind w:firstLine="0" w:firstLineChars="0"/>
              <w:jc w:val="center"/>
              <w:rPr>
                <w:rFonts w:ascii="宋体" w:hAnsi="宋体" w:cs="宋体"/>
                <w:b/>
                <w:sz w:val="21"/>
                <w:szCs w:val="21"/>
              </w:rPr>
            </w:pPr>
            <w:r>
              <w:rPr>
                <w:rFonts w:hint="eastAsia" w:ascii="宋体" w:hAnsi="宋体" w:cs="宋体"/>
                <w:b/>
                <w:sz w:val="21"/>
                <w:szCs w:val="21"/>
              </w:rPr>
              <w:t>13</w:t>
            </w:r>
          </w:p>
        </w:tc>
        <w:tc>
          <w:tcPr>
            <w:tcW w:w="84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气体探测器</w:t>
            </w:r>
          </w:p>
        </w:tc>
        <w:tc>
          <w:tcPr>
            <w:tcW w:w="372"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固定</w:t>
            </w:r>
          </w:p>
        </w:tc>
        <w:tc>
          <w:tcPr>
            <w:tcW w:w="392"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60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2024.3</w:t>
            </w:r>
          </w:p>
        </w:tc>
        <w:tc>
          <w:tcPr>
            <w:tcW w:w="344" w:type="pct"/>
            <w:vMerge w:val="continue"/>
            <w:noWrap/>
            <w:vAlign w:val="center"/>
          </w:tcPr>
          <w:p>
            <w:pPr>
              <w:adjustRightInd/>
              <w:snapToGrid/>
              <w:spacing w:line="240" w:lineRule="auto"/>
              <w:ind w:firstLine="0" w:firstLineChars="0"/>
              <w:jc w:val="center"/>
              <w:rPr>
                <w:rFonts w:ascii="宋体" w:hAnsi="宋体" w:cs="宋体"/>
                <w:sz w:val="21"/>
                <w:szCs w:val="21"/>
              </w:rPr>
            </w:pPr>
          </w:p>
        </w:tc>
        <w:tc>
          <w:tcPr>
            <w:tcW w:w="344"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855"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八万吨转化器</w:t>
            </w:r>
          </w:p>
        </w:tc>
        <w:tc>
          <w:tcPr>
            <w:tcW w:w="464"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准确合理</w:t>
            </w:r>
          </w:p>
        </w:tc>
        <w:tc>
          <w:tcPr>
            <w:tcW w:w="187" w:type="pct"/>
            <w:gridSpan w:val="2"/>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合格</w:t>
            </w:r>
          </w:p>
        </w:tc>
        <w:tc>
          <w:tcPr>
            <w:tcW w:w="290" w:type="pct"/>
            <w:noWrap/>
            <w:vAlign w:val="center"/>
          </w:tcPr>
          <w:p>
            <w:pPr>
              <w:adjustRightInd/>
              <w:snapToGrid/>
              <w:spacing w:line="240" w:lineRule="auto"/>
              <w:ind w:firstLine="0" w:firstLineChars="0"/>
              <w:jc w:val="center"/>
              <w:rPr>
                <w:rFonts w:ascii="宋体" w:hAnsi="宋体" w:cs="宋体"/>
                <w:sz w:val="21"/>
                <w:szCs w:val="21"/>
              </w:rPr>
            </w:pPr>
            <w:r>
              <w:rPr>
                <w:rFonts w:hint="eastAsia" w:ascii="宋体" w:hAnsi="宋体" w:cs="宋体"/>
                <w:sz w:val="21"/>
                <w:szCs w:val="21"/>
              </w:rPr>
              <w:t>无</w:t>
            </w:r>
          </w:p>
        </w:tc>
      </w:tr>
    </w:tbl>
    <w:p>
      <w:pPr>
        <w:pStyle w:val="16"/>
        <w:ind w:firstLine="0" w:firstLineChars="0"/>
      </w:pPr>
    </w:p>
    <w:p>
      <w:pPr>
        <w:pStyle w:val="16"/>
        <w:ind w:firstLine="0" w:firstLineChars="0"/>
      </w:pPr>
    </w:p>
    <w:p>
      <w:pPr>
        <w:pStyle w:val="16"/>
        <w:ind w:firstLine="0" w:firstLineChars="0"/>
      </w:pPr>
    </w:p>
    <w:p>
      <w:pPr>
        <w:pStyle w:val="3"/>
        <w:keepNext w:val="0"/>
        <w:keepLines w:val="0"/>
        <w:ind w:firstLine="562"/>
        <w:rPr>
          <w:rFonts w:ascii="黑体" w:hAnsi="黑体" w:eastAsia="黑体" w:cs="黑体"/>
        </w:rPr>
      </w:pPr>
      <w:bookmarkStart w:id="3088" w:name="_Toc29480"/>
      <w:bookmarkStart w:id="3089" w:name="_Toc31854"/>
      <w:bookmarkStart w:id="3090" w:name="_Toc16566"/>
      <w:bookmarkStart w:id="3091" w:name="_Toc4201"/>
      <w:bookmarkStart w:id="3092" w:name="_Toc20678"/>
      <w:bookmarkStart w:id="3093" w:name="_Toc28812"/>
      <w:bookmarkStart w:id="3094" w:name="_Toc27160"/>
      <w:bookmarkStart w:id="3095" w:name="_Toc23066"/>
      <w:bookmarkStart w:id="3096" w:name="_Toc2243"/>
      <w:bookmarkStart w:id="3097" w:name="_Toc60"/>
      <w:bookmarkStart w:id="3098" w:name="_Toc19118"/>
      <w:bookmarkStart w:id="3099" w:name="_Toc20913"/>
      <w:r>
        <w:rPr>
          <w:rFonts w:hint="eastAsia" w:ascii="黑体" w:hAnsi="黑体" w:eastAsia="黑体" w:cs="黑体"/>
        </w:rPr>
        <w:t>F1.3安全标志牌清单</w:t>
      </w:r>
      <w:bookmarkEnd w:id="3088"/>
      <w:bookmarkEnd w:id="3089"/>
      <w:bookmarkEnd w:id="3090"/>
      <w:bookmarkEnd w:id="3091"/>
      <w:bookmarkEnd w:id="3092"/>
      <w:bookmarkEnd w:id="3093"/>
      <w:bookmarkEnd w:id="3094"/>
      <w:bookmarkEnd w:id="3095"/>
      <w:bookmarkEnd w:id="3096"/>
      <w:bookmarkEnd w:id="3097"/>
      <w:bookmarkEnd w:id="3098"/>
      <w:bookmarkEnd w:id="3099"/>
    </w:p>
    <w:tbl>
      <w:tblPr>
        <w:tblStyle w:val="3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4604"/>
        <w:gridCol w:w="878"/>
        <w:gridCol w:w="3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379" w:type="pct"/>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2480" w:type="pct"/>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安  全  标  志  名  称</w:t>
            </w:r>
          </w:p>
        </w:tc>
        <w:tc>
          <w:tcPr>
            <w:tcW w:w="473" w:type="pct"/>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数量（块）</w:t>
            </w:r>
          </w:p>
        </w:tc>
        <w:tc>
          <w:tcPr>
            <w:tcW w:w="1667" w:type="pct"/>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设 置 位 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安全出口</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办公室走道、楼梯口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安全通道</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池深2米、当心溺水</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污水池、水处理原水池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池深3米当心溺水</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雨水收集池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kern w:val="0"/>
                <w:sz w:val="21"/>
                <w:szCs w:val="21"/>
              </w:rPr>
              <w:t>池深4米当心溺水</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事故应急池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禁止烟火</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双氧水储罐区、危险废物暂存间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7</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禁止入内、高压危险</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高压配电房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高压危险、当心触电</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变压器大门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9</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佩戴绝缘手套</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 xml:space="preserve">  必须穿戴防护鞋</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11</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有毒</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危险废物暂存间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12</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佩戴防护口罩</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13</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必须佩戴防毒面具</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14</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必须佩戴防噪声耳塞</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15</w:t>
            </w:r>
          </w:p>
        </w:tc>
        <w:tc>
          <w:tcPr>
            <w:tcW w:w="2480" w:type="pct"/>
            <w:vAlign w:val="center"/>
          </w:tcPr>
          <w:p>
            <w:pPr>
              <w:widowControl/>
              <w:spacing w:line="240" w:lineRule="auto"/>
              <w:ind w:firstLine="0" w:firstLineChars="0"/>
              <w:jc w:val="center"/>
              <w:textAlignment w:val="center"/>
              <w:rPr>
                <w:rFonts w:ascii="宋体" w:hAnsi="宋体" w:cs="宋体"/>
                <w:kern w:val="0"/>
                <w:sz w:val="21"/>
                <w:szCs w:val="21"/>
              </w:rPr>
            </w:pPr>
            <w:r>
              <w:rPr>
                <w:rFonts w:hint="eastAsia" w:ascii="宋体" w:hAnsi="宋体" w:cs="宋体"/>
                <w:sz w:val="21"/>
                <w:szCs w:val="21"/>
              </w:rPr>
              <w:t>必须穿戴防护手套</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16</w:t>
            </w:r>
          </w:p>
        </w:tc>
        <w:tc>
          <w:tcPr>
            <w:tcW w:w="2480" w:type="pct"/>
            <w:vAlign w:val="center"/>
          </w:tcPr>
          <w:p>
            <w:pPr>
              <w:widowControl/>
              <w:spacing w:line="240" w:lineRule="auto"/>
              <w:ind w:firstLine="0" w:firstLineChars="0"/>
              <w:jc w:val="center"/>
              <w:textAlignment w:val="center"/>
              <w:rPr>
                <w:rFonts w:ascii="宋体" w:hAnsi="宋体" w:cs="宋体"/>
                <w:kern w:val="0"/>
                <w:sz w:val="21"/>
                <w:szCs w:val="21"/>
              </w:rPr>
            </w:pPr>
            <w:r>
              <w:rPr>
                <w:rFonts w:hint="eastAsia" w:ascii="宋体" w:hAnsi="宋体" w:cs="宋体"/>
                <w:sz w:val="21"/>
                <w:szCs w:val="21"/>
              </w:rPr>
              <w:t>必须穿戴安全帽</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17</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有电危险</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事故应急池、污水处理配电箱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18</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闲人免进</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配电室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19</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当心腐蚀禁止入内</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硫酸成品库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20</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注意噪音、高压风机、小心衣袖卷入</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各1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转化风机房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21</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高温职业场所告知牌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锅炉、沸腾炉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22</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 xml:space="preserve"> 硫酸安全告知牌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硫酸循环槽、硫酸储罐区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23</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kern w:val="0"/>
                <w:sz w:val="21"/>
                <w:szCs w:val="21"/>
              </w:rPr>
              <w:t>当心腐蚀</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24</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当心雷电</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过磅房、车间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25</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请触摸静电导电桩</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26</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sz w:val="21"/>
                <w:szCs w:val="21"/>
              </w:rPr>
              <w:t>避雷安全区</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sz w:val="21"/>
                <w:szCs w:val="21"/>
              </w:rPr>
              <w:t>办公楼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27</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kern w:val="0"/>
                <w:sz w:val="21"/>
                <w:szCs w:val="21"/>
              </w:rPr>
              <w:t>二氧化硫职业危害告知牌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转化器、干吸塔、炉底风机房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28</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三氧化硫职业危害告知牌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1667"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sz w:val="21"/>
                <w:szCs w:val="21"/>
              </w:rPr>
              <w:t>转化器、</w:t>
            </w:r>
            <w:r>
              <w:rPr>
                <w:rFonts w:hint="eastAsia" w:ascii="宋体" w:hAnsi="宋体" w:cs="宋体"/>
                <w:kern w:val="0"/>
                <w:sz w:val="21"/>
                <w:szCs w:val="21"/>
              </w:rPr>
              <w:t>干燥塔底、</w:t>
            </w:r>
            <w:r>
              <w:rPr>
                <w:rFonts w:hint="eastAsia" w:ascii="宋体" w:hAnsi="宋体" w:cs="宋体"/>
                <w:sz w:val="21"/>
                <w:szCs w:val="21"/>
              </w:rPr>
              <w:t>电除雾器、泡沫塔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29</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噪声职业危害告知牌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风机房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30</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当心碰头</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31</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sz w:val="21"/>
                <w:szCs w:val="21"/>
              </w:rPr>
              <w:t>粉尘职业危害告知牌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排渣口、电除尘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32</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sz w:val="21"/>
                <w:szCs w:val="21"/>
              </w:rPr>
              <w:t>雷雨天气请勿在此逗留</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烟囱、电除尘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33</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sz w:val="21"/>
                <w:szCs w:val="21"/>
              </w:rPr>
              <w:t>防雷安全警示牌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34</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sz w:val="21"/>
                <w:szCs w:val="21"/>
              </w:rPr>
              <w:t>气象灾害防御科普知识宣传栏</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35</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color w:val="auto"/>
                <w:sz w:val="21"/>
                <w:szCs w:val="21"/>
              </w:rPr>
              <w:t>当心机械伤害</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36</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当心烫伤</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沸腾炉、锅炉、排渣口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37</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sz w:val="21"/>
                <w:szCs w:val="21"/>
              </w:rPr>
              <w:t>高压危险</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转化器，发电机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38</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受限空间作业警示牌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37</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39</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双氧水职业危害健康告知牌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双氧水储罐区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40</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当心触电、高压危险</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配电箱、车间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41</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危险</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转化器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42</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当心触电</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低压配电室、变压器、车间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43</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严禁烟火</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44</w:t>
            </w:r>
          </w:p>
        </w:tc>
        <w:tc>
          <w:tcPr>
            <w:tcW w:w="2480"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限高4米</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widowControl/>
              <w:spacing w:line="240" w:lineRule="auto"/>
              <w:ind w:firstLine="0" w:firstLineChars="0"/>
              <w:jc w:val="center"/>
              <w:textAlignment w:val="center"/>
              <w:rPr>
                <w:rFonts w:ascii="宋体" w:hAnsi="宋体" w:cs="宋体"/>
                <w:sz w:val="21"/>
                <w:szCs w:val="21"/>
              </w:rPr>
            </w:pPr>
            <w:r>
              <w:rPr>
                <w:rFonts w:hint="eastAsia" w:ascii="宋体" w:hAnsi="宋体" w:cs="宋体"/>
                <w:kern w:val="0"/>
                <w:sz w:val="21"/>
                <w:szCs w:val="21"/>
              </w:rPr>
              <w:t>配电室外架空管道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45</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当心车辆</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车间应急道路路口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46</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生产车间风险告知牌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color w:val="0000FF"/>
                <w:sz w:val="21"/>
                <w:szCs w:val="21"/>
              </w:rPr>
              <w:t>8</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47</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安全生产标语</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15</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48</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外来人员请登记</w:t>
            </w:r>
          </w:p>
        </w:tc>
        <w:tc>
          <w:tcPr>
            <w:tcW w:w="473" w:type="pct"/>
            <w:vMerge w:val="restar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Merge w:val="restar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厂区大门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49</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外来人员风险告知卡</w:t>
            </w:r>
          </w:p>
        </w:tc>
        <w:tc>
          <w:tcPr>
            <w:tcW w:w="473" w:type="pct"/>
            <w:vMerge w:val="continue"/>
            <w:vAlign w:val="center"/>
          </w:tcPr>
          <w:p>
            <w:pPr>
              <w:spacing w:line="240" w:lineRule="auto"/>
              <w:ind w:firstLine="0" w:firstLineChars="0"/>
              <w:jc w:val="center"/>
              <w:rPr>
                <w:rFonts w:ascii="宋体" w:hAnsi="宋体" w:cs="宋体"/>
                <w:sz w:val="21"/>
                <w:szCs w:val="21"/>
              </w:rPr>
            </w:pPr>
          </w:p>
        </w:tc>
        <w:tc>
          <w:tcPr>
            <w:tcW w:w="1667" w:type="pct"/>
            <w:vMerge w:val="continue"/>
            <w:vAlign w:val="center"/>
          </w:tcPr>
          <w:p>
            <w:pPr>
              <w:spacing w:line="240" w:lineRule="auto"/>
              <w:ind w:firstLine="0" w:firstLineChars="0"/>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50</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生产车间风险四色图</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厂区宣传栏、车间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51</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厂区应急疏散线路图</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厂区宣传栏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52</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安全生产责承诺书、安全生产方针考核目标</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各1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厂区宣传栏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53</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进入生产区安全告知书</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生产区入口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54</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风险点告知卡</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69</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55</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正在检修禁止合闸</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56</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当心静电</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57</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安全出口疏散警示牌</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车间、仓库、办公楼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58</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禁止掉头</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公司大门口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9"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59</w:t>
            </w:r>
          </w:p>
        </w:tc>
        <w:tc>
          <w:tcPr>
            <w:tcW w:w="248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当心中毒</w:t>
            </w:r>
          </w:p>
        </w:tc>
        <w:tc>
          <w:tcPr>
            <w:tcW w:w="4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667"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炉底风机室</w:t>
            </w:r>
          </w:p>
        </w:tc>
      </w:tr>
    </w:tbl>
    <w:p>
      <w:pPr>
        <w:pStyle w:val="16"/>
        <w:ind w:firstLine="560"/>
      </w:pPr>
    </w:p>
    <w:p>
      <w:pPr>
        <w:pStyle w:val="2"/>
        <w:rPr>
          <w:rFonts w:ascii="楷体" w:hAnsi="楷体" w:eastAsia="楷体" w:cs="楷体"/>
          <w:b/>
          <w:bCs w:val="0"/>
          <w:color w:val="000000" w:themeColor="text1"/>
        </w:rPr>
      </w:pPr>
      <w:bookmarkStart w:id="3100" w:name="_Toc25672"/>
      <w:bookmarkStart w:id="3101" w:name="_Toc18264"/>
      <w:bookmarkStart w:id="3102" w:name="_Toc14847"/>
      <w:bookmarkStart w:id="3103" w:name="_Toc4643"/>
      <w:bookmarkStart w:id="3104" w:name="_Toc7909"/>
      <w:bookmarkStart w:id="3105" w:name="_Toc16646"/>
      <w:bookmarkStart w:id="3106" w:name="_Toc5362"/>
      <w:bookmarkStart w:id="3107" w:name="_Toc1807"/>
      <w:bookmarkStart w:id="3108" w:name="_Toc2798"/>
      <w:bookmarkStart w:id="3109" w:name="_Toc4722"/>
      <w:bookmarkStart w:id="3110" w:name="_Toc26818"/>
      <w:bookmarkStart w:id="3111" w:name="_Toc1296"/>
      <w:bookmarkStart w:id="3112" w:name="_Toc12975"/>
      <w:bookmarkStart w:id="3113" w:name="_Toc5250"/>
      <w:bookmarkStart w:id="3114" w:name="_Toc17214"/>
      <w:bookmarkStart w:id="3115" w:name="_Toc16723"/>
      <w:bookmarkStart w:id="3116" w:name="_Toc5951"/>
      <w:bookmarkStart w:id="3117" w:name="_Toc3606"/>
      <w:bookmarkStart w:id="3118" w:name="_Toc27853"/>
      <w:bookmarkStart w:id="3119" w:name="_Toc18311"/>
      <w:bookmarkStart w:id="3120" w:name="_Toc185"/>
      <w:bookmarkStart w:id="3121" w:name="_Toc8755"/>
      <w:bookmarkStart w:id="3122" w:name="_Toc25591"/>
      <w:bookmarkStart w:id="3123" w:name="_Toc805"/>
      <w:bookmarkStart w:id="3124" w:name="_Toc20408"/>
      <w:bookmarkStart w:id="3125" w:name="_Toc30024"/>
      <w:bookmarkStart w:id="3126" w:name="_Toc13104"/>
      <w:bookmarkStart w:id="3127" w:name="_Toc13908"/>
      <w:bookmarkStart w:id="3128" w:name="_Toc17307"/>
      <w:bookmarkStart w:id="3129" w:name="_Toc7467"/>
      <w:bookmarkStart w:id="3130" w:name="_Toc21195"/>
      <w:bookmarkStart w:id="3131" w:name="_Toc8630"/>
      <w:r>
        <w:rPr>
          <w:rFonts w:hint="eastAsia" w:ascii="楷体" w:hAnsi="楷体" w:eastAsia="楷体" w:cs="楷体"/>
          <w:b/>
          <w:bCs w:val="0"/>
          <w:color w:val="000000" w:themeColor="text1"/>
        </w:rPr>
        <w:t xml:space="preserve">F2  </w:t>
      </w:r>
      <w:bookmarkEnd w:id="3007"/>
      <w:bookmarkEnd w:id="3008"/>
      <w:bookmarkEnd w:id="3009"/>
      <w:bookmarkEnd w:id="3010"/>
      <w:bookmarkEnd w:id="3011"/>
      <w:r>
        <w:rPr>
          <w:rFonts w:hint="eastAsia" w:ascii="楷体" w:hAnsi="楷体" w:eastAsia="楷体" w:cs="楷体"/>
          <w:b/>
          <w:bCs w:val="0"/>
          <w:color w:val="000000" w:themeColor="text1"/>
        </w:rPr>
        <w:t>危险和有害因素辨识</w:t>
      </w:r>
      <w:bookmarkEnd w:id="3100"/>
      <w:bookmarkEnd w:id="3101"/>
      <w:bookmarkEnd w:id="3102"/>
      <w:bookmarkEnd w:id="3103"/>
      <w:bookmarkEnd w:id="3104"/>
      <w:bookmarkEnd w:id="3105"/>
      <w:bookmarkEnd w:id="3106"/>
      <w:bookmarkEnd w:id="3107"/>
      <w:bookmarkEnd w:id="3108"/>
      <w:bookmarkEnd w:id="3109"/>
      <w:bookmarkEnd w:id="3110"/>
      <w:bookmarkEnd w:id="3111"/>
      <w:bookmarkEnd w:id="3112"/>
      <w:bookmarkEnd w:id="3113"/>
      <w:bookmarkEnd w:id="3114"/>
      <w:bookmarkEnd w:id="3115"/>
      <w:bookmarkEnd w:id="3116"/>
      <w:bookmarkEnd w:id="3117"/>
      <w:bookmarkEnd w:id="3118"/>
      <w:bookmarkEnd w:id="3119"/>
      <w:bookmarkEnd w:id="3120"/>
      <w:bookmarkEnd w:id="3121"/>
      <w:bookmarkEnd w:id="3122"/>
      <w:bookmarkEnd w:id="3123"/>
      <w:bookmarkEnd w:id="3124"/>
      <w:bookmarkEnd w:id="3125"/>
      <w:bookmarkEnd w:id="3126"/>
      <w:bookmarkEnd w:id="3127"/>
      <w:bookmarkEnd w:id="3128"/>
      <w:bookmarkEnd w:id="3129"/>
      <w:bookmarkEnd w:id="3130"/>
      <w:bookmarkEnd w:id="3131"/>
      <w:bookmarkStart w:id="3132" w:name="_Toc17108"/>
      <w:bookmarkStart w:id="3133" w:name="_Toc117866066"/>
      <w:bookmarkStart w:id="3134" w:name="_Toc10798"/>
      <w:bookmarkStart w:id="3135" w:name="_Toc19402"/>
      <w:bookmarkStart w:id="3136" w:name="_Toc118297977"/>
      <w:bookmarkStart w:id="3137" w:name="_Toc118131119"/>
      <w:bookmarkStart w:id="3138" w:name="_Toc1086"/>
      <w:bookmarkStart w:id="3139" w:name="_Toc28385"/>
      <w:bookmarkStart w:id="3140" w:name="_Toc17456"/>
      <w:bookmarkStart w:id="3141" w:name="_Toc29048"/>
      <w:bookmarkStart w:id="3142" w:name="_Toc14693"/>
      <w:bookmarkStart w:id="3143" w:name="_Toc6915"/>
      <w:bookmarkStart w:id="3144" w:name="_Toc23919"/>
      <w:bookmarkStart w:id="3145" w:name="_Toc42724696"/>
      <w:bookmarkStart w:id="3146" w:name="_Toc31481"/>
      <w:bookmarkStart w:id="3147" w:name="_Toc128056487"/>
    </w:p>
    <w:p>
      <w:pPr>
        <w:ind w:firstLine="560"/>
      </w:pPr>
    </w:p>
    <w:p>
      <w:pPr>
        <w:pStyle w:val="3"/>
        <w:keepNext w:val="0"/>
        <w:keepLines w:val="0"/>
        <w:ind w:firstLine="562"/>
        <w:rPr>
          <w:rFonts w:ascii="黑体" w:hAnsi="黑体" w:eastAsia="黑体" w:cs="黑体"/>
        </w:rPr>
      </w:pPr>
      <w:bookmarkStart w:id="3148" w:name="_Toc7484"/>
      <w:bookmarkStart w:id="3149" w:name="_Toc3123"/>
      <w:bookmarkStart w:id="3150" w:name="_Toc18812"/>
      <w:bookmarkStart w:id="3151" w:name="_Toc10889"/>
      <w:bookmarkStart w:id="3152" w:name="_Toc12583"/>
      <w:bookmarkStart w:id="3153" w:name="_Toc25967"/>
      <w:bookmarkStart w:id="3154" w:name="_Toc32428"/>
      <w:bookmarkStart w:id="3155" w:name="_Toc4298"/>
      <w:bookmarkStart w:id="3156" w:name="_Toc17675"/>
      <w:bookmarkStart w:id="3157" w:name="_Toc9432"/>
      <w:bookmarkStart w:id="3158" w:name="_Toc23971"/>
      <w:bookmarkStart w:id="3159" w:name="_Toc4248"/>
      <w:bookmarkStart w:id="3160" w:name="_Toc1648"/>
      <w:bookmarkStart w:id="3161" w:name="_Toc26411"/>
      <w:bookmarkStart w:id="3162" w:name="_Toc28551"/>
      <w:bookmarkStart w:id="3163" w:name="_Toc16878"/>
      <w:bookmarkStart w:id="3164" w:name="_Toc20383"/>
      <w:bookmarkStart w:id="3165" w:name="_Toc10259"/>
      <w:bookmarkStart w:id="3166" w:name="_Toc6967"/>
      <w:bookmarkStart w:id="3167" w:name="_Toc31689"/>
      <w:bookmarkStart w:id="3168" w:name="_Toc1142"/>
      <w:bookmarkStart w:id="3169" w:name="_Toc11560"/>
      <w:bookmarkStart w:id="3170" w:name="_Toc9330"/>
      <w:bookmarkStart w:id="3171" w:name="_Toc7882"/>
      <w:bookmarkStart w:id="3172" w:name="_Toc25342"/>
      <w:r>
        <w:rPr>
          <w:rFonts w:hint="eastAsia" w:ascii="黑体" w:hAnsi="黑体" w:eastAsia="黑体" w:cs="黑体"/>
        </w:rPr>
        <w:t>F2.1 主要危险和有害因素辨识与分析的目的</w:t>
      </w:r>
      <w:bookmarkEnd w:id="3132"/>
      <w:bookmarkEnd w:id="3133"/>
      <w:bookmarkEnd w:id="3134"/>
      <w:bookmarkEnd w:id="3135"/>
      <w:bookmarkEnd w:id="3136"/>
      <w:bookmarkEnd w:id="3137"/>
      <w:bookmarkEnd w:id="3138"/>
      <w:bookmarkEnd w:id="3139"/>
      <w:bookmarkEnd w:id="3140"/>
      <w:bookmarkEnd w:id="3141"/>
      <w:bookmarkEnd w:id="3142"/>
      <w:bookmarkEnd w:id="3148"/>
      <w:bookmarkEnd w:id="3149"/>
      <w:bookmarkEnd w:id="3150"/>
      <w:bookmarkEnd w:id="3151"/>
      <w:bookmarkEnd w:id="3152"/>
      <w:bookmarkEnd w:id="3153"/>
      <w:bookmarkEnd w:id="3154"/>
      <w:bookmarkEnd w:id="3155"/>
      <w:bookmarkEnd w:id="3156"/>
      <w:bookmarkEnd w:id="3157"/>
      <w:bookmarkEnd w:id="3158"/>
      <w:bookmarkEnd w:id="3159"/>
      <w:bookmarkEnd w:id="3160"/>
      <w:bookmarkEnd w:id="3161"/>
      <w:bookmarkEnd w:id="3162"/>
      <w:bookmarkEnd w:id="3163"/>
      <w:bookmarkEnd w:id="3164"/>
      <w:bookmarkEnd w:id="3165"/>
      <w:bookmarkEnd w:id="3166"/>
      <w:bookmarkEnd w:id="3167"/>
      <w:bookmarkEnd w:id="3168"/>
      <w:bookmarkEnd w:id="3169"/>
      <w:bookmarkEnd w:id="3170"/>
      <w:bookmarkEnd w:id="3171"/>
      <w:bookmarkEnd w:id="3172"/>
    </w:p>
    <w:p>
      <w:pPr>
        <w:ind w:firstLine="560"/>
      </w:pPr>
      <w:r>
        <w:rPr>
          <w:rFonts w:hint="eastAsia"/>
        </w:rPr>
        <w:t>危险和有害因素辨识与分析是安全评价的基础。</w:t>
      </w:r>
    </w:p>
    <w:p>
      <w:pPr>
        <w:ind w:firstLine="560"/>
      </w:pPr>
      <w:r>
        <w:rPr>
          <w:rFonts w:hint="eastAsia"/>
        </w:rPr>
        <w:t>危险因素是指系统（人、机械、材料、设施、工艺、环境）中存在的，能对人造成伤亡，对物造成突发性损害的因素。</w:t>
      </w:r>
    </w:p>
    <w:p>
      <w:pPr>
        <w:ind w:firstLine="560"/>
        <w:rPr>
          <w:spacing w:val="0"/>
          <w:sz w:val="28"/>
        </w:rPr>
      </w:pPr>
      <w:r>
        <w:rPr>
          <w:rFonts w:hint="eastAsia"/>
          <w:spacing w:val="0"/>
          <w:sz w:val="28"/>
        </w:rPr>
        <w:t>有害因素是指影响人的身体健康，导致疾病，或对物造成慢性损害的因素。</w:t>
      </w:r>
    </w:p>
    <w:p>
      <w:pPr>
        <w:ind w:firstLine="560"/>
      </w:pPr>
      <w:r>
        <w:rPr>
          <w:rFonts w:hint="eastAsia"/>
        </w:rPr>
        <w:t>通常情况下，二者不加以区分而统称为危险和有害因素，主要指客观存在的危险、有害物质和能量超过一定限值的设备、设施和场所等。</w:t>
      </w:r>
    </w:p>
    <w:p>
      <w:pPr>
        <w:ind w:firstLine="560"/>
      </w:pPr>
      <w:r>
        <w:rPr>
          <w:rFonts w:hint="eastAsia"/>
        </w:rPr>
        <w:t>主要危险和有害因素的识别，就是找出生产、经营过程中最有可能引发重大事故，导致不良后果的人、机、物、工艺、环境和组织等，识别可能发生的事故、后果和条件，以便采取预防和控制措施。</w:t>
      </w:r>
    </w:p>
    <w:p>
      <w:pPr>
        <w:pStyle w:val="3"/>
        <w:keepNext w:val="0"/>
        <w:keepLines w:val="0"/>
        <w:ind w:firstLine="562"/>
        <w:rPr>
          <w:rFonts w:ascii="黑体" w:hAnsi="黑体" w:eastAsia="黑体" w:cs="黑体"/>
        </w:rPr>
      </w:pPr>
      <w:bookmarkStart w:id="3173" w:name="_Toc964"/>
      <w:bookmarkStart w:id="3174" w:name="_Toc14474"/>
      <w:bookmarkStart w:id="3175" w:name="_Toc21351"/>
      <w:bookmarkStart w:id="3176" w:name="_Toc3002"/>
      <w:bookmarkStart w:id="3177" w:name="_Toc27110"/>
      <w:bookmarkStart w:id="3178" w:name="_Toc23160"/>
      <w:bookmarkStart w:id="3179" w:name="_Toc10390"/>
      <w:bookmarkStart w:id="3180" w:name="_Toc4079"/>
      <w:bookmarkStart w:id="3181" w:name="_Toc19633"/>
      <w:bookmarkStart w:id="3182" w:name="_Toc15459"/>
      <w:bookmarkStart w:id="3183" w:name="_Toc3406"/>
      <w:bookmarkStart w:id="3184" w:name="_Toc18474"/>
      <w:bookmarkStart w:id="3185" w:name="_Toc165"/>
      <w:bookmarkStart w:id="3186" w:name="_Toc28886"/>
      <w:bookmarkStart w:id="3187" w:name="_Toc26182"/>
      <w:bookmarkStart w:id="3188" w:name="_Toc9742"/>
      <w:bookmarkStart w:id="3189" w:name="_Toc30595"/>
      <w:bookmarkStart w:id="3190" w:name="_Toc4167"/>
      <w:bookmarkStart w:id="3191" w:name="_Toc118131120"/>
      <w:bookmarkStart w:id="3192" w:name="_Toc3705"/>
      <w:bookmarkStart w:id="3193" w:name="_Toc21405"/>
      <w:bookmarkStart w:id="3194" w:name="_Toc26012"/>
      <w:bookmarkStart w:id="3195" w:name="_Toc13094"/>
      <w:bookmarkStart w:id="3196" w:name="_Toc12645"/>
      <w:bookmarkStart w:id="3197" w:name="_Toc2991"/>
      <w:bookmarkStart w:id="3198" w:name="_Toc118297978"/>
      <w:bookmarkStart w:id="3199" w:name="_Toc10600"/>
      <w:bookmarkStart w:id="3200" w:name="_Toc25929"/>
      <w:bookmarkStart w:id="3201" w:name="_Toc32329"/>
      <w:bookmarkStart w:id="3202" w:name="_Toc4031"/>
      <w:bookmarkStart w:id="3203" w:name="_Toc7164"/>
      <w:bookmarkStart w:id="3204" w:name="_Toc1847"/>
      <w:bookmarkStart w:id="3205" w:name="_Toc29990"/>
      <w:bookmarkStart w:id="3206" w:name="_Toc20782"/>
      <w:bookmarkStart w:id="3207" w:name="_Toc12499"/>
      <w:bookmarkStart w:id="3208" w:name="_Toc117866067"/>
      <w:r>
        <w:rPr>
          <w:rFonts w:hint="eastAsia" w:ascii="黑体" w:hAnsi="黑体" w:eastAsia="黑体" w:cs="黑体"/>
        </w:rPr>
        <w:t>F2.2 主要危险和有害因素辨识与分析的方法</w:t>
      </w:r>
      <w:bookmarkEnd w:id="3173"/>
      <w:bookmarkEnd w:id="3174"/>
      <w:bookmarkEnd w:id="3175"/>
      <w:bookmarkEnd w:id="3176"/>
      <w:bookmarkEnd w:id="3177"/>
      <w:bookmarkEnd w:id="3178"/>
      <w:bookmarkEnd w:id="3179"/>
      <w:bookmarkEnd w:id="3180"/>
      <w:bookmarkEnd w:id="3181"/>
      <w:bookmarkEnd w:id="3182"/>
      <w:bookmarkEnd w:id="3183"/>
      <w:bookmarkEnd w:id="3184"/>
      <w:bookmarkEnd w:id="3185"/>
      <w:bookmarkEnd w:id="3186"/>
      <w:bookmarkEnd w:id="3187"/>
      <w:bookmarkEnd w:id="3188"/>
      <w:bookmarkEnd w:id="3189"/>
      <w:bookmarkEnd w:id="3190"/>
      <w:bookmarkEnd w:id="3191"/>
      <w:bookmarkEnd w:id="3192"/>
      <w:bookmarkEnd w:id="3193"/>
      <w:bookmarkEnd w:id="3194"/>
      <w:bookmarkEnd w:id="3195"/>
      <w:bookmarkEnd w:id="3196"/>
      <w:bookmarkEnd w:id="3197"/>
      <w:bookmarkEnd w:id="3198"/>
      <w:bookmarkEnd w:id="3199"/>
      <w:bookmarkEnd w:id="3200"/>
      <w:bookmarkEnd w:id="3201"/>
      <w:bookmarkEnd w:id="3202"/>
      <w:bookmarkEnd w:id="3203"/>
      <w:bookmarkEnd w:id="3204"/>
      <w:bookmarkEnd w:id="3205"/>
      <w:bookmarkEnd w:id="3206"/>
      <w:bookmarkEnd w:id="3207"/>
      <w:bookmarkEnd w:id="3208"/>
    </w:p>
    <w:p>
      <w:pPr>
        <w:ind w:firstLine="560"/>
      </w:pPr>
      <w:r>
        <w:rPr>
          <w:rFonts w:hint="eastAsia"/>
        </w:rPr>
        <w:t>本报告对危险和有害因素的辨识方法，是根据本项目的生产工艺特点，及其在生产过程中涉及的危险、有害物质及其危险特性、生产工艺、设备及储存设施等方面进行分析，以辨识本项目存在的主要危险和有害因素。</w:t>
      </w:r>
    </w:p>
    <w:p>
      <w:pPr>
        <w:pStyle w:val="11"/>
        <w:ind w:firstLine="560"/>
      </w:pPr>
      <w:r>
        <w:rPr>
          <w:rFonts w:hint="eastAsia"/>
        </w:rPr>
        <w:t>按照《企业职工伤亡事故分类》（GB/T 6441），综合考虑起因物、引起事故的诱导性原因、致害物、伤害方式等，以辨识该项目在生产过程中存在的主要危险有害因素。</w:t>
      </w:r>
    </w:p>
    <w:p>
      <w:pPr>
        <w:ind w:firstLine="536"/>
        <w:rPr>
          <w:spacing w:val="-6"/>
        </w:rPr>
      </w:pPr>
      <w:r>
        <w:rPr>
          <w:rFonts w:hint="eastAsia"/>
          <w:spacing w:val="-6"/>
        </w:rPr>
        <w:t>根据《生产过程危险和有害因素分类与代码》（GB/T13861-2022）的规定，将危险因素和有害因素分为：人的因素、物的因素、环境因素、管理的因素。从上述四个方面，辨识该项目在生产过程中存在的主要危险和有害因素。</w:t>
      </w:r>
    </w:p>
    <w:p>
      <w:pPr>
        <w:pStyle w:val="3"/>
        <w:keepNext w:val="0"/>
        <w:keepLines w:val="0"/>
        <w:ind w:firstLine="562"/>
        <w:rPr>
          <w:rFonts w:ascii="黑体" w:hAnsi="黑体" w:eastAsia="黑体" w:cs="黑体"/>
        </w:rPr>
      </w:pPr>
      <w:bookmarkStart w:id="3209" w:name="_Toc118131121"/>
      <w:bookmarkStart w:id="3210" w:name="_Toc14075"/>
      <w:bookmarkStart w:id="3211" w:name="_Toc11333"/>
      <w:bookmarkStart w:id="3212" w:name="_Toc6512"/>
      <w:bookmarkStart w:id="3213" w:name="_Toc27664"/>
      <w:bookmarkStart w:id="3214" w:name="_Toc6576"/>
      <w:bookmarkStart w:id="3215" w:name="_Toc12244"/>
      <w:bookmarkStart w:id="3216" w:name="_Toc16988"/>
      <w:bookmarkStart w:id="3217" w:name="_Toc21697"/>
      <w:bookmarkStart w:id="3218" w:name="_Toc32275"/>
      <w:bookmarkStart w:id="3219" w:name="_Toc5290"/>
      <w:bookmarkStart w:id="3220" w:name="_Toc24094"/>
      <w:bookmarkStart w:id="3221" w:name="_Toc29143"/>
      <w:bookmarkStart w:id="3222" w:name="_Toc118297979"/>
      <w:bookmarkStart w:id="3223" w:name="_Toc11426"/>
      <w:bookmarkStart w:id="3224" w:name="_Toc4979"/>
      <w:bookmarkStart w:id="3225" w:name="_Toc18388"/>
      <w:bookmarkStart w:id="3226" w:name="_Toc19700"/>
      <w:bookmarkStart w:id="3227" w:name="_Toc13145"/>
      <w:bookmarkStart w:id="3228" w:name="_Toc117866068"/>
      <w:bookmarkStart w:id="3229" w:name="_Toc7261"/>
      <w:bookmarkStart w:id="3230" w:name="_Toc22384"/>
      <w:bookmarkStart w:id="3231" w:name="_Toc28568"/>
      <w:bookmarkStart w:id="3232" w:name="_Toc21031"/>
      <w:bookmarkStart w:id="3233" w:name="_Toc6259"/>
      <w:bookmarkStart w:id="3234" w:name="_Toc6279"/>
      <w:bookmarkStart w:id="3235" w:name="_Toc13998"/>
      <w:bookmarkStart w:id="3236" w:name="_Toc2272"/>
      <w:bookmarkStart w:id="3237" w:name="_Toc15376"/>
      <w:bookmarkStart w:id="3238" w:name="_Toc15757"/>
      <w:bookmarkStart w:id="3239" w:name="_Toc19979"/>
      <w:bookmarkStart w:id="3240" w:name="_Toc31733"/>
      <w:bookmarkStart w:id="3241" w:name="_Toc8539"/>
      <w:bookmarkStart w:id="3242" w:name="_Toc29496"/>
      <w:bookmarkStart w:id="3243" w:name="_Toc8305"/>
      <w:bookmarkStart w:id="3244" w:name="_Toc18762"/>
      <w:r>
        <w:rPr>
          <w:rFonts w:hint="eastAsia" w:ascii="黑体" w:hAnsi="黑体" w:eastAsia="黑体" w:cs="黑体"/>
        </w:rPr>
        <w:t>F2.3 危险和有害因素产生的原因</w:t>
      </w:r>
      <w:bookmarkEnd w:id="3209"/>
      <w:bookmarkEnd w:id="3210"/>
      <w:bookmarkEnd w:id="3211"/>
      <w:bookmarkEnd w:id="3212"/>
      <w:bookmarkEnd w:id="3213"/>
      <w:bookmarkEnd w:id="3214"/>
      <w:bookmarkEnd w:id="3215"/>
      <w:bookmarkEnd w:id="3216"/>
      <w:bookmarkEnd w:id="3217"/>
      <w:bookmarkEnd w:id="3218"/>
      <w:bookmarkEnd w:id="3219"/>
      <w:bookmarkEnd w:id="3220"/>
      <w:bookmarkEnd w:id="3221"/>
      <w:bookmarkEnd w:id="3222"/>
      <w:bookmarkEnd w:id="3223"/>
      <w:bookmarkEnd w:id="3224"/>
      <w:bookmarkEnd w:id="3225"/>
      <w:bookmarkEnd w:id="3226"/>
      <w:bookmarkEnd w:id="3227"/>
      <w:bookmarkEnd w:id="3228"/>
      <w:bookmarkEnd w:id="3229"/>
      <w:bookmarkEnd w:id="3230"/>
      <w:bookmarkEnd w:id="3231"/>
      <w:bookmarkEnd w:id="3232"/>
      <w:bookmarkEnd w:id="3233"/>
      <w:bookmarkEnd w:id="3234"/>
      <w:bookmarkEnd w:id="3235"/>
      <w:bookmarkEnd w:id="3236"/>
      <w:bookmarkEnd w:id="3237"/>
      <w:bookmarkEnd w:id="3238"/>
      <w:bookmarkEnd w:id="3239"/>
      <w:bookmarkEnd w:id="3240"/>
      <w:bookmarkEnd w:id="3241"/>
      <w:bookmarkEnd w:id="3242"/>
      <w:bookmarkEnd w:id="3243"/>
      <w:bookmarkEnd w:id="3244"/>
    </w:p>
    <w:p>
      <w:pPr>
        <w:pStyle w:val="4"/>
        <w:ind w:firstLine="562"/>
      </w:pPr>
      <w:bookmarkStart w:id="3245" w:name="_Toc19771"/>
      <w:bookmarkStart w:id="3246" w:name="_Toc5553"/>
      <w:bookmarkStart w:id="3247" w:name="_Toc117866069"/>
      <w:bookmarkStart w:id="3248" w:name="_Toc27507"/>
      <w:bookmarkStart w:id="3249" w:name="_Toc24247"/>
      <w:bookmarkStart w:id="3250" w:name="_Toc8031"/>
      <w:bookmarkStart w:id="3251" w:name="_Toc22129"/>
      <w:bookmarkStart w:id="3252" w:name="_Toc31229"/>
      <w:bookmarkStart w:id="3253" w:name="_Toc15306"/>
      <w:bookmarkStart w:id="3254" w:name="_Toc30062"/>
      <w:bookmarkStart w:id="3255" w:name="_Toc16170"/>
      <w:bookmarkStart w:id="3256" w:name="_Toc19802"/>
      <w:bookmarkStart w:id="3257" w:name="_Toc24102"/>
      <w:bookmarkStart w:id="3258" w:name="_Toc28828"/>
      <w:bookmarkStart w:id="3259" w:name="_Toc11440"/>
      <w:bookmarkStart w:id="3260" w:name="_Toc13091"/>
      <w:bookmarkStart w:id="3261" w:name="_Toc13130"/>
      <w:bookmarkStart w:id="3262" w:name="_Toc27146"/>
      <w:bookmarkStart w:id="3263" w:name="_Toc5777"/>
      <w:bookmarkStart w:id="3264" w:name="_Toc118297980"/>
      <w:bookmarkStart w:id="3265" w:name="_Toc29584"/>
      <w:bookmarkStart w:id="3266" w:name="_Toc22284"/>
      <w:bookmarkStart w:id="3267" w:name="_Toc12747"/>
      <w:bookmarkStart w:id="3268" w:name="_Toc118131122"/>
      <w:bookmarkStart w:id="3269" w:name="_Toc12373"/>
      <w:bookmarkStart w:id="3270" w:name="_Toc28063"/>
      <w:r>
        <w:rPr>
          <w:rFonts w:hint="eastAsia"/>
        </w:rPr>
        <w:t>F2.3.1</w:t>
      </w:r>
      <w:r>
        <w:rPr>
          <w:rFonts w:hint="eastAsia"/>
        </w:rPr>
        <w:tab/>
      </w:r>
      <w:r>
        <w:rPr>
          <w:rFonts w:hint="eastAsia"/>
        </w:rPr>
        <w:t xml:space="preserve"> 运行失控与设备故障</w:t>
      </w:r>
      <w:bookmarkEnd w:id="3245"/>
      <w:bookmarkEnd w:id="3246"/>
      <w:bookmarkEnd w:id="3247"/>
      <w:bookmarkEnd w:id="3248"/>
      <w:bookmarkEnd w:id="3249"/>
      <w:bookmarkEnd w:id="3250"/>
      <w:bookmarkEnd w:id="3251"/>
      <w:bookmarkEnd w:id="3252"/>
      <w:bookmarkEnd w:id="3253"/>
      <w:bookmarkEnd w:id="3254"/>
      <w:bookmarkEnd w:id="3255"/>
      <w:bookmarkEnd w:id="3256"/>
      <w:bookmarkEnd w:id="3257"/>
      <w:bookmarkEnd w:id="3258"/>
      <w:bookmarkEnd w:id="3259"/>
      <w:bookmarkEnd w:id="3260"/>
      <w:bookmarkEnd w:id="3261"/>
      <w:bookmarkEnd w:id="3262"/>
      <w:bookmarkEnd w:id="3263"/>
      <w:bookmarkEnd w:id="3264"/>
      <w:bookmarkEnd w:id="3265"/>
      <w:bookmarkEnd w:id="3266"/>
      <w:bookmarkEnd w:id="3267"/>
      <w:bookmarkEnd w:id="3268"/>
      <w:bookmarkEnd w:id="3269"/>
      <w:bookmarkEnd w:id="3270"/>
    </w:p>
    <w:p>
      <w:pPr>
        <w:ind w:firstLine="560"/>
      </w:pPr>
      <w:r>
        <w:rPr>
          <w:rFonts w:hint="eastAsia"/>
        </w:rPr>
        <w:t>运行失控是指装置运行过程中偏离或超过了正常的工艺技术条件,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或减少。</w:t>
      </w:r>
    </w:p>
    <w:p>
      <w:pPr>
        <w:pStyle w:val="4"/>
        <w:ind w:firstLine="562"/>
      </w:pPr>
      <w:bookmarkStart w:id="3271" w:name="_Toc9361"/>
      <w:bookmarkStart w:id="3272" w:name="_Toc6377"/>
      <w:bookmarkStart w:id="3273" w:name="_Toc29323"/>
      <w:bookmarkStart w:id="3274" w:name="_Toc22997"/>
      <w:bookmarkStart w:id="3275" w:name="_Toc29129"/>
      <w:bookmarkStart w:id="3276" w:name="_Toc13974"/>
      <w:bookmarkStart w:id="3277" w:name="_Toc1334"/>
      <w:bookmarkStart w:id="3278" w:name="_Toc15081"/>
      <w:bookmarkStart w:id="3279" w:name="_Toc12468"/>
      <w:bookmarkStart w:id="3280" w:name="_Toc118297981"/>
      <w:bookmarkStart w:id="3281" w:name="_Toc17389"/>
      <w:bookmarkStart w:id="3282" w:name="_Toc6289"/>
      <w:bookmarkStart w:id="3283" w:name="_Toc31873"/>
      <w:bookmarkStart w:id="3284" w:name="_Toc22643"/>
      <w:bookmarkStart w:id="3285" w:name="_Toc8502"/>
      <w:bookmarkStart w:id="3286" w:name="_Toc118131123"/>
      <w:bookmarkStart w:id="3287" w:name="_Toc9306"/>
      <w:bookmarkStart w:id="3288" w:name="_Toc623"/>
      <w:bookmarkStart w:id="3289" w:name="_Toc117866070"/>
      <w:bookmarkStart w:id="3290" w:name="_Toc7918"/>
      <w:bookmarkStart w:id="3291" w:name="_Toc27941"/>
      <w:bookmarkStart w:id="3292" w:name="_Toc18843"/>
      <w:bookmarkStart w:id="3293" w:name="_Toc28342"/>
      <w:bookmarkStart w:id="3294" w:name="_Toc12050"/>
      <w:bookmarkStart w:id="3295" w:name="_Toc27741"/>
      <w:bookmarkStart w:id="3296" w:name="_Toc15256"/>
      <w:r>
        <w:rPr>
          <w:rFonts w:hint="eastAsia"/>
        </w:rPr>
        <w:t>F2.3.2 人员失误</w:t>
      </w:r>
      <w:bookmarkEnd w:id="3271"/>
      <w:bookmarkEnd w:id="3272"/>
      <w:bookmarkEnd w:id="3273"/>
      <w:bookmarkEnd w:id="3274"/>
      <w:bookmarkEnd w:id="3275"/>
      <w:bookmarkEnd w:id="3276"/>
      <w:bookmarkEnd w:id="3277"/>
      <w:bookmarkEnd w:id="3278"/>
      <w:bookmarkEnd w:id="3279"/>
      <w:bookmarkEnd w:id="3280"/>
      <w:bookmarkEnd w:id="3281"/>
      <w:bookmarkEnd w:id="3282"/>
      <w:bookmarkEnd w:id="3283"/>
      <w:bookmarkEnd w:id="3284"/>
      <w:bookmarkEnd w:id="3285"/>
      <w:bookmarkEnd w:id="3286"/>
      <w:bookmarkEnd w:id="3287"/>
      <w:bookmarkEnd w:id="3288"/>
      <w:bookmarkEnd w:id="3289"/>
      <w:bookmarkEnd w:id="3290"/>
      <w:bookmarkEnd w:id="3291"/>
      <w:bookmarkEnd w:id="3292"/>
      <w:bookmarkEnd w:id="3293"/>
      <w:bookmarkEnd w:id="3294"/>
      <w:bookmarkEnd w:id="3295"/>
      <w:bookmarkEnd w:id="3296"/>
    </w:p>
    <w:p>
      <w:pPr>
        <w:ind w:firstLine="560"/>
      </w:pPr>
      <w:r>
        <w:rPr>
          <w:rFonts w:hint="eastAsia"/>
        </w:rPr>
        <w:t>人员失误系指不安全行为（指员工在劳动过程中违反劳动纪律、操作程序、方法等具有危险性的作法）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pPr>
        <w:pStyle w:val="4"/>
        <w:ind w:firstLine="562"/>
      </w:pPr>
      <w:bookmarkStart w:id="3297" w:name="_Toc16997"/>
      <w:bookmarkStart w:id="3298" w:name="_Toc29563"/>
      <w:bookmarkStart w:id="3299" w:name="_Toc3153"/>
      <w:bookmarkStart w:id="3300" w:name="_Toc31111"/>
      <w:bookmarkStart w:id="3301" w:name="_Toc22255"/>
      <w:bookmarkStart w:id="3302" w:name="_Toc26241"/>
      <w:bookmarkStart w:id="3303" w:name="_Toc1506"/>
      <w:bookmarkStart w:id="3304" w:name="_Toc29249"/>
      <w:bookmarkStart w:id="3305" w:name="_Toc29694"/>
      <w:bookmarkStart w:id="3306" w:name="_Toc12005"/>
      <w:bookmarkStart w:id="3307" w:name="_Toc118297982"/>
      <w:bookmarkStart w:id="3308" w:name="_Toc118131124"/>
      <w:bookmarkStart w:id="3309" w:name="_Toc5348"/>
      <w:bookmarkStart w:id="3310" w:name="_Toc30468"/>
      <w:bookmarkStart w:id="3311" w:name="_Toc29888"/>
      <w:bookmarkStart w:id="3312" w:name="_Toc15894"/>
      <w:bookmarkStart w:id="3313" w:name="_Toc23305"/>
      <w:bookmarkStart w:id="3314" w:name="_Toc27806"/>
      <w:bookmarkStart w:id="3315" w:name="_Toc117866071"/>
      <w:bookmarkStart w:id="3316" w:name="_Toc13691"/>
      <w:bookmarkStart w:id="3317" w:name="_Toc8624"/>
      <w:bookmarkStart w:id="3318" w:name="_Toc23882"/>
      <w:bookmarkStart w:id="3319" w:name="_Toc13036"/>
      <w:bookmarkStart w:id="3320" w:name="_Toc20735"/>
      <w:bookmarkStart w:id="3321" w:name="_Toc3513"/>
      <w:bookmarkStart w:id="3322" w:name="_Toc25099"/>
      <w:r>
        <w:rPr>
          <w:rFonts w:hint="eastAsia"/>
        </w:rPr>
        <w:t>F2.3.3 管理缺陷</w:t>
      </w:r>
      <w:bookmarkEnd w:id="3297"/>
      <w:bookmarkEnd w:id="3298"/>
      <w:bookmarkEnd w:id="3299"/>
      <w:bookmarkEnd w:id="3300"/>
      <w:bookmarkEnd w:id="3301"/>
      <w:bookmarkEnd w:id="3302"/>
      <w:bookmarkEnd w:id="3303"/>
      <w:bookmarkEnd w:id="3304"/>
      <w:bookmarkEnd w:id="3305"/>
      <w:bookmarkEnd w:id="3306"/>
      <w:bookmarkEnd w:id="3307"/>
      <w:bookmarkEnd w:id="3308"/>
      <w:bookmarkEnd w:id="3309"/>
      <w:bookmarkEnd w:id="3310"/>
      <w:bookmarkEnd w:id="3311"/>
      <w:bookmarkEnd w:id="3312"/>
      <w:bookmarkEnd w:id="3313"/>
      <w:bookmarkEnd w:id="3314"/>
      <w:bookmarkEnd w:id="3315"/>
      <w:bookmarkEnd w:id="3316"/>
      <w:bookmarkEnd w:id="3317"/>
      <w:bookmarkEnd w:id="3318"/>
      <w:bookmarkEnd w:id="3319"/>
      <w:bookmarkEnd w:id="3320"/>
      <w:bookmarkEnd w:id="3321"/>
      <w:bookmarkEnd w:id="3322"/>
    </w:p>
    <w:p>
      <w:pPr>
        <w:ind w:firstLine="560"/>
      </w:pPr>
      <w:r>
        <w:rPr>
          <w:rFonts w:hint="eastAsia"/>
        </w:rPr>
        <w:t>安全管理是为保证及时、有效地实现既定的安全目标，在预测、分析的基础上进行的计划、组织、协调、检查等工作，是预防故障和人员失误发生的有效手段，因此，管理缺陷是影响运行失控发生的重要因素。</w:t>
      </w:r>
    </w:p>
    <w:p>
      <w:pPr>
        <w:pStyle w:val="4"/>
        <w:ind w:firstLine="562"/>
      </w:pPr>
      <w:bookmarkStart w:id="3323" w:name="_Toc28314"/>
      <w:bookmarkStart w:id="3324" w:name="_Toc15480"/>
      <w:bookmarkStart w:id="3325" w:name="_Toc118131125"/>
      <w:bookmarkStart w:id="3326" w:name="_Toc4970"/>
      <w:bookmarkStart w:id="3327" w:name="_Toc27748"/>
      <w:bookmarkStart w:id="3328" w:name="_Toc118297983"/>
      <w:bookmarkStart w:id="3329" w:name="_Toc10735"/>
      <w:bookmarkStart w:id="3330" w:name="_Toc15275"/>
      <w:bookmarkStart w:id="3331" w:name="_Toc22427"/>
      <w:bookmarkStart w:id="3332" w:name="_Toc9422"/>
      <w:bookmarkStart w:id="3333" w:name="_Toc6528"/>
      <w:bookmarkStart w:id="3334" w:name="_Toc214"/>
      <w:bookmarkStart w:id="3335" w:name="_Toc30447"/>
      <w:bookmarkStart w:id="3336" w:name="_Toc2277"/>
      <w:bookmarkStart w:id="3337" w:name="_Toc24107"/>
      <w:bookmarkStart w:id="3338" w:name="_Toc28563"/>
      <w:bookmarkStart w:id="3339" w:name="_Toc32524"/>
      <w:bookmarkStart w:id="3340" w:name="_Toc117866072"/>
      <w:bookmarkStart w:id="3341" w:name="_Toc13977"/>
      <w:bookmarkStart w:id="3342" w:name="_Toc6907"/>
      <w:bookmarkStart w:id="3343" w:name="_Toc30399"/>
      <w:bookmarkStart w:id="3344" w:name="_Toc5184"/>
      <w:bookmarkStart w:id="3345" w:name="_Toc13142"/>
      <w:bookmarkStart w:id="3346" w:name="_Toc2505"/>
      <w:bookmarkStart w:id="3347" w:name="_Toc7039"/>
      <w:bookmarkStart w:id="3348" w:name="_Toc24788"/>
      <w:r>
        <w:rPr>
          <w:rFonts w:hint="eastAsia"/>
        </w:rPr>
        <w:t>F2.3.4 环境的原因</w:t>
      </w:r>
      <w:bookmarkEnd w:id="3323"/>
      <w:bookmarkEnd w:id="3324"/>
      <w:bookmarkEnd w:id="3325"/>
      <w:bookmarkEnd w:id="3326"/>
      <w:bookmarkEnd w:id="3327"/>
      <w:bookmarkEnd w:id="3328"/>
      <w:bookmarkEnd w:id="3329"/>
      <w:bookmarkEnd w:id="3330"/>
      <w:bookmarkEnd w:id="3331"/>
      <w:bookmarkEnd w:id="3332"/>
      <w:bookmarkEnd w:id="3333"/>
      <w:bookmarkEnd w:id="3334"/>
      <w:bookmarkEnd w:id="3335"/>
      <w:bookmarkEnd w:id="3336"/>
      <w:bookmarkEnd w:id="3337"/>
      <w:bookmarkEnd w:id="3338"/>
      <w:bookmarkEnd w:id="3339"/>
      <w:bookmarkEnd w:id="3340"/>
      <w:bookmarkEnd w:id="3341"/>
      <w:bookmarkEnd w:id="3342"/>
      <w:bookmarkEnd w:id="3343"/>
      <w:bookmarkEnd w:id="3344"/>
      <w:bookmarkEnd w:id="3345"/>
      <w:bookmarkEnd w:id="3346"/>
      <w:bookmarkEnd w:id="3347"/>
      <w:bookmarkEnd w:id="3348"/>
    </w:p>
    <w:p>
      <w:pPr>
        <w:ind w:firstLine="560"/>
      </w:pPr>
      <w:r>
        <w:rPr>
          <w:rFonts w:hint="eastAsia"/>
        </w:rPr>
        <w:t>不安全的环境是引起事故的物质基础，它是事故的直接原因，通常指：</w:t>
      </w:r>
    </w:p>
    <w:p>
      <w:pPr>
        <w:ind w:firstLine="560"/>
      </w:pPr>
      <w:r>
        <w:rPr>
          <w:rFonts w:hint="eastAsia"/>
        </w:rPr>
        <w:t>（1）自然环境的异常，即地质、水文、气象等方面的恶劣变异；</w:t>
      </w:r>
    </w:p>
    <w:p>
      <w:pPr>
        <w:ind w:firstLine="560"/>
      </w:pPr>
      <w:r>
        <w:rPr>
          <w:rFonts w:hint="eastAsia"/>
        </w:rPr>
        <w:t>（2）生产环境不良，即照明、温度、湿度、通风、噪声、振动、空气质量、颜色等方面的问题。</w:t>
      </w:r>
    </w:p>
    <w:p>
      <w:pPr>
        <w:pStyle w:val="3"/>
        <w:keepNext w:val="0"/>
        <w:keepLines w:val="0"/>
        <w:ind w:firstLine="562"/>
        <w:rPr>
          <w:rFonts w:ascii="黑体" w:hAnsi="黑体" w:eastAsia="黑体" w:cs="黑体"/>
        </w:rPr>
      </w:pPr>
      <w:bookmarkStart w:id="3349" w:name="_Toc15325"/>
      <w:bookmarkStart w:id="3350" w:name="_Toc5993"/>
      <w:bookmarkStart w:id="3351" w:name="_Toc10928"/>
      <w:bookmarkStart w:id="3352" w:name="_Toc24621"/>
      <w:bookmarkStart w:id="3353" w:name="_Toc118131126"/>
      <w:bookmarkStart w:id="3354" w:name="_Toc22642"/>
      <w:bookmarkStart w:id="3355" w:name="_Toc14020"/>
      <w:bookmarkStart w:id="3356" w:name="_Toc1195"/>
      <w:bookmarkStart w:id="3357" w:name="_Toc14185"/>
      <w:bookmarkStart w:id="3358" w:name="_Toc11303"/>
      <w:bookmarkStart w:id="3359" w:name="_Toc12546"/>
      <w:bookmarkStart w:id="3360" w:name="_Toc117866073"/>
      <w:bookmarkStart w:id="3361" w:name="_Toc9801"/>
      <w:bookmarkStart w:id="3362" w:name="_Toc18279"/>
      <w:bookmarkStart w:id="3363" w:name="_Toc5202"/>
      <w:bookmarkStart w:id="3364" w:name="_Toc16537"/>
      <w:bookmarkStart w:id="3365" w:name="_Toc23329"/>
      <w:bookmarkStart w:id="3366" w:name="_Toc24940"/>
      <w:bookmarkStart w:id="3367" w:name="_Toc25129"/>
      <w:bookmarkStart w:id="3368" w:name="_Toc25062"/>
      <w:bookmarkStart w:id="3369" w:name="_Toc9562"/>
      <w:bookmarkStart w:id="3370" w:name="_Toc28867"/>
      <w:bookmarkStart w:id="3371" w:name="_Toc10837"/>
      <w:bookmarkStart w:id="3372" w:name="_Toc9974"/>
      <w:bookmarkStart w:id="3373" w:name="_Toc7535"/>
      <w:bookmarkStart w:id="3374" w:name="_Toc24706"/>
      <w:bookmarkStart w:id="3375" w:name="_Toc5029"/>
      <w:bookmarkStart w:id="3376" w:name="_Toc21622"/>
      <w:bookmarkStart w:id="3377" w:name="_Toc6503"/>
      <w:bookmarkStart w:id="3378" w:name="_Toc118297984"/>
      <w:bookmarkStart w:id="3379" w:name="_Toc23290"/>
      <w:bookmarkStart w:id="3380" w:name="_Toc20409"/>
      <w:bookmarkStart w:id="3381" w:name="_Toc28004"/>
      <w:bookmarkStart w:id="3382" w:name="_Toc28961"/>
      <w:bookmarkStart w:id="3383" w:name="_Toc3122"/>
      <w:bookmarkStart w:id="3384" w:name="_Toc19077"/>
      <w:r>
        <w:rPr>
          <w:rFonts w:hint="eastAsia" w:ascii="黑体" w:hAnsi="黑体" w:eastAsia="黑体" w:cs="黑体"/>
        </w:rPr>
        <w:t>F2.4 主要危险有害物质的理化性质、辨识及其危险性分析</w:t>
      </w:r>
      <w:bookmarkEnd w:id="3349"/>
      <w:bookmarkEnd w:id="3350"/>
      <w:bookmarkEnd w:id="3351"/>
      <w:bookmarkEnd w:id="3352"/>
      <w:bookmarkEnd w:id="3353"/>
      <w:bookmarkEnd w:id="3354"/>
      <w:bookmarkEnd w:id="3355"/>
      <w:bookmarkEnd w:id="3356"/>
      <w:bookmarkEnd w:id="3357"/>
      <w:bookmarkEnd w:id="3358"/>
      <w:bookmarkEnd w:id="3359"/>
      <w:bookmarkEnd w:id="3360"/>
      <w:bookmarkEnd w:id="3361"/>
      <w:bookmarkEnd w:id="3362"/>
      <w:bookmarkEnd w:id="3363"/>
      <w:bookmarkEnd w:id="3364"/>
      <w:bookmarkEnd w:id="3365"/>
      <w:bookmarkEnd w:id="3366"/>
      <w:bookmarkEnd w:id="3367"/>
      <w:bookmarkEnd w:id="3368"/>
      <w:bookmarkEnd w:id="3369"/>
      <w:bookmarkEnd w:id="3370"/>
      <w:bookmarkEnd w:id="3371"/>
      <w:bookmarkEnd w:id="3372"/>
      <w:bookmarkEnd w:id="3373"/>
      <w:bookmarkEnd w:id="3374"/>
      <w:bookmarkEnd w:id="3375"/>
      <w:bookmarkEnd w:id="3376"/>
      <w:bookmarkEnd w:id="3377"/>
      <w:bookmarkEnd w:id="3378"/>
      <w:bookmarkEnd w:id="3379"/>
      <w:bookmarkEnd w:id="3380"/>
      <w:bookmarkEnd w:id="3381"/>
      <w:bookmarkEnd w:id="3382"/>
      <w:bookmarkEnd w:id="3383"/>
      <w:bookmarkEnd w:id="3384"/>
    </w:p>
    <w:p>
      <w:pPr>
        <w:pStyle w:val="4"/>
        <w:ind w:firstLine="562"/>
      </w:pPr>
      <w:bookmarkStart w:id="3385" w:name="_Toc16647"/>
      <w:bookmarkStart w:id="3386" w:name="_Toc5613"/>
      <w:bookmarkStart w:id="3387" w:name="_Toc1456"/>
      <w:bookmarkStart w:id="3388" w:name="_Toc22551"/>
      <w:bookmarkStart w:id="3389" w:name="_Toc32012"/>
      <w:bookmarkStart w:id="3390" w:name="_Toc118131127"/>
      <w:bookmarkStart w:id="3391" w:name="_Toc3711"/>
      <w:bookmarkStart w:id="3392" w:name="_Toc26952"/>
      <w:bookmarkStart w:id="3393" w:name="_Toc20578"/>
      <w:bookmarkStart w:id="3394" w:name="_Toc20692"/>
      <w:bookmarkStart w:id="3395" w:name="_Toc13524"/>
      <w:bookmarkStart w:id="3396" w:name="_Toc8836"/>
      <w:bookmarkStart w:id="3397" w:name="_Toc5052"/>
      <w:bookmarkStart w:id="3398" w:name="_Toc2694"/>
      <w:bookmarkStart w:id="3399" w:name="_Toc24370"/>
      <w:bookmarkStart w:id="3400" w:name="_Toc1105"/>
      <w:bookmarkStart w:id="3401" w:name="_Toc117866074"/>
      <w:bookmarkStart w:id="3402" w:name="_Toc2753"/>
      <w:bookmarkStart w:id="3403" w:name="_Toc21150"/>
      <w:bookmarkStart w:id="3404" w:name="_Toc6672"/>
      <w:bookmarkStart w:id="3405" w:name="_Toc21093"/>
      <w:bookmarkStart w:id="3406" w:name="_Toc5783"/>
      <w:bookmarkStart w:id="3407" w:name="_Toc118297985"/>
      <w:bookmarkStart w:id="3408" w:name="_Toc12068"/>
      <w:bookmarkStart w:id="3409" w:name="_Toc4863"/>
      <w:bookmarkStart w:id="3410" w:name="_Toc25286"/>
      <w:r>
        <w:rPr>
          <w:rFonts w:hint="eastAsia"/>
        </w:rPr>
        <w:t>F2.4.1 危险化学品辨识</w:t>
      </w:r>
      <w:bookmarkEnd w:id="3385"/>
      <w:bookmarkEnd w:id="3386"/>
      <w:bookmarkEnd w:id="3387"/>
      <w:bookmarkEnd w:id="3388"/>
      <w:bookmarkEnd w:id="3389"/>
      <w:bookmarkEnd w:id="3390"/>
      <w:bookmarkEnd w:id="3391"/>
      <w:bookmarkEnd w:id="3392"/>
      <w:bookmarkEnd w:id="3393"/>
      <w:bookmarkEnd w:id="3394"/>
      <w:bookmarkEnd w:id="3395"/>
      <w:bookmarkEnd w:id="3396"/>
      <w:bookmarkEnd w:id="3397"/>
      <w:bookmarkEnd w:id="3398"/>
      <w:bookmarkEnd w:id="3399"/>
      <w:bookmarkEnd w:id="3400"/>
      <w:bookmarkEnd w:id="3401"/>
      <w:bookmarkEnd w:id="3402"/>
      <w:bookmarkEnd w:id="3403"/>
      <w:bookmarkEnd w:id="3404"/>
      <w:bookmarkEnd w:id="3405"/>
      <w:bookmarkEnd w:id="3406"/>
      <w:bookmarkEnd w:id="3407"/>
      <w:bookmarkEnd w:id="3408"/>
      <w:bookmarkEnd w:id="3409"/>
      <w:bookmarkEnd w:id="3410"/>
    </w:p>
    <w:bookmarkEnd w:id="3143"/>
    <w:bookmarkEnd w:id="3144"/>
    <w:bookmarkEnd w:id="3145"/>
    <w:bookmarkEnd w:id="3146"/>
    <w:bookmarkEnd w:id="3147"/>
    <w:p>
      <w:pPr>
        <w:pStyle w:val="62"/>
        <w:topLinePunct/>
        <w:ind w:firstLine="560"/>
        <w:rPr>
          <w:rFonts w:ascii="宋体" w:hAnsi="宋体"/>
          <w:color w:val="auto"/>
          <w:szCs w:val="28"/>
        </w:rPr>
      </w:pPr>
      <w:r>
        <w:rPr>
          <w:rFonts w:hint="eastAsia" w:ascii="宋体" w:hAnsi="宋体"/>
          <w:snapToGrid w:val="0"/>
          <w:color w:val="000000" w:themeColor="text1"/>
          <w:kern w:val="0"/>
          <w:szCs w:val="28"/>
        </w:rPr>
        <w:t>根据</w:t>
      </w:r>
      <w:r>
        <w:rPr>
          <w:rFonts w:hint="eastAsia" w:ascii="宋体" w:hAnsi="宋体"/>
          <w:color w:val="000000" w:themeColor="text1"/>
          <w:szCs w:val="28"/>
        </w:rPr>
        <w:t>跃进化工</w:t>
      </w:r>
      <w:r>
        <w:rPr>
          <w:rFonts w:hint="eastAsia" w:ascii="宋体" w:hAnsi="宋体"/>
          <w:snapToGrid w:val="0"/>
          <w:color w:val="000000" w:themeColor="text1"/>
          <w:kern w:val="0"/>
          <w:szCs w:val="28"/>
        </w:rPr>
        <w:t>生产工艺特点分析，</w:t>
      </w:r>
      <w:r>
        <w:rPr>
          <w:rFonts w:hint="eastAsia" w:ascii="宋体" w:hAnsi="宋体"/>
          <w:color w:val="000000" w:themeColor="text1"/>
          <w:szCs w:val="28"/>
        </w:rPr>
        <w:t>项目</w:t>
      </w:r>
      <w:r>
        <w:rPr>
          <w:rFonts w:hint="eastAsia" w:ascii="宋体" w:hAnsi="宋体"/>
          <w:snapToGrid w:val="0"/>
          <w:color w:val="000000" w:themeColor="text1"/>
          <w:kern w:val="0"/>
          <w:szCs w:val="28"/>
        </w:rPr>
        <w:t>生产</w:t>
      </w:r>
      <w:r>
        <w:rPr>
          <w:rFonts w:ascii="宋体" w:hAnsi="宋体"/>
          <w:snapToGrid w:val="0"/>
          <w:color w:val="000000" w:themeColor="text1"/>
          <w:kern w:val="0"/>
          <w:szCs w:val="28"/>
        </w:rPr>
        <w:t>过程中涉及到的主要物质</w:t>
      </w:r>
      <w:r>
        <w:rPr>
          <w:rFonts w:hint="eastAsia" w:ascii="宋体" w:hAnsi="宋体"/>
          <w:snapToGrid w:val="0"/>
          <w:color w:val="000000" w:themeColor="text1"/>
          <w:kern w:val="0"/>
          <w:szCs w:val="28"/>
        </w:rPr>
        <w:t>是</w:t>
      </w:r>
      <w:bookmarkStart w:id="3411" w:name="_Toc13128"/>
      <w:bookmarkStart w:id="3412" w:name="_Toc42724699"/>
      <w:bookmarkStart w:id="3413" w:name="_Toc15444"/>
      <w:bookmarkStart w:id="3414" w:name="_Toc28495"/>
      <w:bookmarkStart w:id="3415" w:name="_Toc4439"/>
      <w:bookmarkStart w:id="3416" w:name="_Toc7441"/>
      <w:bookmarkStart w:id="3417" w:name="_Toc16749"/>
      <w:bookmarkStart w:id="3418" w:name="_Toc31259"/>
      <w:bookmarkStart w:id="3419" w:name="_Toc15713"/>
      <w:bookmarkStart w:id="3420" w:name="_Toc128056490"/>
      <w:bookmarkStart w:id="3421" w:name="_Toc21645"/>
      <w:r>
        <w:rPr>
          <w:rFonts w:hint="eastAsia" w:ascii="宋体" w:hAnsi="宋体"/>
          <w:color w:val="auto"/>
          <w:szCs w:val="28"/>
        </w:rPr>
        <w:t>：</w:t>
      </w:r>
      <w:r>
        <w:rPr>
          <w:rFonts w:hint="eastAsia"/>
          <w:color w:val="auto"/>
          <w:kern w:val="0"/>
          <w:szCs w:val="28"/>
        </w:rPr>
        <w:t>硫酸、二氧化硫、三氧化硫、</w:t>
      </w:r>
      <w:r>
        <w:rPr>
          <w:rFonts w:hint="eastAsia" w:hAnsi="宋体" w:cs="宋体"/>
          <w:szCs w:val="28"/>
        </w:rPr>
        <w:t>双氧水</w:t>
      </w:r>
      <w:r>
        <w:rPr>
          <w:rFonts w:hint="eastAsia"/>
          <w:color w:val="auto"/>
          <w:kern w:val="0"/>
          <w:szCs w:val="28"/>
        </w:rPr>
        <w:t>、五氧化二钒及柴油</w:t>
      </w:r>
      <w:r>
        <w:rPr>
          <w:rFonts w:hint="eastAsia" w:ascii="宋体" w:hAnsi="宋体"/>
          <w:color w:val="auto"/>
          <w:szCs w:val="28"/>
        </w:rPr>
        <w:t>。</w:t>
      </w:r>
    </w:p>
    <w:p>
      <w:pPr>
        <w:spacing w:line="500" w:lineRule="exact"/>
        <w:ind w:firstLine="562"/>
        <w:outlineLvl w:val="2"/>
        <w:rPr>
          <w:b/>
        </w:rPr>
      </w:pPr>
      <w:bookmarkStart w:id="3422" w:name="_Toc20286"/>
      <w:bookmarkStart w:id="3423" w:name="_Toc16762"/>
      <w:bookmarkStart w:id="3424" w:name="_Toc31041"/>
      <w:bookmarkStart w:id="3425" w:name="_Toc30773"/>
      <w:bookmarkStart w:id="3426" w:name="_Toc18918"/>
      <w:bookmarkStart w:id="3427" w:name="_Toc26267"/>
      <w:bookmarkStart w:id="3428" w:name="_Toc9396"/>
      <w:bookmarkStart w:id="3429" w:name="_Toc18374"/>
      <w:bookmarkStart w:id="3430" w:name="_Toc21188"/>
      <w:bookmarkStart w:id="3431" w:name="_Toc32469"/>
      <w:bookmarkStart w:id="3432" w:name="_Toc7961"/>
      <w:bookmarkStart w:id="3433" w:name="_Toc7457"/>
      <w:bookmarkStart w:id="3434" w:name="_Toc15335"/>
      <w:bookmarkStart w:id="3435" w:name="_Toc13249"/>
      <w:bookmarkStart w:id="3436" w:name="_Toc31805"/>
      <w:bookmarkStart w:id="3437" w:name="_Toc19541"/>
      <w:r>
        <w:rPr>
          <w:rFonts w:hint="eastAsia"/>
          <w:b/>
        </w:rPr>
        <w:t>F2.4.2 主要危险、有害物质的理化特性</w:t>
      </w:r>
      <w:bookmarkEnd w:id="3411"/>
      <w:bookmarkEnd w:id="3412"/>
      <w:bookmarkEnd w:id="3413"/>
      <w:bookmarkEnd w:id="3414"/>
      <w:bookmarkEnd w:id="3415"/>
      <w:bookmarkEnd w:id="3416"/>
      <w:bookmarkEnd w:id="3417"/>
      <w:bookmarkEnd w:id="3418"/>
      <w:bookmarkEnd w:id="3419"/>
      <w:bookmarkEnd w:id="3420"/>
      <w:bookmarkEnd w:id="3421"/>
      <w:bookmarkEnd w:id="3422"/>
      <w:bookmarkEnd w:id="3423"/>
      <w:bookmarkEnd w:id="3424"/>
      <w:bookmarkEnd w:id="3425"/>
      <w:bookmarkEnd w:id="3426"/>
      <w:bookmarkEnd w:id="3427"/>
      <w:bookmarkEnd w:id="3428"/>
      <w:bookmarkEnd w:id="3429"/>
      <w:bookmarkEnd w:id="3430"/>
      <w:bookmarkEnd w:id="3431"/>
      <w:bookmarkEnd w:id="3432"/>
      <w:bookmarkEnd w:id="3433"/>
      <w:bookmarkEnd w:id="3434"/>
      <w:bookmarkEnd w:id="3435"/>
      <w:bookmarkEnd w:id="3436"/>
      <w:bookmarkEnd w:id="3437"/>
    </w:p>
    <w:p>
      <w:pPr>
        <w:ind w:firstLine="0" w:firstLineChars="0"/>
        <w:jc w:val="center"/>
        <w:rPr>
          <w:b/>
          <w:sz w:val="24"/>
        </w:rPr>
      </w:pPr>
    </w:p>
    <w:p>
      <w:pPr>
        <w:ind w:firstLine="0" w:firstLineChars="0"/>
        <w:jc w:val="center"/>
        <w:rPr>
          <w:rFonts w:ascii="宋体" w:hAnsi="宋体" w:cs="宋体"/>
          <w:b/>
          <w:color w:val="auto"/>
          <w:sz w:val="24"/>
        </w:rPr>
      </w:pPr>
      <w:r>
        <w:rPr>
          <w:rFonts w:hint="eastAsia"/>
          <w:b/>
          <w:sz w:val="24"/>
        </w:rPr>
        <w:t>F表</w:t>
      </w:r>
      <w:bookmarkEnd w:id="3012"/>
      <w:bookmarkStart w:id="3438" w:name="_Toc11723"/>
      <w:bookmarkStart w:id="3439" w:name="_Toc31583"/>
      <w:bookmarkStart w:id="3440" w:name="_Toc22557"/>
      <w:bookmarkStart w:id="3441" w:name="_Toc21079"/>
      <w:bookmarkStart w:id="3442" w:name="_Toc14313"/>
      <w:bookmarkStart w:id="3443" w:name="_Toc17296"/>
      <w:bookmarkStart w:id="3444" w:name="_Toc29580"/>
      <w:bookmarkStart w:id="3445" w:name="_Toc128056489"/>
      <w:bookmarkStart w:id="3446" w:name="_Toc31737"/>
      <w:bookmarkStart w:id="3447" w:name="_Toc18590"/>
      <w:bookmarkStart w:id="3448" w:name="_Toc42724698"/>
      <w:bookmarkStart w:id="3449" w:name="_Toc24038"/>
      <w:bookmarkStart w:id="3450" w:name="_Toc22121"/>
      <w:bookmarkStart w:id="3451" w:name="_Toc62740967"/>
      <w:bookmarkStart w:id="3452" w:name="_Toc128056491"/>
      <w:bookmarkStart w:id="3453" w:name="_Toc8603"/>
      <w:r>
        <w:rPr>
          <w:rFonts w:hint="eastAsia" w:ascii="宋体" w:hAnsi="宋体" w:cs="宋体"/>
          <w:b/>
          <w:color w:val="auto"/>
          <w:sz w:val="24"/>
        </w:rPr>
        <w:t xml:space="preserve">2.4-1  </w:t>
      </w:r>
      <w:bookmarkStart w:id="3454" w:name="_Toc10035"/>
      <w:bookmarkStart w:id="3455" w:name="_Toc15058"/>
      <w:bookmarkStart w:id="3456" w:name="_Toc12259"/>
      <w:bookmarkStart w:id="3457" w:name="_Toc10834"/>
      <w:r>
        <w:rPr>
          <w:rFonts w:hint="eastAsia"/>
          <w:b/>
          <w:sz w:val="24"/>
        </w:rPr>
        <w:t>硫酸的理化性质及危险特性</w:t>
      </w:r>
    </w:p>
    <w:tbl>
      <w:tblPr>
        <w:tblStyle w:val="38"/>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945"/>
        <w:gridCol w:w="491"/>
        <w:gridCol w:w="388"/>
        <w:gridCol w:w="412"/>
        <w:gridCol w:w="336"/>
        <w:gridCol w:w="739"/>
        <w:gridCol w:w="51"/>
        <w:gridCol w:w="772"/>
        <w:gridCol w:w="425"/>
        <w:gridCol w:w="628"/>
        <w:gridCol w:w="466"/>
        <w:gridCol w:w="264"/>
        <w:gridCol w:w="647"/>
        <w:gridCol w:w="84"/>
        <w:gridCol w:w="844"/>
        <w:gridCol w:w="166"/>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restart"/>
            <w:vAlign w:val="center"/>
          </w:tcPr>
          <w:p>
            <w:pPr>
              <w:adjustRightInd/>
              <w:snapToGrid/>
              <w:spacing w:line="260" w:lineRule="exact"/>
              <w:ind w:firstLine="0" w:firstLineChars="0"/>
              <w:jc w:val="center"/>
              <w:rPr>
                <w:color w:val="auto"/>
                <w:sz w:val="21"/>
                <w:szCs w:val="21"/>
              </w:rPr>
            </w:pPr>
            <w:r>
              <w:rPr>
                <w:color w:val="auto"/>
                <w:sz w:val="21"/>
                <w:szCs w:val="21"/>
              </w:rPr>
              <w:t>标</w:t>
            </w:r>
          </w:p>
          <w:p>
            <w:pPr>
              <w:adjustRightInd/>
              <w:snapToGrid/>
              <w:spacing w:line="260" w:lineRule="exact"/>
              <w:ind w:firstLine="0" w:firstLineChars="0"/>
              <w:jc w:val="center"/>
              <w:rPr>
                <w:color w:val="auto"/>
                <w:sz w:val="21"/>
                <w:szCs w:val="21"/>
              </w:rPr>
            </w:pPr>
            <w:r>
              <w:rPr>
                <w:color w:val="auto"/>
                <w:sz w:val="21"/>
                <w:szCs w:val="21"/>
              </w:rPr>
              <w:t>识</w:t>
            </w:r>
          </w:p>
        </w:tc>
        <w:tc>
          <w:tcPr>
            <w:tcW w:w="1436" w:type="dxa"/>
            <w:gridSpan w:val="2"/>
            <w:vAlign w:val="center"/>
          </w:tcPr>
          <w:p>
            <w:pPr>
              <w:adjustRightInd/>
              <w:snapToGrid/>
              <w:spacing w:line="260" w:lineRule="exact"/>
              <w:ind w:firstLine="0" w:firstLineChars="0"/>
              <w:jc w:val="center"/>
              <w:rPr>
                <w:color w:val="auto"/>
                <w:sz w:val="21"/>
                <w:szCs w:val="21"/>
              </w:rPr>
            </w:pPr>
            <w:r>
              <w:rPr>
                <w:color w:val="auto"/>
                <w:sz w:val="21"/>
                <w:szCs w:val="21"/>
              </w:rPr>
              <w:t>中文名</w:t>
            </w:r>
          </w:p>
        </w:tc>
        <w:tc>
          <w:tcPr>
            <w:tcW w:w="800" w:type="dxa"/>
            <w:gridSpan w:val="2"/>
            <w:vAlign w:val="center"/>
          </w:tcPr>
          <w:p>
            <w:pPr>
              <w:adjustRightInd/>
              <w:snapToGrid/>
              <w:spacing w:line="260" w:lineRule="exact"/>
              <w:ind w:firstLine="0" w:firstLineChars="0"/>
              <w:jc w:val="center"/>
              <w:rPr>
                <w:color w:val="auto"/>
                <w:sz w:val="21"/>
                <w:szCs w:val="21"/>
              </w:rPr>
            </w:pPr>
            <w:r>
              <w:rPr>
                <w:color w:val="auto"/>
                <w:sz w:val="21"/>
                <w:szCs w:val="21"/>
              </w:rPr>
              <w:t>硫酸</w:t>
            </w:r>
          </w:p>
        </w:tc>
        <w:tc>
          <w:tcPr>
            <w:tcW w:w="1075" w:type="dxa"/>
            <w:gridSpan w:val="2"/>
            <w:vAlign w:val="center"/>
          </w:tcPr>
          <w:p>
            <w:pPr>
              <w:adjustRightInd/>
              <w:snapToGrid/>
              <w:spacing w:line="260" w:lineRule="exact"/>
              <w:ind w:firstLine="0" w:firstLineChars="0"/>
              <w:jc w:val="center"/>
              <w:rPr>
                <w:color w:val="auto"/>
                <w:sz w:val="21"/>
                <w:szCs w:val="21"/>
              </w:rPr>
            </w:pPr>
            <w:r>
              <w:rPr>
                <w:color w:val="auto"/>
                <w:sz w:val="21"/>
                <w:szCs w:val="21"/>
              </w:rPr>
              <w:t>英文名</w:t>
            </w:r>
          </w:p>
        </w:tc>
        <w:tc>
          <w:tcPr>
            <w:tcW w:w="1876" w:type="dxa"/>
            <w:gridSpan w:val="4"/>
            <w:vAlign w:val="center"/>
          </w:tcPr>
          <w:p>
            <w:pPr>
              <w:adjustRightInd/>
              <w:snapToGrid/>
              <w:spacing w:line="260" w:lineRule="exact"/>
              <w:ind w:firstLine="0" w:firstLineChars="0"/>
              <w:jc w:val="center"/>
              <w:rPr>
                <w:color w:val="auto"/>
                <w:sz w:val="21"/>
                <w:szCs w:val="21"/>
              </w:rPr>
            </w:pPr>
            <w:r>
              <w:rPr>
                <w:color w:val="auto"/>
                <w:sz w:val="21"/>
                <w:szCs w:val="21"/>
              </w:rPr>
              <w:t>Slfuric acid</w:t>
            </w:r>
          </w:p>
        </w:tc>
        <w:tc>
          <w:tcPr>
            <w:tcW w:w="2305" w:type="dxa"/>
            <w:gridSpan w:val="5"/>
            <w:vAlign w:val="center"/>
          </w:tcPr>
          <w:p>
            <w:pPr>
              <w:adjustRightInd/>
              <w:snapToGrid/>
              <w:spacing w:line="260" w:lineRule="exact"/>
              <w:ind w:firstLine="0" w:firstLineChars="0"/>
              <w:jc w:val="center"/>
              <w:rPr>
                <w:color w:val="auto"/>
                <w:sz w:val="21"/>
                <w:szCs w:val="21"/>
              </w:rPr>
            </w:pPr>
            <w:r>
              <w:rPr>
                <w:color w:val="auto"/>
                <w:sz w:val="21"/>
                <w:szCs w:val="21"/>
              </w:rPr>
              <w:t>危险货物编号</w:t>
            </w:r>
          </w:p>
        </w:tc>
        <w:tc>
          <w:tcPr>
            <w:tcW w:w="1105" w:type="dxa"/>
            <w:gridSpan w:val="2"/>
            <w:vAlign w:val="center"/>
          </w:tcPr>
          <w:p>
            <w:pPr>
              <w:adjustRightInd/>
              <w:snapToGrid/>
              <w:spacing w:line="260" w:lineRule="exact"/>
              <w:ind w:firstLine="0" w:firstLineChars="0"/>
              <w:jc w:val="center"/>
              <w:rPr>
                <w:color w:val="auto"/>
                <w:sz w:val="21"/>
                <w:szCs w:val="21"/>
              </w:rPr>
            </w:pPr>
            <w:r>
              <w:rPr>
                <w:color w:val="auto"/>
                <w:sz w:val="21"/>
                <w:szCs w:val="21"/>
              </w:rPr>
              <w:t>81007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vAlign w:val="center"/>
          </w:tcPr>
          <w:p>
            <w:pPr>
              <w:adjustRightInd/>
              <w:snapToGrid/>
              <w:spacing w:line="260" w:lineRule="exact"/>
              <w:ind w:firstLine="0" w:firstLineChars="0"/>
              <w:jc w:val="center"/>
              <w:rPr>
                <w:color w:val="auto"/>
                <w:sz w:val="21"/>
                <w:szCs w:val="21"/>
              </w:rPr>
            </w:pPr>
          </w:p>
        </w:tc>
        <w:tc>
          <w:tcPr>
            <w:tcW w:w="1436" w:type="dxa"/>
            <w:gridSpan w:val="2"/>
            <w:vAlign w:val="center"/>
          </w:tcPr>
          <w:p>
            <w:pPr>
              <w:adjustRightInd/>
              <w:snapToGrid/>
              <w:spacing w:line="260" w:lineRule="exact"/>
              <w:ind w:firstLine="0" w:firstLineChars="0"/>
              <w:jc w:val="center"/>
              <w:rPr>
                <w:color w:val="auto"/>
                <w:sz w:val="21"/>
                <w:szCs w:val="21"/>
              </w:rPr>
            </w:pPr>
            <w:r>
              <w:rPr>
                <w:color w:val="auto"/>
                <w:sz w:val="21"/>
                <w:szCs w:val="21"/>
              </w:rPr>
              <w:t>分子式</w:t>
            </w:r>
          </w:p>
        </w:tc>
        <w:tc>
          <w:tcPr>
            <w:tcW w:w="800" w:type="dxa"/>
            <w:gridSpan w:val="2"/>
            <w:vAlign w:val="center"/>
          </w:tcPr>
          <w:p>
            <w:pPr>
              <w:adjustRightInd/>
              <w:snapToGrid/>
              <w:spacing w:line="260" w:lineRule="exact"/>
              <w:ind w:firstLine="0" w:firstLineChars="0"/>
              <w:jc w:val="center"/>
              <w:rPr>
                <w:color w:val="auto"/>
                <w:sz w:val="21"/>
                <w:szCs w:val="21"/>
              </w:rPr>
            </w:pPr>
            <w:r>
              <w:rPr>
                <w:color w:val="auto"/>
                <w:sz w:val="21"/>
                <w:szCs w:val="21"/>
              </w:rPr>
              <w:t>H</w:t>
            </w:r>
            <w:r>
              <w:rPr>
                <w:color w:val="auto"/>
                <w:sz w:val="21"/>
                <w:szCs w:val="21"/>
                <w:vertAlign w:val="subscript"/>
              </w:rPr>
              <w:t>2</w:t>
            </w:r>
            <w:r>
              <w:rPr>
                <w:color w:val="auto"/>
                <w:sz w:val="21"/>
                <w:szCs w:val="21"/>
              </w:rPr>
              <w:t>SO</w:t>
            </w:r>
            <w:r>
              <w:rPr>
                <w:color w:val="auto"/>
                <w:sz w:val="21"/>
                <w:szCs w:val="21"/>
                <w:vertAlign w:val="subscript"/>
              </w:rPr>
              <w:t>4</w:t>
            </w:r>
          </w:p>
        </w:tc>
        <w:tc>
          <w:tcPr>
            <w:tcW w:w="1075" w:type="dxa"/>
            <w:gridSpan w:val="2"/>
            <w:vAlign w:val="center"/>
          </w:tcPr>
          <w:p>
            <w:pPr>
              <w:adjustRightInd/>
              <w:snapToGrid/>
              <w:spacing w:line="260" w:lineRule="exact"/>
              <w:ind w:firstLine="0" w:firstLineChars="0"/>
              <w:jc w:val="center"/>
              <w:rPr>
                <w:color w:val="auto"/>
                <w:sz w:val="21"/>
                <w:szCs w:val="21"/>
              </w:rPr>
            </w:pPr>
            <w:r>
              <w:rPr>
                <w:color w:val="auto"/>
                <w:sz w:val="21"/>
                <w:szCs w:val="21"/>
              </w:rPr>
              <w:t>分子量</w:t>
            </w:r>
          </w:p>
        </w:tc>
        <w:tc>
          <w:tcPr>
            <w:tcW w:w="823" w:type="dxa"/>
            <w:gridSpan w:val="2"/>
            <w:vAlign w:val="center"/>
          </w:tcPr>
          <w:p>
            <w:pPr>
              <w:adjustRightInd/>
              <w:snapToGrid/>
              <w:spacing w:line="260" w:lineRule="exact"/>
              <w:ind w:firstLine="0" w:firstLineChars="0"/>
              <w:jc w:val="center"/>
              <w:rPr>
                <w:color w:val="auto"/>
                <w:sz w:val="21"/>
                <w:szCs w:val="21"/>
              </w:rPr>
            </w:pPr>
            <w:r>
              <w:rPr>
                <w:color w:val="auto"/>
                <w:sz w:val="21"/>
                <w:szCs w:val="21"/>
              </w:rPr>
              <w:t>98.08</w:t>
            </w:r>
          </w:p>
        </w:tc>
        <w:tc>
          <w:tcPr>
            <w:tcW w:w="1053" w:type="dxa"/>
            <w:gridSpan w:val="2"/>
            <w:vAlign w:val="center"/>
          </w:tcPr>
          <w:p>
            <w:pPr>
              <w:adjustRightInd/>
              <w:snapToGrid/>
              <w:spacing w:line="260" w:lineRule="exact"/>
              <w:ind w:firstLine="0" w:firstLineChars="0"/>
              <w:jc w:val="center"/>
              <w:rPr>
                <w:color w:val="auto"/>
                <w:sz w:val="21"/>
                <w:szCs w:val="21"/>
              </w:rPr>
            </w:pPr>
            <w:r>
              <w:rPr>
                <w:color w:val="auto"/>
                <w:sz w:val="21"/>
                <w:szCs w:val="21"/>
              </w:rPr>
              <w:t>UN编号</w:t>
            </w:r>
          </w:p>
        </w:tc>
        <w:tc>
          <w:tcPr>
            <w:tcW w:w="730" w:type="dxa"/>
            <w:gridSpan w:val="2"/>
            <w:vAlign w:val="center"/>
          </w:tcPr>
          <w:p>
            <w:pPr>
              <w:adjustRightInd/>
              <w:snapToGrid/>
              <w:spacing w:line="260" w:lineRule="exact"/>
              <w:ind w:firstLine="0" w:firstLineChars="0"/>
              <w:jc w:val="center"/>
              <w:rPr>
                <w:color w:val="auto"/>
                <w:sz w:val="21"/>
                <w:szCs w:val="21"/>
              </w:rPr>
            </w:pPr>
            <w:r>
              <w:rPr>
                <w:color w:val="auto"/>
                <w:sz w:val="21"/>
                <w:szCs w:val="21"/>
              </w:rPr>
              <w:t>1830</w:t>
            </w:r>
          </w:p>
        </w:tc>
        <w:tc>
          <w:tcPr>
            <w:tcW w:w="1575" w:type="dxa"/>
            <w:gridSpan w:val="3"/>
            <w:vAlign w:val="center"/>
          </w:tcPr>
          <w:p>
            <w:pPr>
              <w:adjustRightInd/>
              <w:snapToGrid/>
              <w:spacing w:line="260" w:lineRule="exact"/>
              <w:ind w:firstLine="0" w:firstLineChars="0"/>
              <w:jc w:val="center"/>
              <w:rPr>
                <w:color w:val="auto"/>
                <w:sz w:val="21"/>
                <w:szCs w:val="21"/>
              </w:rPr>
            </w:pPr>
            <w:r>
              <w:rPr>
                <w:color w:val="auto"/>
                <w:sz w:val="21"/>
                <w:szCs w:val="21"/>
              </w:rPr>
              <w:t>CAS编号</w:t>
            </w:r>
          </w:p>
        </w:tc>
        <w:tc>
          <w:tcPr>
            <w:tcW w:w="1105" w:type="dxa"/>
            <w:gridSpan w:val="2"/>
            <w:vAlign w:val="center"/>
          </w:tcPr>
          <w:p>
            <w:pPr>
              <w:adjustRightInd/>
              <w:snapToGrid/>
              <w:spacing w:line="260" w:lineRule="exact"/>
              <w:ind w:firstLine="0" w:firstLineChars="0"/>
              <w:jc w:val="center"/>
              <w:rPr>
                <w:color w:val="auto"/>
                <w:sz w:val="21"/>
                <w:szCs w:val="21"/>
              </w:rPr>
            </w:pPr>
            <w:r>
              <w:rPr>
                <w:color w:val="auto"/>
                <w:sz w:val="21"/>
                <w:szCs w:val="21"/>
              </w:rPr>
              <w:t>7664-93-9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436" w:type="dxa"/>
            <w:gridSpan w:val="2"/>
            <w:vAlign w:val="center"/>
          </w:tcPr>
          <w:p>
            <w:pPr>
              <w:adjustRightInd/>
              <w:snapToGrid/>
              <w:spacing w:line="260" w:lineRule="exact"/>
              <w:ind w:firstLine="0" w:firstLineChars="0"/>
              <w:jc w:val="center"/>
              <w:rPr>
                <w:color w:val="auto"/>
                <w:sz w:val="21"/>
                <w:szCs w:val="21"/>
              </w:rPr>
            </w:pPr>
            <w:r>
              <w:rPr>
                <w:color w:val="auto"/>
                <w:sz w:val="21"/>
                <w:szCs w:val="21"/>
              </w:rPr>
              <w:t>危险类别</w:t>
            </w:r>
          </w:p>
        </w:tc>
        <w:tc>
          <w:tcPr>
            <w:tcW w:w="7161" w:type="dxa"/>
            <w:gridSpan w:val="15"/>
          </w:tcPr>
          <w:p>
            <w:pPr>
              <w:adjustRightInd/>
              <w:snapToGrid/>
              <w:spacing w:line="260" w:lineRule="exact"/>
              <w:ind w:firstLine="0" w:firstLineChars="0"/>
              <w:rPr>
                <w:color w:val="auto"/>
                <w:sz w:val="21"/>
                <w:szCs w:val="21"/>
              </w:rPr>
            </w:pPr>
            <w:r>
              <w:rPr>
                <w:rFonts w:hint="eastAsia"/>
                <w:color w:val="auto"/>
                <w:sz w:val="21"/>
                <w:szCs w:val="21"/>
              </w:rPr>
              <w:t>皮肤腐蚀/刺激,类别 1A 严重眼损伤/眼刺激,类别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restart"/>
            <w:vAlign w:val="center"/>
          </w:tcPr>
          <w:p>
            <w:pPr>
              <w:adjustRightInd/>
              <w:snapToGrid/>
              <w:spacing w:line="260" w:lineRule="exact"/>
              <w:ind w:firstLine="0" w:firstLineChars="0"/>
              <w:jc w:val="center"/>
              <w:rPr>
                <w:color w:val="auto"/>
                <w:sz w:val="21"/>
                <w:szCs w:val="21"/>
              </w:rPr>
            </w:pPr>
            <w:r>
              <w:rPr>
                <w:color w:val="auto"/>
                <w:sz w:val="21"/>
                <w:szCs w:val="21"/>
              </w:rPr>
              <w:t>理</w:t>
            </w:r>
          </w:p>
          <w:p>
            <w:pPr>
              <w:adjustRightInd/>
              <w:snapToGrid/>
              <w:spacing w:line="260" w:lineRule="exact"/>
              <w:ind w:firstLine="0" w:firstLineChars="0"/>
              <w:jc w:val="center"/>
              <w:rPr>
                <w:color w:val="auto"/>
                <w:sz w:val="21"/>
                <w:szCs w:val="21"/>
              </w:rPr>
            </w:pPr>
            <w:r>
              <w:rPr>
                <w:color w:val="auto"/>
                <w:sz w:val="21"/>
                <w:szCs w:val="21"/>
              </w:rPr>
              <w:t>化</w:t>
            </w:r>
          </w:p>
          <w:p>
            <w:pPr>
              <w:adjustRightInd/>
              <w:snapToGrid/>
              <w:spacing w:line="260" w:lineRule="exact"/>
              <w:ind w:firstLine="0" w:firstLineChars="0"/>
              <w:jc w:val="center"/>
              <w:rPr>
                <w:color w:val="auto"/>
                <w:sz w:val="21"/>
                <w:szCs w:val="21"/>
              </w:rPr>
            </w:pPr>
            <w:r>
              <w:rPr>
                <w:color w:val="auto"/>
                <w:sz w:val="21"/>
                <w:szCs w:val="21"/>
              </w:rPr>
              <w:t>性</w:t>
            </w:r>
          </w:p>
          <w:p>
            <w:pPr>
              <w:adjustRightInd/>
              <w:snapToGrid/>
              <w:spacing w:line="260" w:lineRule="exact"/>
              <w:ind w:firstLine="0" w:firstLineChars="0"/>
              <w:jc w:val="center"/>
              <w:rPr>
                <w:color w:val="auto"/>
                <w:sz w:val="21"/>
                <w:szCs w:val="21"/>
              </w:rPr>
            </w:pPr>
            <w:r>
              <w:rPr>
                <w:color w:val="auto"/>
                <w:sz w:val="21"/>
                <w:szCs w:val="21"/>
              </w:rPr>
              <w:t>质</w:t>
            </w:r>
          </w:p>
        </w:tc>
        <w:tc>
          <w:tcPr>
            <w:tcW w:w="1436" w:type="dxa"/>
            <w:gridSpan w:val="2"/>
            <w:vAlign w:val="center"/>
          </w:tcPr>
          <w:p>
            <w:pPr>
              <w:adjustRightInd/>
              <w:snapToGrid/>
              <w:spacing w:line="260" w:lineRule="exact"/>
              <w:ind w:firstLine="0" w:firstLineChars="0"/>
              <w:jc w:val="center"/>
              <w:rPr>
                <w:color w:val="auto"/>
                <w:sz w:val="21"/>
                <w:szCs w:val="21"/>
              </w:rPr>
            </w:pPr>
            <w:r>
              <w:rPr>
                <w:color w:val="auto"/>
                <w:sz w:val="21"/>
                <w:szCs w:val="21"/>
              </w:rPr>
              <w:t>性  状</w:t>
            </w:r>
          </w:p>
        </w:tc>
        <w:tc>
          <w:tcPr>
            <w:tcW w:w="7161" w:type="dxa"/>
            <w:gridSpan w:val="15"/>
          </w:tcPr>
          <w:p>
            <w:pPr>
              <w:adjustRightInd/>
              <w:snapToGrid/>
              <w:spacing w:line="260" w:lineRule="exact"/>
              <w:ind w:firstLine="0" w:firstLineChars="0"/>
              <w:rPr>
                <w:color w:val="auto"/>
                <w:sz w:val="21"/>
                <w:szCs w:val="21"/>
              </w:rPr>
            </w:pPr>
            <w:r>
              <w:rPr>
                <w:color w:val="auto"/>
                <w:sz w:val="21"/>
                <w:szCs w:val="21"/>
              </w:rPr>
              <w:t>纯品为无色透明油状液体，无臭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熔  点（</w:t>
            </w:r>
            <w:r>
              <w:rPr>
                <w:rFonts w:hint="eastAsia" w:ascii="宋体" w:hAnsi="宋体" w:cs="宋体"/>
                <w:color w:val="auto"/>
                <w:sz w:val="21"/>
                <w:szCs w:val="21"/>
              </w:rPr>
              <w:t>℃</w:t>
            </w:r>
            <w:r>
              <w:rPr>
                <w:color w:val="auto"/>
                <w:sz w:val="21"/>
                <w:szCs w:val="21"/>
              </w:rPr>
              <w:t>）</w:t>
            </w:r>
          </w:p>
        </w:tc>
        <w:tc>
          <w:tcPr>
            <w:tcW w:w="2310" w:type="dxa"/>
            <w:gridSpan w:val="5"/>
            <w:vAlign w:val="center"/>
          </w:tcPr>
          <w:p>
            <w:pPr>
              <w:adjustRightInd/>
              <w:snapToGrid/>
              <w:spacing w:line="260" w:lineRule="exact"/>
              <w:ind w:firstLine="0" w:firstLineChars="0"/>
              <w:jc w:val="center"/>
              <w:rPr>
                <w:color w:val="auto"/>
                <w:sz w:val="21"/>
                <w:szCs w:val="21"/>
              </w:rPr>
            </w:pPr>
            <w:r>
              <w:rPr>
                <w:color w:val="auto"/>
                <w:sz w:val="21"/>
                <w:szCs w:val="21"/>
              </w:rPr>
              <w:t>10.5</w:t>
            </w:r>
          </w:p>
        </w:tc>
        <w:tc>
          <w:tcPr>
            <w:tcW w:w="2514" w:type="dxa"/>
            <w:gridSpan w:val="6"/>
            <w:vAlign w:val="center"/>
          </w:tcPr>
          <w:p>
            <w:pPr>
              <w:adjustRightInd/>
              <w:snapToGrid/>
              <w:spacing w:line="260" w:lineRule="exact"/>
              <w:ind w:firstLine="0" w:firstLineChars="0"/>
              <w:jc w:val="center"/>
              <w:rPr>
                <w:color w:val="auto"/>
                <w:sz w:val="21"/>
                <w:szCs w:val="21"/>
              </w:rPr>
            </w:pPr>
            <w:r>
              <w:rPr>
                <w:color w:val="auto"/>
                <w:sz w:val="21"/>
                <w:szCs w:val="21"/>
              </w:rPr>
              <w:t>临界压力（Mpa）</w:t>
            </w:r>
          </w:p>
        </w:tc>
        <w:tc>
          <w:tcPr>
            <w:tcW w:w="1949" w:type="dxa"/>
            <w:gridSpan w:val="3"/>
            <w:vAlign w:val="center"/>
          </w:tcPr>
          <w:p>
            <w:pPr>
              <w:adjustRightInd/>
              <w:snapToGrid/>
              <w:spacing w:line="260" w:lineRule="exact"/>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沸  点（</w:t>
            </w:r>
            <w:r>
              <w:rPr>
                <w:rFonts w:hint="eastAsia" w:ascii="宋体" w:hAnsi="宋体" w:cs="宋体"/>
                <w:color w:val="auto"/>
                <w:sz w:val="21"/>
                <w:szCs w:val="21"/>
              </w:rPr>
              <w:t>℃</w:t>
            </w:r>
            <w:r>
              <w:rPr>
                <w:color w:val="auto"/>
                <w:sz w:val="21"/>
                <w:szCs w:val="21"/>
              </w:rPr>
              <w:t>）</w:t>
            </w:r>
          </w:p>
        </w:tc>
        <w:tc>
          <w:tcPr>
            <w:tcW w:w="2310" w:type="dxa"/>
            <w:gridSpan w:val="5"/>
            <w:vAlign w:val="center"/>
          </w:tcPr>
          <w:p>
            <w:pPr>
              <w:adjustRightInd/>
              <w:snapToGrid/>
              <w:spacing w:line="260" w:lineRule="exact"/>
              <w:ind w:firstLine="0" w:firstLineChars="0"/>
              <w:jc w:val="center"/>
              <w:rPr>
                <w:color w:val="auto"/>
                <w:sz w:val="21"/>
                <w:szCs w:val="21"/>
              </w:rPr>
            </w:pPr>
            <w:r>
              <w:rPr>
                <w:color w:val="auto"/>
                <w:sz w:val="21"/>
                <w:szCs w:val="21"/>
              </w:rPr>
              <w:t>330.0</w:t>
            </w:r>
          </w:p>
        </w:tc>
        <w:tc>
          <w:tcPr>
            <w:tcW w:w="2514" w:type="dxa"/>
            <w:gridSpan w:val="6"/>
            <w:vAlign w:val="center"/>
          </w:tcPr>
          <w:p>
            <w:pPr>
              <w:adjustRightInd/>
              <w:snapToGrid/>
              <w:spacing w:line="260" w:lineRule="exact"/>
              <w:ind w:firstLine="0" w:firstLineChars="0"/>
              <w:jc w:val="center"/>
              <w:rPr>
                <w:color w:val="auto"/>
                <w:sz w:val="21"/>
                <w:szCs w:val="21"/>
              </w:rPr>
            </w:pPr>
            <w:r>
              <w:rPr>
                <w:color w:val="auto"/>
                <w:sz w:val="21"/>
                <w:szCs w:val="21"/>
              </w:rPr>
              <w:t>相对密度（水＝1）</w:t>
            </w:r>
          </w:p>
        </w:tc>
        <w:tc>
          <w:tcPr>
            <w:tcW w:w="1949" w:type="dxa"/>
            <w:gridSpan w:val="3"/>
            <w:vAlign w:val="center"/>
          </w:tcPr>
          <w:p>
            <w:pPr>
              <w:adjustRightInd/>
              <w:snapToGrid/>
              <w:spacing w:line="260" w:lineRule="exact"/>
              <w:ind w:firstLine="0" w:firstLineChars="0"/>
              <w:jc w:val="center"/>
              <w:rPr>
                <w:color w:val="auto"/>
                <w:sz w:val="21"/>
                <w:szCs w:val="21"/>
              </w:rPr>
            </w:pPr>
            <w:r>
              <w:rPr>
                <w:color w:val="auto"/>
                <w:sz w:val="21"/>
                <w:szCs w:val="21"/>
              </w:rPr>
              <w:t>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饱和蒸汽压（kpa）</w:t>
            </w:r>
          </w:p>
        </w:tc>
        <w:tc>
          <w:tcPr>
            <w:tcW w:w="2310" w:type="dxa"/>
            <w:gridSpan w:val="5"/>
            <w:vAlign w:val="center"/>
          </w:tcPr>
          <w:p>
            <w:pPr>
              <w:adjustRightInd/>
              <w:snapToGrid/>
              <w:spacing w:line="260" w:lineRule="exact"/>
              <w:ind w:firstLine="0" w:firstLineChars="0"/>
              <w:jc w:val="center"/>
              <w:rPr>
                <w:color w:val="auto"/>
                <w:sz w:val="21"/>
                <w:szCs w:val="21"/>
              </w:rPr>
            </w:pPr>
            <w:r>
              <w:rPr>
                <w:color w:val="auto"/>
                <w:sz w:val="21"/>
                <w:szCs w:val="21"/>
              </w:rPr>
              <w:t>0.13（145.8</w:t>
            </w:r>
            <w:r>
              <w:rPr>
                <w:rFonts w:hint="eastAsia" w:ascii="宋体" w:hAnsi="宋体" w:cs="宋体"/>
                <w:color w:val="auto"/>
                <w:sz w:val="21"/>
                <w:szCs w:val="21"/>
              </w:rPr>
              <w:t>℃</w:t>
            </w:r>
            <w:r>
              <w:rPr>
                <w:color w:val="auto"/>
                <w:sz w:val="21"/>
                <w:szCs w:val="21"/>
              </w:rPr>
              <w:t>）</w:t>
            </w:r>
          </w:p>
        </w:tc>
        <w:tc>
          <w:tcPr>
            <w:tcW w:w="2514" w:type="dxa"/>
            <w:gridSpan w:val="6"/>
            <w:vAlign w:val="center"/>
          </w:tcPr>
          <w:p>
            <w:pPr>
              <w:adjustRightInd/>
              <w:snapToGrid/>
              <w:spacing w:line="260" w:lineRule="exact"/>
              <w:ind w:firstLine="0" w:firstLineChars="0"/>
              <w:jc w:val="center"/>
              <w:rPr>
                <w:color w:val="auto"/>
                <w:sz w:val="21"/>
                <w:szCs w:val="21"/>
              </w:rPr>
            </w:pPr>
            <w:r>
              <w:rPr>
                <w:color w:val="auto"/>
                <w:sz w:val="21"/>
                <w:szCs w:val="21"/>
              </w:rPr>
              <w:t>相对密度（空气＝1）</w:t>
            </w:r>
          </w:p>
        </w:tc>
        <w:tc>
          <w:tcPr>
            <w:tcW w:w="1949" w:type="dxa"/>
            <w:gridSpan w:val="3"/>
            <w:vAlign w:val="center"/>
          </w:tcPr>
          <w:p>
            <w:pPr>
              <w:adjustRightInd/>
              <w:snapToGrid/>
              <w:spacing w:line="260" w:lineRule="exact"/>
              <w:ind w:firstLine="0" w:firstLineChars="0"/>
              <w:jc w:val="center"/>
              <w:rPr>
                <w:color w:val="auto"/>
                <w:sz w:val="21"/>
                <w:szCs w:val="21"/>
              </w:rPr>
            </w:pPr>
            <w:r>
              <w:rPr>
                <w:color w:val="auto"/>
                <w:sz w:val="21"/>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临界温度（</w:t>
            </w:r>
            <w:r>
              <w:rPr>
                <w:rFonts w:hint="eastAsia" w:ascii="宋体" w:hAnsi="宋体" w:cs="宋体"/>
                <w:color w:val="auto"/>
                <w:sz w:val="21"/>
                <w:szCs w:val="21"/>
              </w:rPr>
              <w:t>℃</w:t>
            </w:r>
            <w:r>
              <w:rPr>
                <w:color w:val="auto"/>
                <w:sz w:val="21"/>
                <w:szCs w:val="21"/>
              </w:rPr>
              <w:t>）</w:t>
            </w:r>
          </w:p>
        </w:tc>
        <w:tc>
          <w:tcPr>
            <w:tcW w:w="2310" w:type="dxa"/>
            <w:gridSpan w:val="5"/>
            <w:vAlign w:val="center"/>
          </w:tcPr>
          <w:p>
            <w:pPr>
              <w:adjustRightInd/>
              <w:snapToGrid/>
              <w:spacing w:line="260" w:lineRule="exact"/>
              <w:ind w:firstLine="0" w:firstLineChars="0"/>
              <w:jc w:val="center"/>
              <w:rPr>
                <w:color w:val="auto"/>
                <w:sz w:val="21"/>
                <w:szCs w:val="21"/>
              </w:rPr>
            </w:pPr>
          </w:p>
        </w:tc>
        <w:tc>
          <w:tcPr>
            <w:tcW w:w="2514" w:type="dxa"/>
            <w:gridSpan w:val="6"/>
            <w:vAlign w:val="center"/>
          </w:tcPr>
          <w:p>
            <w:pPr>
              <w:adjustRightInd/>
              <w:snapToGrid/>
              <w:spacing w:line="260" w:lineRule="exact"/>
              <w:ind w:firstLine="0" w:firstLineChars="0"/>
              <w:jc w:val="center"/>
              <w:rPr>
                <w:color w:val="auto"/>
                <w:sz w:val="21"/>
                <w:szCs w:val="21"/>
              </w:rPr>
            </w:pPr>
            <w:r>
              <w:rPr>
                <w:color w:val="auto"/>
                <w:sz w:val="21"/>
                <w:szCs w:val="21"/>
              </w:rPr>
              <w:t>燃烧热（KJ·mol</w:t>
            </w:r>
            <w:r>
              <w:rPr>
                <w:color w:val="auto"/>
                <w:sz w:val="21"/>
                <w:szCs w:val="21"/>
                <w:vertAlign w:val="superscript"/>
              </w:rPr>
              <w:t>-1</w:t>
            </w:r>
            <w:r>
              <w:rPr>
                <w:color w:val="auto"/>
                <w:sz w:val="21"/>
                <w:szCs w:val="21"/>
              </w:rPr>
              <w:t>）</w:t>
            </w:r>
          </w:p>
        </w:tc>
        <w:tc>
          <w:tcPr>
            <w:tcW w:w="1949" w:type="dxa"/>
            <w:gridSpan w:val="3"/>
            <w:vAlign w:val="center"/>
          </w:tcPr>
          <w:p>
            <w:pPr>
              <w:adjustRightInd/>
              <w:snapToGrid/>
              <w:spacing w:line="260" w:lineRule="exact"/>
              <w:ind w:firstLine="0" w:firstLineChars="0"/>
              <w:jc w:val="center"/>
              <w:rPr>
                <w:color w:val="auto"/>
                <w:sz w:val="21"/>
                <w:szCs w:val="21"/>
              </w:rPr>
            </w:pPr>
            <w:r>
              <w:rPr>
                <w:color w:val="auto"/>
                <w:sz w:val="21"/>
                <w:szCs w:val="21"/>
              </w:rPr>
              <w:t>无意义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溶  解  性</w:t>
            </w:r>
          </w:p>
        </w:tc>
        <w:tc>
          <w:tcPr>
            <w:tcW w:w="6773" w:type="dxa"/>
            <w:gridSpan w:val="14"/>
          </w:tcPr>
          <w:p>
            <w:pPr>
              <w:adjustRightInd/>
              <w:snapToGrid/>
              <w:spacing w:line="260" w:lineRule="exact"/>
              <w:ind w:firstLine="0" w:firstLineChars="0"/>
              <w:rPr>
                <w:color w:val="auto"/>
                <w:sz w:val="21"/>
                <w:szCs w:val="21"/>
              </w:rPr>
            </w:pPr>
            <w:r>
              <w:rPr>
                <w:color w:val="auto"/>
                <w:sz w:val="21"/>
                <w:szCs w:val="21"/>
              </w:rPr>
              <w:t>与水混溶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restart"/>
            <w:vAlign w:val="center"/>
          </w:tcPr>
          <w:p>
            <w:pPr>
              <w:adjustRightInd/>
              <w:snapToGrid/>
              <w:spacing w:line="260" w:lineRule="exact"/>
              <w:ind w:firstLine="0" w:firstLineChars="0"/>
              <w:jc w:val="center"/>
              <w:rPr>
                <w:color w:val="auto"/>
                <w:sz w:val="21"/>
                <w:szCs w:val="21"/>
              </w:rPr>
            </w:pPr>
            <w:r>
              <w:rPr>
                <w:color w:val="auto"/>
                <w:sz w:val="21"/>
                <w:szCs w:val="21"/>
              </w:rPr>
              <w:t>燃</w:t>
            </w:r>
          </w:p>
          <w:p>
            <w:pPr>
              <w:adjustRightInd/>
              <w:snapToGrid/>
              <w:spacing w:line="260" w:lineRule="exact"/>
              <w:ind w:firstLine="0" w:firstLineChars="0"/>
              <w:jc w:val="center"/>
              <w:rPr>
                <w:color w:val="auto"/>
                <w:sz w:val="21"/>
                <w:szCs w:val="21"/>
              </w:rPr>
            </w:pPr>
            <w:r>
              <w:rPr>
                <w:color w:val="auto"/>
                <w:sz w:val="21"/>
                <w:szCs w:val="21"/>
              </w:rPr>
              <w:t>烧</w:t>
            </w:r>
          </w:p>
          <w:p>
            <w:pPr>
              <w:adjustRightInd/>
              <w:snapToGrid/>
              <w:spacing w:line="260" w:lineRule="exact"/>
              <w:ind w:firstLine="0" w:firstLineChars="0"/>
              <w:jc w:val="center"/>
              <w:rPr>
                <w:color w:val="auto"/>
                <w:sz w:val="21"/>
                <w:szCs w:val="21"/>
              </w:rPr>
            </w:pPr>
            <w:r>
              <w:rPr>
                <w:color w:val="auto"/>
                <w:sz w:val="21"/>
                <w:szCs w:val="21"/>
              </w:rPr>
              <w:t>爆</w:t>
            </w:r>
          </w:p>
          <w:p>
            <w:pPr>
              <w:adjustRightInd/>
              <w:snapToGrid/>
              <w:spacing w:line="260" w:lineRule="exact"/>
              <w:ind w:firstLine="0" w:firstLineChars="0"/>
              <w:jc w:val="center"/>
              <w:rPr>
                <w:color w:val="auto"/>
                <w:sz w:val="21"/>
                <w:szCs w:val="21"/>
              </w:rPr>
            </w:pPr>
            <w:r>
              <w:rPr>
                <w:color w:val="auto"/>
                <w:sz w:val="21"/>
                <w:szCs w:val="21"/>
              </w:rPr>
              <w:t>炸</w:t>
            </w:r>
          </w:p>
          <w:p>
            <w:pPr>
              <w:adjustRightInd/>
              <w:snapToGrid/>
              <w:spacing w:line="260" w:lineRule="exact"/>
              <w:ind w:firstLine="0" w:firstLineChars="0"/>
              <w:jc w:val="center"/>
              <w:rPr>
                <w:color w:val="auto"/>
                <w:sz w:val="21"/>
                <w:szCs w:val="21"/>
              </w:rPr>
            </w:pPr>
            <w:r>
              <w:rPr>
                <w:color w:val="auto"/>
                <w:sz w:val="21"/>
                <w:szCs w:val="21"/>
              </w:rPr>
              <w:t>危</w:t>
            </w:r>
          </w:p>
          <w:p>
            <w:pPr>
              <w:adjustRightInd/>
              <w:snapToGrid/>
              <w:spacing w:line="260" w:lineRule="exact"/>
              <w:ind w:firstLine="0" w:firstLineChars="0"/>
              <w:jc w:val="center"/>
              <w:rPr>
                <w:color w:val="auto"/>
                <w:sz w:val="21"/>
                <w:szCs w:val="21"/>
              </w:rPr>
            </w:pPr>
            <w:r>
              <w:rPr>
                <w:color w:val="auto"/>
                <w:sz w:val="21"/>
                <w:szCs w:val="21"/>
              </w:rPr>
              <w:t>险</w:t>
            </w:r>
          </w:p>
          <w:p>
            <w:pPr>
              <w:adjustRightInd/>
              <w:snapToGrid/>
              <w:spacing w:line="260" w:lineRule="exact"/>
              <w:ind w:firstLine="0" w:firstLineChars="0"/>
              <w:jc w:val="center"/>
              <w:rPr>
                <w:color w:val="auto"/>
                <w:sz w:val="21"/>
                <w:szCs w:val="21"/>
              </w:rPr>
            </w:pPr>
            <w:r>
              <w:rPr>
                <w:color w:val="auto"/>
                <w:sz w:val="21"/>
                <w:szCs w:val="21"/>
              </w:rPr>
              <w:t>性</w:t>
            </w: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燃  烧  性</w:t>
            </w:r>
          </w:p>
        </w:tc>
        <w:tc>
          <w:tcPr>
            <w:tcW w:w="2310" w:type="dxa"/>
            <w:gridSpan w:val="5"/>
            <w:vAlign w:val="center"/>
          </w:tcPr>
          <w:p>
            <w:pPr>
              <w:adjustRightInd/>
              <w:snapToGrid/>
              <w:spacing w:line="260" w:lineRule="exact"/>
              <w:ind w:firstLine="0" w:firstLineChars="0"/>
              <w:jc w:val="center"/>
              <w:rPr>
                <w:color w:val="auto"/>
                <w:sz w:val="21"/>
                <w:szCs w:val="21"/>
              </w:rPr>
            </w:pPr>
            <w:r>
              <w:rPr>
                <w:color w:val="auto"/>
                <w:sz w:val="21"/>
                <w:szCs w:val="21"/>
              </w:rPr>
              <w:t>不燃</w:t>
            </w:r>
          </w:p>
        </w:tc>
        <w:tc>
          <w:tcPr>
            <w:tcW w:w="2514" w:type="dxa"/>
            <w:gridSpan w:val="6"/>
            <w:vAlign w:val="center"/>
          </w:tcPr>
          <w:p>
            <w:pPr>
              <w:adjustRightInd/>
              <w:snapToGrid/>
              <w:spacing w:line="260" w:lineRule="exact"/>
              <w:ind w:firstLine="0" w:firstLineChars="0"/>
              <w:jc w:val="center"/>
              <w:rPr>
                <w:color w:val="auto"/>
                <w:sz w:val="21"/>
                <w:szCs w:val="21"/>
              </w:rPr>
            </w:pPr>
            <w:r>
              <w:rPr>
                <w:color w:val="auto"/>
                <w:sz w:val="21"/>
                <w:szCs w:val="21"/>
              </w:rPr>
              <w:t>闪点（</w:t>
            </w:r>
            <w:r>
              <w:rPr>
                <w:rFonts w:hint="eastAsia" w:ascii="宋体" w:hAnsi="宋体" w:cs="宋体"/>
                <w:color w:val="auto"/>
                <w:sz w:val="21"/>
                <w:szCs w:val="21"/>
              </w:rPr>
              <w:t>℃</w:t>
            </w:r>
            <w:r>
              <w:rPr>
                <w:color w:val="auto"/>
                <w:sz w:val="21"/>
                <w:szCs w:val="21"/>
              </w:rPr>
              <w:t>）</w:t>
            </w:r>
          </w:p>
        </w:tc>
        <w:tc>
          <w:tcPr>
            <w:tcW w:w="1949" w:type="dxa"/>
            <w:gridSpan w:val="3"/>
            <w:vAlign w:val="center"/>
          </w:tcPr>
          <w:p>
            <w:pPr>
              <w:adjustRightInd/>
              <w:snapToGrid/>
              <w:spacing w:line="260" w:lineRule="exact"/>
              <w:ind w:firstLine="0" w:firstLineChars="0"/>
              <w:jc w:val="center"/>
              <w:rPr>
                <w:color w:val="auto"/>
                <w:sz w:val="21"/>
                <w:szCs w:val="21"/>
              </w:rPr>
            </w:pPr>
            <w:r>
              <w:rPr>
                <w:color w:val="auto"/>
                <w:sz w:val="21"/>
                <w:szCs w:val="21"/>
              </w:rPr>
              <w:t>无意义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爆炸极限（％）</w:t>
            </w:r>
          </w:p>
        </w:tc>
        <w:tc>
          <w:tcPr>
            <w:tcW w:w="2310" w:type="dxa"/>
            <w:gridSpan w:val="5"/>
            <w:vAlign w:val="center"/>
          </w:tcPr>
          <w:p>
            <w:pPr>
              <w:adjustRightInd/>
              <w:snapToGrid/>
              <w:spacing w:line="260" w:lineRule="exact"/>
              <w:ind w:firstLine="0" w:firstLineChars="0"/>
              <w:jc w:val="center"/>
              <w:rPr>
                <w:color w:val="auto"/>
                <w:sz w:val="21"/>
                <w:szCs w:val="21"/>
              </w:rPr>
            </w:pPr>
            <w:r>
              <w:rPr>
                <w:color w:val="auto"/>
                <w:sz w:val="21"/>
                <w:szCs w:val="21"/>
              </w:rPr>
              <w:t>无意义</w:t>
            </w:r>
          </w:p>
        </w:tc>
        <w:tc>
          <w:tcPr>
            <w:tcW w:w="2514" w:type="dxa"/>
            <w:gridSpan w:val="6"/>
            <w:vAlign w:val="center"/>
          </w:tcPr>
          <w:p>
            <w:pPr>
              <w:adjustRightInd/>
              <w:snapToGrid/>
              <w:spacing w:line="260" w:lineRule="exact"/>
              <w:ind w:firstLine="0" w:firstLineChars="0"/>
              <w:jc w:val="center"/>
              <w:rPr>
                <w:color w:val="auto"/>
                <w:sz w:val="21"/>
                <w:szCs w:val="21"/>
              </w:rPr>
            </w:pPr>
            <w:r>
              <w:rPr>
                <w:color w:val="auto"/>
                <w:sz w:val="21"/>
                <w:szCs w:val="21"/>
              </w:rPr>
              <w:t>最小点火能（MJ）</w:t>
            </w:r>
          </w:p>
        </w:tc>
        <w:tc>
          <w:tcPr>
            <w:tcW w:w="1949" w:type="dxa"/>
            <w:gridSpan w:val="3"/>
            <w:vAlign w:val="center"/>
          </w:tcPr>
          <w:p>
            <w:pPr>
              <w:adjustRightInd/>
              <w:snapToGrid/>
              <w:spacing w:line="260" w:lineRule="exact"/>
              <w:ind w:firstLine="0" w:firstLineChars="0"/>
              <w:jc w:val="center"/>
              <w:rPr>
                <w:color w:val="auto"/>
                <w:sz w:val="21"/>
                <w:szCs w:val="21"/>
              </w:rPr>
            </w:pPr>
            <w:r>
              <w:rPr>
                <w:color w:val="auto"/>
                <w:sz w:val="21"/>
                <w:szCs w:val="21"/>
              </w:rPr>
              <w:t>无意义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引燃温度（</w:t>
            </w:r>
            <w:r>
              <w:rPr>
                <w:rFonts w:hint="eastAsia" w:ascii="宋体" w:hAnsi="宋体" w:cs="宋体"/>
                <w:color w:val="auto"/>
                <w:sz w:val="21"/>
                <w:szCs w:val="21"/>
              </w:rPr>
              <w:t>℃</w:t>
            </w:r>
            <w:r>
              <w:rPr>
                <w:color w:val="auto"/>
                <w:sz w:val="21"/>
                <w:szCs w:val="21"/>
              </w:rPr>
              <w:t>）</w:t>
            </w:r>
          </w:p>
        </w:tc>
        <w:tc>
          <w:tcPr>
            <w:tcW w:w="2310" w:type="dxa"/>
            <w:gridSpan w:val="5"/>
            <w:vAlign w:val="center"/>
          </w:tcPr>
          <w:p>
            <w:pPr>
              <w:adjustRightInd/>
              <w:snapToGrid/>
              <w:spacing w:line="260" w:lineRule="exact"/>
              <w:ind w:firstLine="0" w:firstLineChars="0"/>
              <w:jc w:val="center"/>
              <w:rPr>
                <w:color w:val="auto"/>
                <w:sz w:val="21"/>
                <w:szCs w:val="21"/>
              </w:rPr>
            </w:pPr>
            <w:r>
              <w:rPr>
                <w:color w:val="auto"/>
                <w:sz w:val="21"/>
                <w:szCs w:val="21"/>
              </w:rPr>
              <w:t>无意义</w:t>
            </w:r>
          </w:p>
        </w:tc>
        <w:tc>
          <w:tcPr>
            <w:tcW w:w="2514" w:type="dxa"/>
            <w:gridSpan w:val="6"/>
            <w:vAlign w:val="center"/>
          </w:tcPr>
          <w:p>
            <w:pPr>
              <w:adjustRightInd/>
              <w:snapToGrid/>
              <w:spacing w:line="260" w:lineRule="exact"/>
              <w:ind w:firstLine="0" w:firstLineChars="0"/>
              <w:jc w:val="center"/>
              <w:rPr>
                <w:color w:val="auto"/>
                <w:sz w:val="21"/>
                <w:szCs w:val="21"/>
              </w:rPr>
            </w:pPr>
            <w:r>
              <w:rPr>
                <w:color w:val="auto"/>
                <w:sz w:val="21"/>
                <w:szCs w:val="21"/>
              </w:rPr>
              <w:t>最大爆炸压力（Mpa）</w:t>
            </w:r>
          </w:p>
        </w:tc>
        <w:tc>
          <w:tcPr>
            <w:tcW w:w="1949" w:type="dxa"/>
            <w:gridSpan w:val="3"/>
            <w:vAlign w:val="center"/>
          </w:tcPr>
          <w:p>
            <w:pPr>
              <w:adjustRightInd/>
              <w:snapToGrid/>
              <w:spacing w:line="260" w:lineRule="exact"/>
              <w:ind w:firstLine="0" w:firstLineChars="0"/>
              <w:jc w:val="center"/>
              <w:rPr>
                <w:color w:val="auto"/>
                <w:sz w:val="21"/>
                <w:szCs w:val="21"/>
              </w:rPr>
            </w:pPr>
            <w:r>
              <w:rPr>
                <w:color w:val="auto"/>
                <w:sz w:val="21"/>
                <w:szCs w:val="21"/>
              </w:rPr>
              <w:t>无意义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危 险 特 性</w:t>
            </w:r>
          </w:p>
        </w:tc>
        <w:tc>
          <w:tcPr>
            <w:tcW w:w="6773" w:type="dxa"/>
            <w:gridSpan w:val="14"/>
          </w:tcPr>
          <w:p>
            <w:pPr>
              <w:adjustRightInd/>
              <w:snapToGrid/>
              <w:spacing w:line="260" w:lineRule="exact"/>
              <w:ind w:firstLine="0" w:firstLineChars="0"/>
              <w:rPr>
                <w:color w:val="auto"/>
                <w:sz w:val="21"/>
                <w:szCs w:val="21"/>
              </w:rPr>
            </w:pPr>
            <w:r>
              <w:rPr>
                <w:color w:val="auto"/>
                <w:sz w:val="21"/>
                <w:szCs w:val="21"/>
              </w:rPr>
              <w:t>遇水大量放热，可发生沸溅，与燃烧物（如苯）和可燃物（如糖、纤维素等）接触会发生剧烈反应，甚至引起燃烧；遇电石、高锰酸盐、硝酸盐、苦味酸盐、金属粉末等发生猛烈反应，发生爆炸或燃烧，有强烈腐蚀性和吸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灭 火 方 法</w:t>
            </w:r>
          </w:p>
        </w:tc>
        <w:tc>
          <w:tcPr>
            <w:tcW w:w="6773" w:type="dxa"/>
            <w:gridSpan w:val="14"/>
          </w:tcPr>
          <w:p>
            <w:pPr>
              <w:adjustRightInd/>
              <w:snapToGrid/>
              <w:spacing w:line="260" w:lineRule="exact"/>
              <w:ind w:firstLine="0" w:firstLineChars="0"/>
              <w:rPr>
                <w:color w:val="auto"/>
                <w:sz w:val="21"/>
                <w:szCs w:val="21"/>
              </w:rPr>
            </w:pPr>
            <w:r>
              <w:rPr>
                <w:color w:val="auto"/>
                <w:sz w:val="21"/>
                <w:szCs w:val="21"/>
              </w:rPr>
              <w:t>消防人员必须穿全身耐酸碱消防服；</w:t>
            </w:r>
          </w:p>
          <w:p>
            <w:pPr>
              <w:adjustRightInd/>
              <w:snapToGrid/>
              <w:spacing w:line="260" w:lineRule="exact"/>
              <w:ind w:firstLine="0" w:firstLineChars="0"/>
              <w:rPr>
                <w:color w:val="auto"/>
                <w:sz w:val="21"/>
                <w:szCs w:val="21"/>
              </w:rPr>
            </w:pPr>
            <w:r>
              <w:rPr>
                <w:color w:val="auto"/>
                <w:sz w:val="21"/>
                <w:szCs w:val="21"/>
              </w:rPr>
              <w:t>灭火剂：干粉、二氧化碳、砂土，避免水流冲击物品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禁  忌  物</w:t>
            </w:r>
          </w:p>
        </w:tc>
        <w:tc>
          <w:tcPr>
            <w:tcW w:w="4740" w:type="dxa"/>
            <w:gridSpan w:val="10"/>
            <w:vAlign w:val="center"/>
          </w:tcPr>
          <w:p>
            <w:pPr>
              <w:adjustRightInd/>
              <w:snapToGrid/>
              <w:spacing w:line="260" w:lineRule="exact"/>
              <w:ind w:firstLine="0" w:firstLineChars="0"/>
              <w:rPr>
                <w:color w:val="auto"/>
                <w:sz w:val="21"/>
                <w:szCs w:val="21"/>
              </w:rPr>
            </w:pPr>
            <w:r>
              <w:rPr>
                <w:color w:val="auto"/>
                <w:sz w:val="21"/>
                <w:szCs w:val="21"/>
              </w:rPr>
              <w:t>碱类、碱金属、水、强还原剂、易燃或可燃物</w:t>
            </w:r>
          </w:p>
        </w:tc>
        <w:tc>
          <w:tcPr>
            <w:tcW w:w="109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稳定性</w:t>
            </w:r>
          </w:p>
        </w:tc>
        <w:tc>
          <w:tcPr>
            <w:tcW w:w="939" w:type="dxa"/>
            <w:vAlign w:val="center"/>
          </w:tcPr>
          <w:p>
            <w:pPr>
              <w:adjustRightInd/>
              <w:snapToGrid/>
              <w:spacing w:line="260" w:lineRule="exact"/>
              <w:ind w:firstLine="0" w:firstLineChars="0"/>
              <w:jc w:val="center"/>
              <w:rPr>
                <w:color w:val="auto"/>
                <w:sz w:val="21"/>
                <w:szCs w:val="21"/>
              </w:rPr>
            </w:pPr>
            <w:r>
              <w:rPr>
                <w:color w:val="auto"/>
                <w:sz w:val="21"/>
                <w:szCs w:val="21"/>
              </w:rPr>
              <w:t>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燃 烧 产 物</w:t>
            </w:r>
          </w:p>
        </w:tc>
        <w:tc>
          <w:tcPr>
            <w:tcW w:w="4740" w:type="dxa"/>
            <w:gridSpan w:val="10"/>
            <w:vAlign w:val="center"/>
          </w:tcPr>
          <w:p>
            <w:pPr>
              <w:adjustRightInd/>
              <w:snapToGrid/>
              <w:spacing w:line="260" w:lineRule="exact"/>
              <w:ind w:firstLine="0" w:firstLineChars="0"/>
              <w:rPr>
                <w:color w:val="auto"/>
                <w:sz w:val="21"/>
                <w:szCs w:val="21"/>
              </w:rPr>
            </w:pPr>
            <w:r>
              <w:rPr>
                <w:color w:val="auto"/>
                <w:sz w:val="21"/>
                <w:szCs w:val="21"/>
              </w:rPr>
              <w:t>氧化硫</w:t>
            </w:r>
          </w:p>
        </w:tc>
        <w:tc>
          <w:tcPr>
            <w:tcW w:w="109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聚合危害</w:t>
            </w:r>
          </w:p>
        </w:tc>
        <w:tc>
          <w:tcPr>
            <w:tcW w:w="939" w:type="dxa"/>
            <w:vAlign w:val="center"/>
          </w:tcPr>
          <w:p>
            <w:pPr>
              <w:adjustRightInd/>
              <w:snapToGrid/>
              <w:spacing w:line="260" w:lineRule="exact"/>
              <w:ind w:firstLine="0" w:firstLineChars="0"/>
              <w:jc w:val="center"/>
              <w:rPr>
                <w:color w:val="auto"/>
                <w:sz w:val="21"/>
                <w:szCs w:val="21"/>
              </w:rPr>
            </w:pPr>
            <w:r>
              <w:rPr>
                <w:color w:val="auto"/>
                <w:sz w:val="21"/>
                <w:szCs w:val="21"/>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restart"/>
            <w:vAlign w:val="center"/>
          </w:tcPr>
          <w:p>
            <w:pPr>
              <w:adjustRightInd/>
              <w:snapToGrid/>
              <w:spacing w:line="260" w:lineRule="exact"/>
              <w:ind w:firstLine="0" w:firstLineChars="0"/>
              <w:jc w:val="center"/>
              <w:rPr>
                <w:color w:val="auto"/>
                <w:sz w:val="21"/>
                <w:szCs w:val="21"/>
              </w:rPr>
            </w:pPr>
            <w:r>
              <w:rPr>
                <w:color w:val="auto"/>
                <w:sz w:val="21"/>
                <w:szCs w:val="21"/>
              </w:rPr>
              <w:t>毒性及健康危害</w:t>
            </w:r>
          </w:p>
        </w:tc>
        <w:tc>
          <w:tcPr>
            <w:tcW w:w="1824" w:type="dxa"/>
            <w:gridSpan w:val="3"/>
            <w:vAlign w:val="center"/>
          </w:tcPr>
          <w:p>
            <w:pPr>
              <w:adjustRightInd/>
              <w:snapToGrid/>
              <w:spacing w:line="260" w:lineRule="exact"/>
              <w:ind w:firstLine="0" w:firstLineChars="0"/>
              <w:jc w:val="center"/>
              <w:rPr>
                <w:color w:val="auto"/>
                <w:sz w:val="21"/>
                <w:szCs w:val="21"/>
              </w:rPr>
            </w:pPr>
            <w:r>
              <w:rPr>
                <w:color w:val="auto"/>
                <w:sz w:val="21"/>
                <w:szCs w:val="21"/>
              </w:rPr>
              <w:t>急 性 毒 性</w:t>
            </w:r>
          </w:p>
        </w:tc>
        <w:tc>
          <w:tcPr>
            <w:tcW w:w="2735" w:type="dxa"/>
            <w:gridSpan w:val="6"/>
            <w:vAlign w:val="center"/>
          </w:tcPr>
          <w:p>
            <w:pPr>
              <w:adjustRightInd/>
              <w:snapToGrid/>
              <w:spacing w:line="260" w:lineRule="exact"/>
              <w:ind w:firstLine="0" w:firstLineChars="0"/>
              <w:rPr>
                <w:color w:val="auto"/>
                <w:sz w:val="21"/>
                <w:szCs w:val="21"/>
              </w:rPr>
            </w:pPr>
            <w:r>
              <w:rPr>
                <w:color w:val="auto"/>
                <w:sz w:val="21"/>
                <w:szCs w:val="21"/>
              </w:rPr>
              <w:t>LD</w:t>
            </w:r>
            <w:r>
              <w:rPr>
                <w:color w:val="auto"/>
                <w:sz w:val="21"/>
                <w:szCs w:val="21"/>
                <w:vertAlign w:val="subscript"/>
              </w:rPr>
              <w:t>50</w:t>
            </w:r>
            <w:r>
              <w:rPr>
                <w:color w:val="auto"/>
                <w:sz w:val="21"/>
                <w:szCs w:val="21"/>
              </w:rPr>
              <w:t>（mg/kg，大鼠经口）</w:t>
            </w:r>
          </w:p>
        </w:tc>
        <w:tc>
          <w:tcPr>
            <w:tcW w:w="1094" w:type="dxa"/>
            <w:gridSpan w:val="2"/>
          </w:tcPr>
          <w:p>
            <w:pPr>
              <w:adjustRightInd/>
              <w:snapToGrid/>
              <w:spacing w:line="260" w:lineRule="exact"/>
              <w:ind w:firstLine="0" w:firstLineChars="0"/>
              <w:jc w:val="center"/>
              <w:rPr>
                <w:color w:val="auto"/>
                <w:sz w:val="21"/>
                <w:szCs w:val="21"/>
              </w:rPr>
            </w:pPr>
            <w:r>
              <w:rPr>
                <w:color w:val="auto"/>
                <w:sz w:val="21"/>
                <w:szCs w:val="21"/>
              </w:rPr>
              <w:t>2140</w:t>
            </w:r>
          </w:p>
        </w:tc>
        <w:tc>
          <w:tcPr>
            <w:tcW w:w="1839" w:type="dxa"/>
            <w:gridSpan w:val="4"/>
          </w:tcPr>
          <w:p>
            <w:pPr>
              <w:adjustRightInd/>
              <w:snapToGrid/>
              <w:spacing w:line="260" w:lineRule="exact"/>
              <w:ind w:firstLine="0" w:firstLineChars="0"/>
              <w:jc w:val="center"/>
              <w:rPr>
                <w:color w:val="auto"/>
                <w:sz w:val="21"/>
                <w:szCs w:val="21"/>
              </w:rPr>
            </w:pPr>
            <w:r>
              <w:rPr>
                <w:color w:val="auto"/>
                <w:sz w:val="21"/>
                <w:szCs w:val="21"/>
              </w:rPr>
              <w:t>LD</w:t>
            </w:r>
            <w:r>
              <w:rPr>
                <w:color w:val="auto"/>
                <w:sz w:val="21"/>
                <w:szCs w:val="21"/>
                <w:vertAlign w:val="subscript"/>
              </w:rPr>
              <w:t>50</w:t>
            </w:r>
            <w:r>
              <w:rPr>
                <w:color w:val="auto"/>
                <w:sz w:val="21"/>
                <w:szCs w:val="21"/>
              </w:rPr>
              <w:t>（mg/kg）</w:t>
            </w:r>
          </w:p>
        </w:tc>
        <w:tc>
          <w:tcPr>
            <w:tcW w:w="1105" w:type="dxa"/>
            <w:gridSpan w:val="2"/>
          </w:tcPr>
          <w:p>
            <w:pPr>
              <w:adjustRightInd/>
              <w:snapToGrid/>
              <w:spacing w:line="260" w:lineRule="exact"/>
              <w:ind w:firstLine="0" w:firstLineChars="0"/>
              <w:rPr>
                <w:color w:val="auto"/>
                <w:sz w:val="21"/>
                <w:szCs w:val="21"/>
              </w:rPr>
            </w:pPr>
            <w:r>
              <w:rPr>
                <w:color w:val="auto"/>
                <w:sz w:val="21"/>
                <w:szCs w:val="21"/>
              </w:rPr>
              <w:t>510  2h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945" w:type="dxa"/>
            <w:vMerge w:val="restart"/>
            <w:vAlign w:val="center"/>
          </w:tcPr>
          <w:p>
            <w:pPr>
              <w:adjustRightInd/>
              <w:snapToGrid/>
              <w:spacing w:line="260" w:lineRule="exact"/>
              <w:ind w:firstLine="0" w:firstLineChars="0"/>
              <w:jc w:val="center"/>
              <w:rPr>
                <w:color w:val="auto"/>
                <w:sz w:val="21"/>
                <w:szCs w:val="21"/>
              </w:rPr>
            </w:pPr>
            <w:r>
              <w:rPr>
                <w:color w:val="auto"/>
                <w:sz w:val="21"/>
                <w:szCs w:val="21"/>
              </w:rPr>
              <w:t>健 康 危 害</w:t>
            </w:r>
          </w:p>
        </w:tc>
        <w:tc>
          <w:tcPr>
            <w:tcW w:w="1627" w:type="dxa"/>
            <w:gridSpan w:val="4"/>
          </w:tcPr>
          <w:p>
            <w:pPr>
              <w:adjustRightInd/>
              <w:snapToGrid/>
              <w:spacing w:line="260" w:lineRule="exact"/>
              <w:ind w:firstLine="0" w:firstLineChars="0"/>
              <w:jc w:val="center"/>
              <w:rPr>
                <w:color w:val="auto"/>
                <w:sz w:val="21"/>
                <w:szCs w:val="21"/>
              </w:rPr>
            </w:pPr>
            <w:r>
              <w:rPr>
                <w:color w:val="auto"/>
                <w:sz w:val="21"/>
                <w:szCs w:val="21"/>
              </w:rPr>
              <w:t>车间卫生标准</w:t>
            </w:r>
          </w:p>
        </w:tc>
        <w:tc>
          <w:tcPr>
            <w:tcW w:w="790" w:type="dxa"/>
            <w:gridSpan w:val="2"/>
          </w:tcPr>
          <w:p>
            <w:pPr>
              <w:adjustRightInd/>
              <w:snapToGrid/>
              <w:spacing w:line="260" w:lineRule="exact"/>
              <w:ind w:firstLine="0" w:firstLineChars="0"/>
              <w:jc w:val="center"/>
              <w:rPr>
                <w:color w:val="auto"/>
                <w:sz w:val="21"/>
                <w:szCs w:val="21"/>
              </w:rPr>
            </w:pPr>
            <w:r>
              <w:rPr>
                <w:color w:val="auto"/>
                <w:sz w:val="21"/>
                <w:szCs w:val="21"/>
              </w:rPr>
              <w:t>2</w:t>
            </w:r>
          </w:p>
        </w:tc>
        <w:tc>
          <w:tcPr>
            <w:tcW w:w="2291" w:type="dxa"/>
            <w:gridSpan w:val="4"/>
          </w:tcPr>
          <w:p>
            <w:pPr>
              <w:adjustRightInd/>
              <w:snapToGrid/>
              <w:spacing w:line="260" w:lineRule="exact"/>
              <w:ind w:firstLine="0" w:firstLineChars="0"/>
              <w:jc w:val="center"/>
              <w:rPr>
                <w:color w:val="auto"/>
                <w:sz w:val="21"/>
                <w:szCs w:val="21"/>
              </w:rPr>
            </w:pPr>
            <w:r>
              <w:rPr>
                <w:color w:val="auto"/>
                <w:sz w:val="21"/>
                <w:szCs w:val="21"/>
              </w:rPr>
              <w:t>侵入途径</w:t>
            </w:r>
          </w:p>
        </w:tc>
        <w:tc>
          <w:tcPr>
            <w:tcW w:w="2944" w:type="dxa"/>
            <w:gridSpan w:val="6"/>
          </w:tcPr>
          <w:p>
            <w:pPr>
              <w:adjustRightInd/>
              <w:snapToGrid/>
              <w:spacing w:line="260" w:lineRule="exact"/>
              <w:ind w:firstLine="0" w:firstLineChars="0"/>
              <w:jc w:val="center"/>
              <w:rPr>
                <w:color w:val="auto"/>
                <w:sz w:val="21"/>
                <w:szCs w:val="21"/>
              </w:rPr>
            </w:pPr>
            <w:r>
              <w:rPr>
                <w:color w:val="auto"/>
                <w:sz w:val="21"/>
                <w:szCs w:val="21"/>
              </w:rPr>
              <w:t>吸如、食入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Merge w:val="continue"/>
          </w:tcPr>
          <w:p>
            <w:pPr>
              <w:adjustRightInd/>
              <w:snapToGrid/>
              <w:spacing w:line="260" w:lineRule="exact"/>
              <w:ind w:firstLine="0" w:firstLineChars="0"/>
              <w:rPr>
                <w:color w:val="auto"/>
                <w:sz w:val="21"/>
                <w:szCs w:val="21"/>
              </w:rPr>
            </w:pPr>
          </w:p>
        </w:tc>
        <w:tc>
          <w:tcPr>
            <w:tcW w:w="945" w:type="dxa"/>
            <w:vMerge w:val="continue"/>
            <w:vAlign w:val="center"/>
          </w:tcPr>
          <w:p>
            <w:pPr>
              <w:adjustRightInd/>
              <w:snapToGrid/>
              <w:spacing w:line="260" w:lineRule="exact"/>
              <w:ind w:firstLine="0" w:firstLineChars="0"/>
              <w:rPr>
                <w:color w:val="auto"/>
                <w:sz w:val="21"/>
                <w:szCs w:val="21"/>
              </w:rPr>
            </w:pPr>
          </w:p>
        </w:tc>
        <w:tc>
          <w:tcPr>
            <w:tcW w:w="7652" w:type="dxa"/>
            <w:gridSpan w:val="16"/>
          </w:tcPr>
          <w:p>
            <w:pPr>
              <w:adjustRightInd/>
              <w:snapToGrid/>
              <w:spacing w:line="260" w:lineRule="exact"/>
              <w:ind w:firstLine="0" w:firstLineChars="0"/>
              <w:rPr>
                <w:color w:val="auto"/>
                <w:sz w:val="21"/>
                <w:szCs w:val="21"/>
              </w:rPr>
            </w:pPr>
            <w:r>
              <w:rPr>
                <w:color w:val="auto"/>
                <w:sz w:val="21"/>
                <w:szCs w:val="21"/>
              </w:rPr>
              <w:t>对皮肤黏膜等组织有强烈的刺激和腐蚀作用；或雾可引起结膜炎、结膜水肿、角膜混浊，以致失明；可引起呼吸道刺激，重者发送呼吸困难和肺水肿而窒息死亡；口服后引起消化道烧伤以致溃疡形成，严重者可能有胃穿空、腹膜炎、肾损害、休克等；皮肤的灼伤，轻者出现红斑，重者形成溃疡，愈后瘢痕收缩影响功能；溅入眼内可造成灼伤，甚至角膜穿孔，全眼炎以致失明；慢性影响：牙齿酸蚀病、慢性支气管炎、肺气肿和肺硬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Align w:val="center"/>
          </w:tcPr>
          <w:p>
            <w:pPr>
              <w:adjustRightInd/>
              <w:snapToGrid/>
              <w:spacing w:line="260" w:lineRule="exact"/>
              <w:ind w:firstLine="0" w:firstLineChars="0"/>
              <w:jc w:val="center"/>
              <w:rPr>
                <w:color w:val="auto"/>
                <w:sz w:val="21"/>
                <w:szCs w:val="21"/>
              </w:rPr>
            </w:pPr>
            <w:r>
              <w:rPr>
                <w:color w:val="auto"/>
                <w:sz w:val="21"/>
                <w:szCs w:val="21"/>
              </w:rPr>
              <w:t>急</w:t>
            </w:r>
          </w:p>
          <w:p>
            <w:pPr>
              <w:adjustRightInd/>
              <w:snapToGrid/>
              <w:spacing w:line="260" w:lineRule="exact"/>
              <w:ind w:firstLine="0" w:firstLineChars="0"/>
              <w:jc w:val="center"/>
              <w:rPr>
                <w:color w:val="auto"/>
                <w:sz w:val="21"/>
                <w:szCs w:val="21"/>
              </w:rPr>
            </w:pPr>
          </w:p>
          <w:p>
            <w:pPr>
              <w:adjustRightInd/>
              <w:snapToGrid/>
              <w:spacing w:line="260" w:lineRule="exact"/>
              <w:ind w:firstLine="0" w:firstLineChars="0"/>
              <w:jc w:val="center"/>
              <w:rPr>
                <w:color w:val="auto"/>
                <w:sz w:val="21"/>
                <w:szCs w:val="21"/>
              </w:rPr>
            </w:pPr>
            <w:r>
              <w:rPr>
                <w:color w:val="auto"/>
                <w:sz w:val="21"/>
                <w:szCs w:val="21"/>
              </w:rPr>
              <w:t>救</w:t>
            </w:r>
          </w:p>
        </w:tc>
        <w:tc>
          <w:tcPr>
            <w:tcW w:w="8597" w:type="dxa"/>
            <w:gridSpan w:val="17"/>
            <w:vAlign w:val="center"/>
          </w:tcPr>
          <w:p>
            <w:pPr>
              <w:adjustRightInd/>
              <w:snapToGrid/>
              <w:spacing w:line="260" w:lineRule="exact"/>
              <w:ind w:left="484" w:leftChars="-51" w:hanging="627" w:hangingChars="299"/>
              <w:rPr>
                <w:color w:val="auto"/>
                <w:sz w:val="21"/>
                <w:szCs w:val="21"/>
              </w:rPr>
            </w:pPr>
            <w:r>
              <w:rPr>
                <w:color w:val="auto"/>
                <w:sz w:val="21"/>
                <w:szCs w:val="21"/>
              </w:rPr>
              <w:t>皮肤接触：立即脱去被污染的衣着，用大量清水冲洗至少15分钟，就医；</w:t>
            </w:r>
          </w:p>
          <w:p>
            <w:pPr>
              <w:adjustRightInd/>
              <w:snapToGrid/>
              <w:spacing w:line="260" w:lineRule="exact"/>
              <w:ind w:left="484" w:leftChars="-51" w:hanging="627" w:hangingChars="299"/>
              <w:rPr>
                <w:color w:val="auto"/>
                <w:sz w:val="21"/>
                <w:szCs w:val="21"/>
              </w:rPr>
            </w:pPr>
            <w:r>
              <w:rPr>
                <w:color w:val="auto"/>
                <w:sz w:val="21"/>
                <w:szCs w:val="21"/>
              </w:rPr>
              <w:t>眼睛接触：立即提起眼睑，用大量流动清水或生理盐水彻底冲洗至少15分钟，就医；</w:t>
            </w:r>
          </w:p>
          <w:p>
            <w:pPr>
              <w:adjustRightInd/>
              <w:snapToGrid/>
              <w:spacing w:line="260" w:lineRule="exact"/>
              <w:ind w:left="484" w:leftChars="-51" w:hanging="627" w:hangingChars="299"/>
              <w:rPr>
                <w:color w:val="auto"/>
                <w:sz w:val="21"/>
                <w:szCs w:val="21"/>
              </w:rPr>
            </w:pPr>
            <w:r>
              <w:rPr>
                <w:color w:val="auto"/>
                <w:sz w:val="21"/>
                <w:szCs w:val="21"/>
              </w:rPr>
              <w:t>吸入：迅速脱离现场至空气新鲜处，保持呼吸道通畅，如呼吸困难，给输氧；如呼吸停止，立即进行人工呼吸，就医；</w:t>
            </w:r>
          </w:p>
          <w:p>
            <w:pPr>
              <w:adjustRightInd/>
              <w:snapToGrid/>
              <w:spacing w:line="260" w:lineRule="exact"/>
              <w:ind w:left="484" w:leftChars="-51" w:hanging="627" w:hangingChars="299"/>
              <w:rPr>
                <w:color w:val="auto"/>
                <w:sz w:val="21"/>
                <w:szCs w:val="21"/>
              </w:rPr>
            </w:pPr>
            <w:r>
              <w:rPr>
                <w:color w:val="auto"/>
                <w:sz w:val="21"/>
                <w:szCs w:val="21"/>
              </w:rPr>
              <w:t>食入：误服者用水漱口，给饮牛奶或蛋清，就医。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Align w:val="center"/>
          </w:tcPr>
          <w:p>
            <w:pPr>
              <w:adjustRightInd/>
              <w:snapToGrid/>
              <w:spacing w:line="260" w:lineRule="exact"/>
              <w:ind w:firstLine="0" w:firstLineChars="0"/>
              <w:jc w:val="center"/>
              <w:rPr>
                <w:color w:val="auto"/>
                <w:sz w:val="21"/>
                <w:szCs w:val="21"/>
              </w:rPr>
            </w:pPr>
            <w:r>
              <w:rPr>
                <w:color w:val="auto"/>
                <w:sz w:val="21"/>
                <w:szCs w:val="21"/>
              </w:rPr>
              <w:t>防</w:t>
            </w:r>
          </w:p>
          <w:p>
            <w:pPr>
              <w:adjustRightInd/>
              <w:snapToGrid/>
              <w:spacing w:line="260" w:lineRule="exact"/>
              <w:ind w:firstLine="0" w:firstLineChars="0"/>
              <w:jc w:val="center"/>
              <w:rPr>
                <w:color w:val="auto"/>
                <w:sz w:val="21"/>
                <w:szCs w:val="21"/>
              </w:rPr>
            </w:pPr>
          </w:p>
          <w:p>
            <w:pPr>
              <w:adjustRightInd/>
              <w:snapToGrid/>
              <w:spacing w:line="260" w:lineRule="exact"/>
              <w:ind w:firstLine="0" w:firstLineChars="0"/>
              <w:jc w:val="center"/>
              <w:rPr>
                <w:color w:val="auto"/>
                <w:sz w:val="21"/>
                <w:szCs w:val="21"/>
              </w:rPr>
            </w:pPr>
          </w:p>
          <w:p>
            <w:pPr>
              <w:adjustRightInd/>
              <w:snapToGrid/>
              <w:spacing w:line="260" w:lineRule="exact"/>
              <w:ind w:firstLine="0" w:firstLineChars="0"/>
              <w:jc w:val="center"/>
              <w:rPr>
                <w:color w:val="auto"/>
                <w:sz w:val="21"/>
                <w:szCs w:val="21"/>
              </w:rPr>
            </w:pPr>
            <w:r>
              <w:rPr>
                <w:color w:val="auto"/>
                <w:sz w:val="21"/>
                <w:szCs w:val="21"/>
              </w:rPr>
              <w:t>护</w:t>
            </w:r>
          </w:p>
        </w:tc>
        <w:tc>
          <w:tcPr>
            <w:tcW w:w="8597" w:type="dxa"/>
            <w:gridSpan w:val="17"/>
            <w:vAlign w:val="center"/>
          </w:tcPr>
          <w:p>
            <w:pPr>
              <w:adjustRightInd/>
              <w:snapToGrid/>
              <w:spacing w:line="260" w:lineRule="exact"/>
              <w:ind w:firstLine="0" w:firstLineChars="0"/>
              <w:rPr>
                <w:color w:val="auto"/>
                <w:sz w:val="21"/>
                <w:szCs w:val="21"/>
              </w:rPr>
            </w:pPr>
            <w:r>
              <w:rPr>
                <w:color w:val="auto"/>
                <w:sz w:val="21"/>
                <w:szCs w:val="21"/>
              </w:rPr>
              <w:t>工程控制：密闭操作，注意通风，尽可能机械化、自动化，提供安全淋浴和洗眼设备；</w:t>
            </w:r>
          </w:p>
          <w:p>
            <w:pPr>
              <w:adjustRightInd/>
              <w:snapToGrid/>
              <w:spacing w:line="260" w:lineRule="exact"/>
              <w:ind w:left="630" w:hanging="630" w:hangingChars="300"/>
              <w:rPr>
                <w:color w:val="auto"/>
                <w:sz w:val="21"/>
                <w:szCs w:val="21"/>
              </w:rPr>
            </w:pPr>
            <w:r>
              <w:rPr>
                <w:color w:val="auto"/>
                <w:sz w:val="21"/>
                <w:szCs w:val="21"/>
              </w:rPr>
              <w:t>呼吸系统防护：可能接触其烟雾时，佩戴自给式防毒面具（全面罩）或空气呼吸器；紧急事态抢救或撤离时，建议佩戴氧气呼吸器。</w:t>
            </w:r>
          </w:p>
          <w:p>
            <w:pPr>
              <w:adjustRightInd/>
              <w:snapToGrid/>
              <w:spacing w:line="260" w:lineRule="exact"/>
              <w:ind w:firstLine="0" w:firstLineChars="0"/>
              <w:rPr>
                <w:color w:val="auto"/>
                <w:sz w:val="21"/>
                <w:szCs w:val="21"/>
              </w:rPr>
            </w:pPr>
            <w:r>
              <w:rPr>
                <w:color w:val="auto"/>
                <w:sz w:val="21"/>
                <w:szCs w:val="21"/>
              </w:rPr>
              <w:t>眼睛防护：呼吸系统防护中已作防护；</w:t>
            </w:r>
          </w:p>
          <w:p>
            <w:pPr>
              <w:adjustRightInd/>
              <w:snapToGrid/>
              <w:spacing w:line="260" w:lineRule="exact"/>
              <w:ind w:firstLine="0" w:firstLineChars="0"/>
              <w:rPr>
                <w:color w:val="auto"/>
                <w:sz w:val="21"/>
                <w:szCs w:val="21"/>
              </w:rPr>
            </w:pPr>
            <w:r>
              <w:rPr>
                <w:color w:val="auto"/>
                <w:sz w:val="21"/>
                <w:szCs w:val="21"/>
              </w:rPr>
              <w:t>身体防护：穿橡胶耐酸碱服；</w:t>
            </w:r>
          </w:p>
          <w:p>
            <w:pPr>
              <w:adjustRightInd/>
              <w:snapToGrid/>
              <w:spacing w:line="260" w:lineRule="exact"/>
              <w:ind w:firstLine="0" w:firstLineChars="0"/>
              <w:rPr>
                <w:color w:val="auto"/>
                <w:sz w:val="21"/>
                <w:szCs w:val="21"/>
              </w:rPr>
            </w:pPr>
            <w:r>
              <w:rPr>
                <w:color w:val="auto"/>
                <w:sz w:val="21"/>
                <w:szCs w:val="21"/>
              </w:rPr>
              <w:t>手防护：带橡胶耐酸碱手套；</w:t>
            </w:r>
          </w:p>
          <w:p>
            <w:pPr>
              <w:adjustRightInd/>
              <w:snapToGrid/>
              <w:spacing w:line="260" w:lineRule="exact"/>
              <w:ind w:left="630" w:hanging="630" w:hangingChars="300"/>
              <w:rPr>
                <w:color w:val="auto"/>
                <w:sz w:val="21"/>
                <w:szCs w:val="21"/>
              </w:rPr>
            </w:pPr>
            <w:r>
              <w:rPr>
                <w:color w:val="auto"/>
                <w:sz w:val="21"/>
                <w:szCs w:val="21"/>
              </w:rPr>
              <w:t>其他：工作场所禁止吸烟、进食和饮水，工作毕淋浴更衣，单独存放被毒物污染的衣物，洗净后备用，保持良好的卫生习惯。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Align w:val="center"/>
          </w:tcPr>
          <w:p>
            <w:pPr>
              <w:adjustRightInd/>
              <w:snapToGrid/>
              <w:spacing w:line="260" w:lineRule="exact"/>
              <w:ind w:firstLine="0" w:firstLineChars="0"/>
              <w:jc w:val="center"/>
              <w:rPr>
                <w:color w:val="auto"/>
                <w:sz w:val="21"/>
                <w:szCs w:val="21"/>
              </w:rPr>
            </w:pPr>
            <w:r>
              <w:rPr>
                <w:color w:val="auto"/>
                <w:sz w:val="21"/>
                <w:szCs w:val="21"/>
              </w:rPr>
              <w:t>泄漏处理</w:t>
            </w:r>
          </w:p>
        </w:tc>
        <w:tc>
          <w:tcPr>
            <w:tcW w:w="8597" w:type="dxa"/>
            <w:gridSpan w:val="17"/>
            <w:vAlign w:val="center"/>
          </w:tcPr>
          <w:p>
            <w:pPr>
              <w:adjustRightInd/>
              <w:snapToGrid/>
              <w:spacing w:line="260" w:lineRule="exact"/>
              <w:ind w:firstLine="0" w:firstLineChars="0"/>
              <w:rPr>
                <w:color w:val="auto"/>
                <w:sz w:val="21"/>
                <w:szCs w:val="21"/>
              </w:rPr>
            </w:pPr>
            <w:r>
              <w:rPr>
                <w:color w:val="auto"/>
                <w:sz w:val="21"/>
                <w:szCs w:val="21"/>
              </w:rPr>
              <w:t>迅速撤离泄漏区人员至安全区，并进行隔离，严格限制出入，建议应急处理人员佩戴自给正压呼吸器，穿防酸碱工作服，不要直接接触泄漏物，尽可能切断泄漏源，防止进入下水道、排洪沟等限制性空间；小量泄漏：用砂土、干燥石灰或苏打灰混合，也可用大量水冲洗，洗水稀释后排入废水系统；大量泄漏：构筑围堤或挖坑收容，用泵转移至槽车或专用收集器内，回收或运至废物处理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5" w:type="dxa"/>
            <w:vAlign w:val="center"/>
          </w:tcPr>
          <w:p>
            <w:pPr>
              <w:adjustRightInd/>
              <w:snapToGrid/>
              <w:spacing w:line="260" w:lineRule="exact"/>
              <w:ind w:firstLine="0" w:firstLineChars="0"/>
              <w:jc w:val="center"/>
              <w:rPr>
                <w:color w:val="auto"/>
                <w:sz w:val="21"/>
                <w:szCs w:val="21"/>
              </w:rPr>
            </w:pPr>
            <w:r>
              <w:rPr>
                <w:color w:val="auto"/>
                <w:sz w:val="21"/>
                <w:szCs w:val="21"/>
              </w:rPr>
              <w:t>储运</w:t>
            </w:r>
          </w:p>
        </w:tc>
        <w:tc>
          <w:tcPr>
            <w:tcW w:w="8597" w:type="dxa"/>
            <w:gridSpan w:val="17"/>
            <w:vAlign w:val="center"/>
          </w:tcPr>
          <w:p>
            <w:pPr>
              <w:adjustRightInd/>
              <w:snapToGrid/>
              <w:spacing w:line="260" w:lineRule="exact"/>
              <w:ind w:firstLine="0" w:firstLineChars="0"/>
              <w:rPr>
                <w:color w:val="auto"/>
                <w:sz w:val="21"/>
                <w:szCs w:val="21"/>
              </w:rPr>
            </w:pPr>
            <w:r>
              <w:rPr>
                <w:color w:val="auto"/>
                <w:spacing w:val="-6"/>
                <w:sz w:val="21"/>
                <w:szCs w:val="21"/>
              </w:rPr>
              <w:t>储存于阴凉、干燥、通风良好的仓间，应与易燃物、可燃物、碱类、金属粉末等分开存放，不可混储、混运。搬运时要轻装轻卸，防止包装及容器损坏，分装和搬运作业要注意个人防护。</w:t>
            </w:r>
          </w:p>
        </w:tc>
      </w:tr>
    </w:tbl>
    <w:p>
      <w:pPr>
        <w:spacing w:line="240" w:lineRule="auto"/>
        <w:ind w:firstLine="0" w:firstLineChars="0"/>
        <w:jc w:val="center"/>
        <w:rPr>
          <w:b/>
          <w:sz w:val="24"/>
        </w:rPr>
      </w:pPr>
    </w:p>
    <w:p>
      <w:pPr>
        <w:spacing w:line="240" w:lineRule="auto"/>
        <w:ind w:firstLine="0" w:firstLineChars="0"/>
        <w:jc w:val="center"/>
        <w:rPr>
          <w:b/>
          <w:sz w:val="24"/>
        </w:rPr>
      </w:pPr>
      <w:r>
        <w:rPr>
          <w:rFonts w:hint="eastAsia"/>
          <w:b/>
          <w:sz w:val="24"/>
        </w:rPr>
        <w:t>F表2.4-2  二氧化硫的理化性质及危险特性</w:t>
      </w:r>
    </w:p>
    <w:tbl>
      <w:tblPr>
        <w:tblStyle w:val="38"/>
        <w:tblW w:w="9072"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47"/>
        <w:gridCol w:w="957"/>
        <w:gridCol w:w="745"/>
        <w:gridCol w:w="1319"/>
        <w:gridCol w:w="553"/>
        <w:gridCol w:w="1751"/>
        <w:gridCol w:w="644"/>
        <w:gridCol w:w="1173"/>
        <w:gridCol w:w="118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restart"/>
            <w:vAlign w:val="center"/>
          </w:tcPr>
          <w:p>
            <w:pPr>
              <w:spacing w:line="240" w:lineRule="auto"/>
              <w:ind w:firstLine="0" w:firstLineChars="0"/>
              <w:jc w:val="left"/>
              <w:rPr>
                <w:color w:val="auto"/>
                <w:sz w:val="21"/>
                <w:szCs w:val="21"/>
              </w:rPr>
            </w:pPr>
            <w:r>
              <w:rPr>
                <w:color w:val="auto"/>
                <w:sz w:val="21"/>
                <w:szCs w:val="21"/>
              </w:rPr>
              <w:t>标识</w:t>
            </w:r>
          </w:p>
        </w:tc>
        <w:tc>
          <w:tcPr>
            <w:tcW w:w="1702" w:type="dxa"/>
            <w:gridSpan w:val="2"/>
            <w:vAlign w:val="center"/>
          </w:tcPr>
          <w:p>
            <w:pPr>
              <w:spacing w:line="240" w:lineRule="auto"/>
              <w:ind w:firstLine="0" w:firstLineChars="0"/>
              <w:jc w:val="center"/>
              <w:rPr>
                <w:color w:val="auto"/>
                <w:sz w:val="21"/>
                <w:szCs w:val="21"/>
              </w:rPr>
            </w:pPr>
            <w:r>
              <w:rPr>
                <w:color w:val="auto"/>
                <w:sz w:val="21"/>
                <w:szCs w:val="21"/>
              </w:rPr>
              <w:t>中文名</w:t>
            </w:r>
          </w:p>
        </w:tc>
        <w:tc>
          <w:tcPr>
            <w:tcW w:w="1872" w:type="dxa"/>
            <w:gridSpan w:val="2"/>
            <w:vAlign w:val="center"/>
          </w:tcPr>
          <w:p>
            <w:pPr>
              <w:spacing w:line="240" w:lineRule="auto"/>
              <w:ind w:firstLine="0" w:firstLineChars="0"/>
              <w:jc w:val="center"/>
              <w:rPr>
                <w:color w:val="auto"/>
                <w:sz w:val="21"/>
                <w:szCs w:val="21"/>
              </w:rPr>
            </w:pPr>
            <w:r>
              <w:rPr>
                <w:color w:val="auto"/>
                <w:sz w:val="21"/>
                <w:szCs w:val="21"/>
              </w:rPr>
              <w:t>二氧化硫</w:t>
            </w:r>
          </w:p>
        </w:tc>
        <w:tc>
          <w:tcPr>
            <w:tcW w:w="1751" w:type="dxa"/>
            <w:vAlign w:val="center"/>
          </w:tcPr>
          <w:p>
            <w:pPr>
              <w:spacing w:line="240" w:lineRule="auto"/>
              <w:ind w:firstLine="0" w:firstLineChars="0"/>
              <w:jc w:val="center"/>
              <w:rPr>
                <w:color w:val="auto"/>
                <w:sz w:val="21"/>
                <w:szCs w:val="21"/>
              </w:rPr>
            </w:pPr>
            <w:r>
              <w:rPr>
                <w:color w:val="auto"/>
                <w:sz w:val="21"/>
                <w:szCs w:val="21"/>
              </w:rPr>
              <w:t>英文名</w:t>
            </w:r>
          </w:p>
        </w:tc>
        <w:tc>
          <w:tcPr>
            <w:tcW w:w="3000" w:type="dxa"/>
            <w:gridSpan w:val="3"/>
            <w:vAlign w:val="center"/>
          </w:tcPr>
          <w:p>
            <w:pPr>
              <w:spacing w:line="240" w:lineRule="auto"/>
              <w:ind w:firstLine="0" w:firstLineChars="0"/>
              <w:jc w:val="center"/>
              <w:rPr>
                <w:color w:val="auto"/>
                <w:sz w:val="21"/>
                <w:szCs w:val="21"/>
              </w:rPr>
            </w:pPr>
            <w:r>
              <w:rPr>
                <w:color w:val="auto"/>
                <w:sz w:val="21"/>
                <w:szCs w:val="21"/>
              </w:rPr>
              <w:t>sulfur dioxide</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spacing w:line="240" w:lineRule="auto"/>
              <w:ind w:firstLine="0" w:firstLineChars="0"/>
              <w:jc w:val="left"/>
              <w:rPr>
                <w:color w:val="auto"/>
                <w:sz w:val="21"/>
                <w:szCs w:val="21"/>
              </w:rPr>
            </w:pPr>
          </w:p>
        </w:tc>
        <w:tc>
          <w:tcPr>
            <w:tcW w:w="1702" w:type="dxa"/>
            <w:gridSpan w:val="2"/>
            <w:vAlign w:val="center"/>
          </w:tcPr>
          <w:p>
            <w:pPr>
              <w:spacing w:line="240" w:lineRule="auto"/>
              <w:ind w:firstLine="0" w:firstLineChars="0"/>
              <w:jc w:val="center"/>
              <w:rPr>
                <w:color w:val="auto"/>
                <w:sz w:val="21"/>
                <w:szCs w:val="21"/>
              </w:rPr>
            </w:pPr>
            <w:r>
              <w:rPr>
                <w:color w:val="auto"/>
                <w:sz w:val="21"/>
                <w:szCs w:val="21"/>
              </w:rPr>
              <w:t>分子式</w:t>
            </w:r>
          </w:p>
        </w:tc>
        <w:tc>
          <w:tcPr>
            <w:tcW w:w="1872" w:type="dxa"/>
            <w:gridSpan w:val="2"/>
            <w:vAlign w:val="center"/>
          </w:tcPr>
          <w:p>
            <w:pPr>
              <w:spacing w:line="240" w:lineRule="auto"/>
              <w:ind w:firstLine="0" w:firstLineChars="0"/>
              <w:jc w:val="center"/>
              <w:rPr>
                <w:color w:val="auto"/>
                <w:sz w:val="21"/>
                <w:szCs w:val="21"/>
              </w:rPr>
            </w:pPr>
            <w:r>
              <w:rPr>
                <w:rFonts w:hint="eastAsia"/>
                <w:color w:val="auto"/>
                <w:sz w:val="21"/>
                <w:szCs w:val="21"/>
              </w:rPr>
              <w:t>SO</w:t>
            </w:r>
            <w:r>
              <w:rPr>
                <w:rFonts w:hint="eastAsia"/>
                <w:color w:val="auto"/>
                <w:sz w:val="21"/>
                <w:szCs w:val="21"/>
                <w:vertAlign w:val="subscript"/>
              </w:rPr>
              <w:t>2</w:t>
            </w:r>
          </w:p>
        </w:tc>
        <w:tc>
          <w:tcPr>
            <w:tcW w:w="1751" w:type="dxa"/>
            <w:vAlign w:val="center"/>
          </w:tcPr>
          <w:p>
            <w:pPr>
              <w:spacing w:line="240" w:lineRule="auto"/>
              <w:ind w:firstLine="0" w:firstLineChars="0"/>
              <w:jc w:val="center"/>
              <w:rPr>
                <w:color w:val="auto"/>
                <w:sz w:val="21"/>
                <w:szCs w:val="21"/>
              </w:rPr>
            </w:pPr>
            <w:r>
              <w:rPr>
                <w:color w:val="auto"/>
                <w:sz w:val="21"/>
                <w:szCs w:val="21"/>
              </w:rPr>
              <w:t>危规号</w:t>
            </w:r>
          </w:p>
        </w:tc>
        <w:tc>
          <w:tcPr>
            <w:tcW w:w="3000" w:type="dxa"/>
            <w:gridSpan w:val="3"/>
            <w:vAlign w:val="center"/>
          </w:tcPr>
          <w:p>
            <w:pPr>
              <w:spacing w:line="240" w:lineRule="auto"/>
              <w:ind w:firstLine="0" w:firstLineChars="0"/>
              <w:jc w:val="center"/>
              <w:rPr>
                <w:color w:val="auto"/>
                <w:sz w:val="21"/>
                <w:szCs w:val="21"/>
              </w:rPr>
            </w:pPr>
            <w:r>
              <w:rPr>
                <w:color w:val="auto"/>
                <w:sz w:val="21"/>
                <w:szCs w:val="21"/>
              </w:rPr>
              <w:t>23013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spacing w:line="240" w:lineRule="auto"/>
              <w:ind w:firstLine="0" w:firstLineChars="0"/>
              <w:jc w:val="left"/>
              <w:rPr>
                <w:color w:val="auto"/>
                <w:sz w:val="21"/>
                <w:szCs w:val="21"/>
              </w:rPr>
            </w:pPr>
          </w:p>
        </w:tc>
        <w:tc>
          <w:tcPr>
            <w:tcW w:w="957" w:type="dxa"/>
            <w:vAlign w:val="center"/>
          </w:tcPr>
          <w:p>
            <w:pPr>
              <w:spacing w:line="240" w:lineRule="auto"/>
              <w:ind w:firstLine="0" w:firstLineChars="0"/>
              <w:jc w:val="center"/>
              <w:rPr>
                <w:color w:val="auto"/>
                <w:sz w:val="21"/>
                <w:szCs w:val="21"/>
              </w:rPr>
            </w:pPr>
            <w:r>
              <w:rPr>
                <w:color w:val="auto"/>
                <w:sz w:val="21"/>
                <w:szCs w:val="21"/>
              </w:rPr>
              <w:t>分子量</w:t>
            </w:r>
          </w:p>
        </w:tc>
        <w:tc>
          <w:tcPr>
            <w:tcW w:w="745" w:type="dxa"/>
            <w:vAlign w:val="center"/>
          </w:tcPr>
          <w:p>
            <w:pPr>
              <w:spacing w:line="240" w:lineRule="auto"/>
              <w:ind w:firstLine="0" w:firstLineChars="0"/>
              <w:jc w:val="center"/>
              <w:rPr>
                <w:color w:val="auto"/>
                <w:sz w:val="21"/>
                <w:szCs w:val="21"/>
              </w:rPr>
            </w:pPr>
            <w:r>
              <w:rPr>
                <w:color w:val="auto"/>
                <w:sz w:val="21"/>
                <w:szCs w:val="21"/>
              </w:rPr>
              <w:t>64.06</w:t>
            </w:r>
          </w:p>
        </w:tc>
        <w:tc>
          <w:tcPr>
            <w:tcW w:w="1319" w:type="dxa"/>
            <w:vAlign w:val="center"/>
          </w:tcPr>
          <w:p>
            <w:pPr>
              <w:spacing w:line="240" w:lineRule="auto"/>
              <w:ind w:firstLine="0" w:firstLineChars="0"/>
              <w:jc w:val="center"/>
              <w:rPr>
                <w:color w:val="auto"/>
                <w:sz w:val="21"/>
                <w:szCs w:val="21"/>
              </w:rPr>
            </w:pPr>
            <w:r>
              <w:rPr>
                <w:color w:val="auto"/>
                <w:sz w:val="21"/>
                <w:szCs w:val="21"/>
              </w:rPr>
              <w:t>危险性类别</w:t>
            </w:r>
          </w:p>
        </w:tc>
        <w:tc>
          <w:tcPr>
            <w:tcW w:w="5304" w:type="dxa"/>
            <w:gridSpan w:val="5"/>
            <w:vAlign w:val="center"/>
          </w:tcPr>
          <w:p>
            <w:pPr>
              <w:spacing w:line="240" w:lineRule="auto"/>
              <w:ind w:firstLine="0" w:firstLineChars="0"/>
              <w:jc w:val="left"/>
              <w:rPr>
                <w:color w:val="auto"/>
                <w:sz w:val="21"/>
                <w:szCs w:val="21"/>
              </w:rPr>
            </w:pPr>
            <w:r>
              <w:rPr>
                <w:rFonts w:hint="eastAsia"/>
                <w:color w:val="auto"/>
                <w:sz w:val="21"/>
                <w:szCs w:val="21"/>
              </w:rPr>
              <w:t>加压气体；急性毒性-吸入，类别3；皮肤腐蚀/刺激，类别1</w:t>
            </w:r>
            <w:r>
              <w:rPr>
                <w:color w:val="auto"/>
                <w:sz w:val="21"/>
                <w:szCs w:val="21"/>
              </w:rPr>
              <w:t>B</w:t>
            </w:r>
            <w:r>
              <w:rPr>
                <w:rFonts w:hint="eastAsia"/>
                <w:color w:val="auto"/>
                <w:sz w:val="21"/>
                <w:szCs w:val="21"/>
              </w:rPr>
              <w:t>；严重眼损伤/眼刺激，类别1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restart"/>
            <w:vAlign w:val="center"/>
          </w:tcPr>
          <w:p>
            <w:pPr>
              <w:adjustRightInd/>
              <w:snapToGrid/>
              <w:spacing w:line="240" w:lineRule="auto"/>
              <w:ind w:firstLine="0" w:firstLineChars="0"/>
              <w:jc w:val="left"/>
              <w:rPr>
                <w:color w:val="auto"/>
                <w:sz w:val="21"/>
                <w:szCs w:val="21"/>
              </w:rPr>
            </w:pPr>
            <w:r>
              <w:rPr>
                <w:color w:val="auto"/>
                <w:sz w:val="21"/>
                <w:szCs w:val="21"/>
              </w:rPr>
              <w:t>理化特性</w:t>
            </w:r>
          </w:p>
        </w:tc>
        <w:tc>
          <w:tcPr>
            <w:tcW w:w="1702" w:type="dxa"/>
            <w:gridSpan w:val="2"/>
            <w:vAlign w:val="center"/>
          </w:tcPr>
          <w:p>
            <w:pPr>
              <w:adjustRightInd/>
              <w:snapToGrid/>
              <w:spacing w:line="240" w:lineRule="auto"/>
              <w:ind w:firstLineChars="0"/>
              <w:jc w:val="left"/>
              <w:rPr>
                <w:color w:val="auto"/>
                <w:sz w:val="21"/>
                <w:szCs w:val="21"/>
              </w:rPr>
            </w:pPr>
            <w:r>
              <w:rPr>
                <w:color w:val="auto"/>
                <w:sz w:val="21"/>
                <w:szCs w:val="21"/>
              </w:rPr>
              <w:t>熔点（</w:t>
            </w:r>
            <w:r>
              <w:rPr>
                <w:rFonts w:hint="eastAsia" w:ascii="宋体" w:hAnsi="宋体" w:cs="宋体"/>
                <w:color w:val="auto"/>
                <w:sz w:val="21"/>
                <w:szCs w:val="21"/>
              </w:rPr>
              <w:t>℃</w:t>
            </w:r>
            <w:r>
              <w:rPr>
                <w:color w:val="auto"/>
                <w:sz w:val="21"/>
                <w:szCs w:val="21"/>
              </w:rPr>
              <w:t>）</w:t>
            </w:r>
          </w:p>
        </w:tc>
        <w:tc>
          <w:tcPr>
            <w:tcW w:w="1872" w:type="dxa"/>
            <w:gridSpan w:val="2"/>
            <w:vAlign w:val="center"/>
          </w:tcPr>
          <w:p>
            <w:pPr>
              <w:adjustRightInd/>
              <w:snapToGrid/>
              <w:spacing w:line="240" w:lineRule="auto"/>
              <w:ind w:firstLine="560" w:firstLineChars="0"/>
              <w:jc w:val="left"/>
              <w:rPr>
                <w:color w:val="auto"/>
                <w:sz w:val="21"/>
                <w:szCs w:val="21"/>
              </w:rPr>
            </w:pPr>
            <w:r>
              <w:rPr>
                <w:color w:val="auto"/>
                <w:sz w:val="21"/>
                <w:szCs w:val="21"/>
              </w:rPr>
              <w:t>-75.5</w:t>
            </w:r>
          </w:p>
        </w:tc>
        <w:tc>
          <w:tcPr>
            <w:tcW w:w="1751" w:type="dxa"/>
            <w:vAlign w:val="center"/>
          </w:tcPr>
          <w:p>
            <w:pPr>
              <w:adjustRightInd/>
              <w:snapToGrid/>
              <w:spacing w:line="240" w:lineRule="auto"/>
              <w:ind w:firstLine="560" w:firstLineChars="0"/>
              <w:jc w:val="left"/>
              <w:rPr>
                <w:color w:val="auto"/>
                <w:sz w:val="21"/>
                <w:szCs w:val="21"/>
              </w:rPr>
            </w:pPr>
            <w:r>
              <w:rPr>
                <w:color w:val="auto"/>
                <w:sz w:val="21"/>
                <w:szCs w:val="21"/>
              </w:rPr>
              <w:t>沸点（</w:t>
            </w:r>
            <w:r>
              <w:rPr>
                <w:rFonts w:hint="eastAsia" w:ascii="宋体" w:hAnsi="宋体" w:cs="宋体"/>
                <w:color w:val="auto"/>
                <w:sz w:val="21"/>
                <w:szCs w:val="21"/>
              </w:rPr>
              <w:t>℃</w:t>
            </w:r>
            <w:r>
              <w:rPr>
                <w:color w:val="auto"/>
                <w:sz w:val="21"/>
                <w:szCs w:val="21"/>
              </w:rPr>
              <w:t>）</w:t>
            </w:r>
          </w:p>
        </w:tc>
        <w:tc>
          <w:tcPr>
            <w:tcW w:w="3000" w:type="dxa"/>
            <w:gridSpan w:val="3"/>
            <w:vAlign w:val="center"/>
          </w:tcPr>
          <w:p>
            <w:pPr>
              <w:adjustRightInd/>
              <w:snapToGrid/>
              <w:spacing w:line="240" w:lineRule="auto"/>
              <w:ind w:firstLine="560" w:firstLineChars="0"/>
              <w:jc w:val="left"/>
              <w:rPr>
                <w:color w:val="auto"/>
                <w:sz w:val="21"/>
                <w:szCs w:val="21"/>
              </w:rPr>
            </w:pPr>
            <w:r>
              <w:rPr>
                <w:color w:val="auto"/>
                <w:sz w:val="21"/>
                <w:szCs w:val="21"/>
              </w:rPr>
              <w:t>-10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0" w:firstLineChars="0"/>
              <w:jc w:val="left"/>
              <w:rPr>
                <w:color w:val="auto"/>
                <w:sz w:val="21"/>
                <w:szCs w:val="21"/>
              </w:rPr>
            </w:pPr>
            <w:r>
              <w:rPr>
                <w:color w:val="auto"/>
                <w:sz w:val="21"/>
                <w:szCs w:val="21"/>
              </w:rPr>
              <w:t>燃烧热（kJ/mol）</w:t>
            </w:r>
          </w:p>
        </w:tc>
        <w:tc>
          <w:tcPr>
            <w:tcW w:w="1872" w:type="dxa"/>
            <w:gridSpan w:val="2"/>
            <w:vAlign w:val="center"/>
          </w:tcPr>
          <w:p>
            <w:pPr>
              <w:adjustRightInd/>
              <w:snapToGrid/>
              <w:spacing w:line="240" w:lineRule="auto"/>
              <w:ind w:firstLine="560" w:firstLineChars="0"/>
              <w:jc w:val="left"/>
              <w:rPr>
                <w:color w:val="auto"/>
                <w:sz w:val="21"/>
                <w:szCs w:val="21"/>
              </w:rPr>
            </w:pPr>
            <w:r>
              <w:rPr>
                <w:color w:val="auto"/>
                <w:sz w:val="21"/>
                <w:szCs w:val="21"/>
              </w:rPr>
              <w:t>无意义</w:t>
            </w:r>
          </w:p>
        </w:tc>
        <w:tc>
          <w:tcPr>
            <w:tcW w:w="1751" w:type="dxa"/>
            <w:vAlign w:val="center"/>
          </w:tcPr>
          <w:p>
            <w:pPr>
              <w:adjustRightInd/>
              <w:snapToGrid/>
              <w:spacing w:line="240" w:lineRule="auto"/>
              <w:ind w:firstLine="0" w:firstLineChars="0"/>
              <w:jc w:val="left"/>
              <w:rPr>
                <w:color w:val="auto"/>
                <w:sz w:val="21"/>
                <w:szCs w:val="21"/>
              </w:rPr>
            </w:pPr>
            <w:r>
              <w:rPr>
                <w:color w:val="auto"/>
                <w:sz w:val="21"/>
                <w:szCs w:val="21"/>
              </w:rPr>
              <w:t>饱和蒸气（kPa）</w:t>
            </w:r>
          </w:p>
        </w:tc>
        <w:tc>
          <w:tcPr>
            <w:tcW w:w="3000" w:type="dxa"/>
            <w:gridSpan w:val="3"/>
            <w:vAlign w:val="center"/>
          </w:tcPr>
          <w:p>
            <w:pPr>
              <w:adjustRightInd/>
              <w:snapToGrid/>
              <w:spacing w:line="240" w:lineRule="auto"/>
              <w:ind w:firstLine="560" w:firstLineChars="0"/>
              <w:jc w:val="left"/>
              <w:rPr>
                <w:color w:val="auto"/>
                <w:sz w:val="21"/>
                <w:szCs w:val="21"/>
              </w:rPr>
            </w:pPr>
            <w:r>
              <w:rPr>
                <w:color w:val="auto"/>
                <w:sz w:val="21"/>
                <w:szCs w:val="21"/>
              </w:rPr>
              <w:t>338.42（21.1</w:t>
            </w:r>
            <w:r>
              <w:rPr>
                <w:rFonts w:hint="eastAsia" w:ascii="宋体" w:hAnsi="宋体" w:cs="宋体"/>
                <w:color w:val="auto"/>
                <w:sz w:val="21"/>
                <w:szCs w:val="21"/>
              </w:rPr>
              <w:t>℃</w:t>
            </w:r>
            <w:r>
              <w:rPr>
                <w:color w:val="auto"/>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0" w:firstLineChars="0"/>
              <w:jc w:val="left"/>
              <w:rPr>
                <w:color w:val="auto"/>
                <w:sz w:val="21"/>
                <w:szCs w:val="21"/>
              </w:rPr>
            </w:pPr>
            <w:r>
              <w:rPr>
                <w:color w:val="auto"/>
                <w:sz w:val="21"/>
                <w:szCs w:val="21"/>
              </w:rPr>
              <w:t>临界温度（</w:t>
            </w:r>
            <w:r>
              <w:rPr>
                <w:rFonts w:hint="eastAsia" w:ascii="宋体" w:hAnsi="宋体" w:cs="宋体"/>
                <w:color w:val="auto"/>
                <w:sz w:val="21"/>
                <w:szCs w:val="21"/>
              </w:rPr>
              <w:t>℃</w:t>
            </w:r>
            <w:r>
              <w:rPr>
                <w:color w:val="auto"/>
                <w:sz w:val="21"/>
                <w:szCs w:val="21"/>
              </w:rPr>
              <w:t>）</w:t>
            </w:r>
          </w:p>
        </w:tc>
        <w:tc>
          <w:tcPr>
            <w:tcW w:w="1872" w:type="dxa"/>
            <w:gridSpan w:val="2"/>
            <w:vAlign w:val="center"/>
          </w:tcPr>
          <w:p>
            <w:pPr>
              <w:adjustRightInd/>
              <w:snapToGrid/>
              <w:spacing w:line="240" w:lineRule="auto"/>
              <w:ind w:firstLine="560" w:firstLineChars="0"/>
              <w:jc w:val="left"/>
              <w:rPr>
                <w:color w:val="auto"/>
                <w:sz w:val="21"/>
                <w:szCs w:val="21"/>
              </w:rPr>
            </w:pPr>
            <w:r>
              <w:rPr>
                <w:color w:val="auto"/>
                <w:sz w:val="21"/>
                <w:szCs w:val="21"/>
              </w:rPr>
              <w:t>157.8</w:t>
            </w:r>
          </w:p>
        </w:tc>
        <w:tc>
          <w:tcPr>
            <w:tcW w:w="1751" w:type="dxa"/>
            <w:vAlign w:val="center"/>
          </w:tcPr>
          <w:p>
            <w:pPr>
              <w:adjustRightInd/>
              <w:snapToGrid/>
              <w:spacing w:line="240" w:lineRule="auto"/>
              <w:ind w:firstLine="0" w:firstLineChars="0"/>
              <w:jc w:val="left"/>
              <w:rPr>
                <w:color w:val="auto"/>
                <w:sz w:val="21"/>
                <w:szCs w:val="21"/>
              </w:rPr>
            </w:pPr>
            <w:r>
              <w:rPr>
                <w:color w:val="auto"/>
                <w:sz w:val="21"/>
                <w:szCs w:val="21"/>
              </w:rPr>
              <w:t>临界压力（MPa）</w:t>
            </w:r>
          </w:p>
        </w:tc>
        <w:tc>
          <w:tcPr>
            <w:tcW w:w="3000" w:type="dxa"/>
            <w:gridSpan w:val="3"/>
            <w:vAlign w:val="center"/>
          </w:tcPr>
          <w:p>
            <w:pPr>
              <w:adjustRightInd/>
              <w:snapToGrid/>
              <w:spacing w:line="240" w:lineRule="auto"/>
              <w:ind w:firstLine="560" w:firstLineChars="0"/>
              <w:jc w:val="left"/>
              <w:rPr>
                <w:color w:val="auto"/>
                <w:sz w:val="21"/>
                <w:szCs w:val="21"/>
              </w:rPr>
            </w:pPr>
            <w:r>
              <w:rPr>
                <w:color w:val="auto"/>
                <w:sz w:val="21"/>
                <w:szCs w:val="21"/>
              </w:rPr>
              <w:t>7.87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相对密度</w:t>
            </w:r>
          </w:p>
        </w:tc>
        <w:tc>
          <w:tcPr>
            <w:tcW w:w="6623" w:type="dxa"/>
            <w:gridSpan w:val="6"/>
            <w:vAlign w:val="center"/>
          </w:tcPr>
          <w:p>
            <w:pPr>
              <w:adjustRightInd/>
              <w:snapToGrid/>
              <w:spacing w:line="240" w:lineRule="auto"/>
              <w:ind w:firstLine="560" w:firstLineChars="0"/>
              <w:jc w:val="left"/>
              <w:rPr>
                <w:color w:val="auto"/>
                <w:sz w:val="21"/>
                <w:szCs w:val="21"/>
              </w:rPr>
            </w:pPr>
            <w:r>
              <w:rPr>
                <w:color w:val="auto"/>
                <w:sz w:val="21"/>
                <w:szCs w:val="21"/>
              </w:rPr>
              <w:t>（水=1） 1.43        （空气=1） 2.26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外观性状</w:t>
            </w:r>
          </w:p>
        </w:tc>
        <w:tc>
          <w:tcPr>
            <w:tcW w:w="6623" w:type="dxa"/>
            <w:gridSpan w:val="6"/>
            <w:vAlign w:val="center"/>
          </w:tcPr>
          <w:p>
            <w:pPr>
              <w:adjustRightInd/>
              <w:snapToGrid/>
              <w:spacing w:line="240" w:lineRule="auto"/>
              <w:ind w:firstLine="560" w:firstLineChars="0"/>
              <w:jc w:val="left"/>
              <w:rPr>
                <w:color w:val="auto"/>
                <w:sz w:val="21"/>
                <w:szCs w:val="21"/>
              </w:rPr>
            </w:pPr>
            <w:r>
              <w:rPr>
                <w:color w:val="auto"/>
                <w:sz w:val="21"/>
                <w:szCs w:val="21"/>
              </w:rPr>
              <w:t>无色气体，特臭</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溶解性</w:t>
            </w:r>
          </w:p>
        </w:tc>
        <w:tc>
          <w:tcPr>
            <w:tcW w:w="6623" w:type="dxa"/>
            <w:gridSpan w:val="6"/>
            <w:vAlign w:val="center"/>
          </w:tcPr>
          <w:p>
            <w:pPr>
              <w:adjustRightInd/>
              <w:snapToGrid/>
              <w:spacing w:line="240" w:lineRule="auto"/>
              <w:ind w:firstLine="560" w:firstLineChars="0"/>
              <w:jc w:val="left"/>
              <w:rPr>
                <w:color w:val="auto"/>
                <w:sz w:val="21"/>
                <w:szCs w:val="21"/>
              </w:rPr>
            </w:pPr>
            <w:r>
              <w:rPr>
                <w:color w:val="auto"/>
                <w:sz w:val="21"/>
                <w:szCs w:val="21"/>
              </w:rPr>
              <w:t>溶于水，乙醇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稳定性</w:t>
            </w:r>
          </w:p>
        </w:tc>
        <w:tc>
          <w:tcPr>
            <w:tcW w:w="1872" w:type="dxa"/>
            <w:gridSpan w:val="2"/>
            <w:vAlign w:val="center"/>
          </w:tcPr>
          <w:p>
            <w:pPr>
              <w:adjustRightInd/>
              <w:snapToGrid/>
              <w:spacing w:line="240" w:lineRule="auto"/>
              <w:ind w:firstLine="560" w:firstLineChars="0"/>
              <w:jc w:val="left"/>
              <w:rPr>
                <w:color w:val="auto"/>
                <w:sz w:val="21"/>
                <w:szCs w:val="21"/>
              </w:rPr>
            </w:pPr>
            <w:r>
              <w:rPr>
                <w:color w:val="auto"/>
                <w:sz w:val="21"/>
                <w:szCs w:val="21"/>
              </w:rPr>
              <w:t>稳定</w:t>
            </w:r>
          </w:p>
        </w:tc>
        <w:tc>
          <w:tcPr>
            <w:tcW w:w="1751" w:type="dxa"/>
            <w:vAlign w:val="center"/>
          </w:tcPr>
          <w:p>
            <w:pPr>
              <w:adjustRightInd/>
              <w:snapToGrid/>
              <w:spacing w:line="240" w:lineRule="auto"/>
              <w:ind w:firstLine="0" w:firstLineChars="0"/>
              <w:jc w:val="left"/>
              <w:rPr>
                <w:color w:val="auto"/>
                <w:sz w:val="21"/>
                <w:szCs w:val="21"/>
              </w:rPr>
            </w:pPr>
            <w:r>
              <w:rPr>
                <w:color w:val="auto"/>
                <w:sz w:val="21"/>
                <w:szCs w:val="21"/>
              </w:rPr>
              <w:t>避免接触的条件</w:t>
            </w:r>
          </w:p>
        </w:tc>
        <w:tc>
          <w:tcPr>
            <w:tcW w:w="3000" w:type="dxa"/>
            <w:gridSpan w:val="3"/>
            <w:vAlign w:val="center"/>
          </w:tcPr>
          <w:p>
            <w:pPr>
              <w:adjustRightInd/>
              <w:snapToGrid/>
              <w:spacing w:line="240" w:lineRule="auto"/>
              <w:ind w:firstLine="560" w:firstLineChars="0"/>
              <w:jc w:val="left"/>
              <w:rPr>
                <w:color w:val="auto"/>
                <w:sz w:val="21"/>
                <w:szCs w:val="21"/>
              </w:rPr>
            </w:pPr>
            <w:r>
              <w:rPr>
                <w:color w:val="auto"/>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禁配物</w:t>
            </w:r>
          </w:p>
        </w:tc>
        <w:tc>
          <w:tcPr>
            <w:tcW w:w="4267" w:type="dxa"/>
            <w:gridSpan w:val="4"/>
            <w:vAlign w:val="center"/>
          </w:tcPr>
          <w:p>
            <w:pPr>
              <w:adjustRightInd/>
              <w:snapToGrid/>
              <w:spacing w:line="240" w:lineRule="auto"/>
              <w:ind w:firstLine="0" w:firstLineChars="0"/>
              <w:jc w:val="left"/>
              <w:rPr>
                <w:color w:val="auto"/>
                <w:sz w:val="21"/>
                <w:szCs w:val="21"/>
              </w:rPr>
            </w:pPr>
            <w:r>
              <w:rPr>
                <w:color w:val="auto"/>
                <w:sz w:val="21"/>
                <w:szCs w:val="21"/>
              </w:rPr>
              <w:t>强还原剂、强氧化剂、易燃或可燃物</w:t>
            </w:r>
          </w:p>
        </w:tc>
        <w:tc>
          <w:tcPr>
            <w:tcW w:w="1173" w:type="dxa"/>
            <w:vAlign w:val="center"/>
          </w:tcPr>
          <w:p>
            <w:pPr>
              <w:adjustRightInd/>
              <w:snapToGrid/>
              <w:spacing w:line="240" w:lineRule="auto"/>
              <w:ind w:firstLine="0" w:firstLineChars="0"/>
              <w:jc w:val="left"/>
              <w:rPr>
                <w:color w:val="auto"/>
                <w:sz w:val="21"/>
                <w:szCs w:val="21"/>
              </w:rPr>
            </w:pPr>
            <w:r>
              <w:rPr>
                <w:color w:val="auto"/>
                <w:sz w:val="21"/>
                <w:szCs w:val="21"/>
              </w:rPr>
              <w:t>燃烧产物</w:t>
            </w:r>
          </w:p>
        </w:tc>
        <w:tc>
          <w:tcPr>
            <w:tcW w:w="1183" w:type="dxa"/>
            <w:vAlign w:val="center"/>
          </w:tcPr>
          <w:p>
            <w:pPr>
              <w:adjustRightInd/>
              <w:snapToGrid/>
              <w:spacing w:line="240" w:lineRule="auto"/>
              <w:ind w:firstLine="0" w:firstLineChars="0"/>
              <w:jc w:val="left"/>
              <w:rPr>
                <w:color w:val="auto"/>
                <w:sz w:val="21"/>
                <w:szCs w:val="21"/>
              </w:rPr>
            </w:pPr>
            <w:r>
              <w:rPr>
                <w:color w:val="auto"/>
                <w:spacing w:val="8"/>
                <w:sz w:val="21"/>
                <w:szCs w:val="21"/>
              </w:rPr>
              <w:t>氧化硫</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主要用途</w:t>
            </w:r>
          </w:p>
        </w:tc>
        <w:tc>
          <w:tcPr>
            <w:tcW w:w="6623" w:type="dxa"/>
            <w:gridSpan w:val="6"/>
            <w:vAlign w:val="center"/>
          </w:tcPr>
          <w:p>
            <w:pPr>
              <w:adjustRightInd/>
              <w:snapToGrid/>
              <w:spacing w:line="240" w:lineRule="auto"/>
              <w:ind w:firstLine="560" w:firstLineChars="0"/>
              <w:jc w:val="left"/>
              <w:rPr>
                <w:color w:val="auto"/>
                <w:sz w:val="21"/>
                <w:szCs w:val="21"/>
              </w:rPr>
            </w:pPr>
            <w:r>
              <w:rPr>
                <w:color w:val="auto"/>
                <w:sz w:val="21"/>
                <w:szCs w:val="21"/>
              </w:rPr>
              <w:t>用于制造硫酸和保险粉等。</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restart"/>
            <w:vAlign w:val="center"/>
          </w:tcPr>
          <w:p>
            <w:pPr>
              <w:adjustRightInd/>
              <w:snapToGrid/>
              <w:spacing w:line="240" w:lineRule="auto"/>
              <w:ind w:firstLine="0" w:firstLineChars="0"/>
              <w:jc w:val="left"/>
              <w:rPr>
                <w:color w:val="auto"/>
                <w:sz w:val="21"/>
                <w:szCs w:val="21"/>
              </w:rPr>
            </w:pPr>
            <w:r>
              <w:rPr>
                <w:color w:val="auto"/>
                <w:sz w:val="21"/>
                <w:szCs w:val="21"/>
              </w:rPr>
              <w:t>燃爆特性</w:t>
            </w: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燃烧性</w:t>
            </w:r>
          </w:p>
        </w:tc>
        <w:tc>
          <w:tcPr>
            <w:tcW w:w="6623" w:type="dxa"/>
            <w:gridSpan w:val="6"/>
            <w:vAlign w:val="center"/>
          </w:tcPr>
          <w:p>
            <w:pPr>
              <w:adjustRightInd/>
              <w:snapToGrid/>
              <w:spacing w:line="240" w:lineRule="auto"/>
              <w:ind w:firstLine="560" w:firstLineChars="0"/>
              <w:jc w:val="left"/>
              <w:rPr>
                <w:color w:val="auto"/>
                <w:sz w:val="21"/>
                <w:szCs w:val="21"/>
              </w:rPr>
            </w:pPr>
            <w:r>
              <w:rPr>
                <w:color w:val="auto"/>
                <w:sz w:val="21"/>
                <w:szCs w:val="21"/>
              </w:rPr>
              <w:t>本品不燃，有毒，具强刺激性。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10" w:hRule="atLeast"/>
        </w:trPr>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闪点（</w:t>
            </w:r>
            <w:r>
              <w:rPr>
                <w:rFonts w:hint="eastAsia" w:ascii="宋体" w:hAnsi="宋体" w:cs="宋体"/>
                <w:color w:val="auto"/>
                <w:sz w:val="21"/>
                <w:szCs w:val="21"/>
              </w:rPr>
              <w:t>℃</w:t>
            </w:r>
            <w:r>
              <w:rPr>
                <w:color w:val="auto"/>
                <w:sz w:val="21"/>
                <w:szCs w:val="21"/>
              </w:rPr>
              <w:t>）</w:t>
            </w:r>
          </w:p>
        </w:tc>
        <w:tc>
          <w:tcPr>
            <w:tcW w:w="1872" w:type="dxa"/>
            <w:gridSpan w:val="2"/>
            <w:vAlign w:val="center"/>
          </w:tcPr>
          <w:p>
            <w:pPr>
              <w:adjustRightInd/>
              <w:snapToGrid/>
              <w:spacing w:line="240" w:lineRule="auto"/>
              <w:ind w:firstLine="560" w:firstLineChars="0"/>
              <w:jc w:val="left"/>
              <w:rPr>
                <w:color w:val="auto"/>
                <w:sz w:val="21"/>
                <w:szCs w:val="21"/>
              </w:rPr>
            </w:pPr>
            <w:r>
              <w:rPr>
                <w:color w:val="auto"/>
                <w:sz w:val="21"/>
                <w:szCs w:val="21"/>
              </w:rPr>
              <w:t>无意义</w:t>
            </w:r>
          </w:p>
        </w:tc>
        <w:tc>
          <w:tcPr>
            <w:tcW w:w="1751" w:type="dxa"/>
            <w:vAlign w:val="center"/>
          </w:tcPr>
          <w:p>
            <w:pPr>
              <w:adjustRightInd/>
              <w:snapToGrid/>
              <w:spacing w:line="240" w:lineRule="auto"/>
              <w:ind w:firstLine="0" w:firstLineChars="0"/>
              <w:jc w:val="left"/>
              <w:rPr>
                <w:color w:val="auto"/>
                <w:sz w:val="21"/>
                <w:szCs w:val="21"/>
              </w:rPr>
            </w:pPr>
            <w:r>
              <w:rPr>
                <w:color w:val="auto"/>
                <w:sz w:val="21"/>
                <w:szCs w:val="21"/>
              </w:rPr>
              <w:t>引燃温度（</w:t>
            </w:r>
            <w:r>
              <w:rPr>
                <w:rFonts w:hint="eastAsia" w:ascii="宋体" w:hAnsi="宋体" w:cs="宋体"/>
                <w:color w:val="auto"/>
                <w:sz w:val="21"/>
                <w:szCs w:val="21"/>
              </w:rPr>
              <w:t>℃</w:t>
            </w:r>
            <w:r>
              <w:rPr>
                <w:color w:val="auto"/>
                <w:sz w:val="21"/>
                <w:szCs w:val="21"/>
              </w:rPr>
              <w:t>）</w:t>
            </w:r>
          </w:p>
        </w:tc>
        <w:tc>
          <w:tcPr>
            <w:tcW w:w="3000" w:type="dxa"/>
            <w:gridSpan w:val="3"/>
            <w:vAlign w:val="center"/>
          </w:tcPr>
          <w:p>
            <w:pPr>
              <w:adjustRightInd/>
              <w:snapToGrid/>
              <w:spacing w:line="240" w:lineRule="auto"/>
              <w:ind w:firstLine="560" w:firstLineChars="0"/>
              <w:jc w:val="left"/>
              <w:rPr>
                <w:color w:val="auto"/>
                <w:sz w:val="21"/>
                <w:szCs w:val="21"/>
              </w:rPr>
            </w:pPr>
            <w:r>
              <w:rPr>
                <w:color w:val="auto"/>
                <w:sz w:val="21"/>
                <w:szCs w:val="21"/>
              </w:rPr>
              <w:t>无意义</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0" w:firstLineChars="0"/>
              <w:jc w:val="left"/>
              <w:rPr>
                <w:color w:val="auto"/>
                <w:sz w:val="21"/>
                <w:szCs w:val="21"/>
              </w:rPr>
            </w:pPr>
            <w:r>
              <w:rPr>
                <w:color w:val="auto"/>
                <w:sz w:val="21"/>
                <w:szCs w:val="21"/>
              </w:rPr>
              <w:t>爆炸下限（V%）</w:t>
            </w:r>
          </w:p>
        </w:tc>
        <w:tc>
          <w:tcPr>
            <w:tcW w:w="1872" w:type="dxa"/>
            <w:gridSpan w:val="2"/>
            <w:vAlign w:val="center"/>
          </w:tcPr>
          <w:p>
            <w:pPr>
              <w:adjustRightInd/>
              <w:snapToGrid/>
              <w:spacing w:line="240" w:lineRule="auto"/>
              <w:ind w:firstLine="560" w:firstLineChars="0"/>
              <w:jc w:val="left"/>
              <w:rPr>
                <w:color w:val="auto"/>
                <w:sz w:val="21"/>
                <w:szCs w:val="21"/>
              </w:rPr>
            </w:pPr>
            <w:r>
              <w:rPr>
                <w:color w:val="auto"/>
                <w:sz w:val="21"/>
                <w:szCs w:val="21"/>
              </w:rPr>
              <w:t>无意义</w:t>
            </w:r>
          </w:p>
        </w:tc>
        <w:tc>
          <w:tcPr>
            <w:tcW w:w="1751" w:type="dxa"/>
            <w:vAlign w:val="center"/>
          </w:tcPr>
          <w:p>
            <w:pPr>
              <w:adjustRightInd/>
              <w:snapToGrid/>
              <w:spacing w:line="240" w:lineRule="auto"/>
              <w:ind w:firstLine="0" w:firstLineChars="0"/>
              <w:jc w:val="left"/>
              <w:rPr>
                <w:color w:val="auto"/>
                <w:sz w:val="21"/>
                <w:szCs w:val="21"/>
              </w:rPr>
            </w:pPr>
            <w:r>
              <w:rPr>
                <w:color w:val="auto"/>
                <w:sz w:val="21"/>
                <w:szCs w:val="21"/>
              </w:rPr>
              <w:t>爆炸上限（V%）</w:t>
            </w:r>
          </w:p>
        </w:tc>
        <w:tc>
          <w:tcPr>
            <w:tcW w:w="3000" w:type="dxa"/>
            <w:gridSpan w:val="3"/>
            <w:vAlign w:val="center"/>
          </w:tcPr>
          <w:p>
            <w:pPr>
              <w:adjustRightInd/>
              <w:snapToGrid/>
              <w:spacing w:line="240" w:lineRule="auto"/>
              <w:ind w:firstLine="560" w:firstLineChars="0"/>
              <w:jc w:val="left"/>
              <w:rPr>
                <w:color w:val="auto"/>
                <w:sz w:val="21"/>
                <w:szCs w:val="21"/>
              </w:rPr>
            </w:pPr>
            <w:r>
              <w:rPr>
                <w:color w:val="auto"/>
                <w:sz w:val="21"/>
                <w:szCs w:val="21"/>
              </w:rPr>
              <w:t>无意义</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危险特性</w:t>
            </w:r>
          </w:p>
        </w:tc>
        <w:tc>
          <w:tcPr>
            <w:tcW w:w="6623" w:type="dxa"/>
            <w:gridSpan w:val="6"/>
            <w:vAlign w:val="center"/>
          </w:tcPr>
          <w:p>
            <w:pPr>
              <w:adjustRightInd/>
              <w:snapToGrid/>
              <w:spacing w:line="240" w:lineRule="auto"/>
              <w:ind w:firstLine="0" w:firstLineChars="0"/>
              <w:jc w:val="left"/>
              <w:rPr>
                <w:color w:val="auto"/>
                <w:sz w:val="21"/>
                <w:szCs w:val="21"/>
              </w:rPr>
            </w:pPr>
            <w:r>
              <w:rPr>
                <w:color w:val="auto"/>
                <w:sz w:val="21"/>
                <w:szCs w:val="21"/>
              </w:rPr>
              <w:t>不燃。若遇高热，容器内压增大，有开裂和爆炸的危险。</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灭火方法</w:t>
            </w:r>
          </w:p>
        </w:tc>
        <w:tc>
          <w:tcPr>
            <w:tcW w:w="6623" w:type="dxa"/>
            <w:gridSpan w:val="6"/>
            <w:vAlign w:val="center"/>
          </w:tcPr>
          <w:p>
            <w:pPr>
              <w:adjustRightInd/>
              <w:snapToGrid/>
              <w:spacing w:line="240" w:lineRule="auto"/>
              <w:ind w:firstLine="0" w:firstLineChars="0"/>
              <w:jc w:val="left"/>
              <w:rPr>
                <w:color w:val="auto"/>
                <w:sz w:val="21"/>
                <w:szCs w:val="21"/>
              </w:rPr>
            </w:pPr>
            <w:r>
              <w:rPr>
                <w:color w:val="auto"/>
                <w:sz w:val="21"/>
                <w:szCs w:val="21"/>
              </w:rPr>
              <w:t>本品不燃。消防人员必须佩戴过滤式防毒面具（全面罩）或隔离式呼吸器、穿全身防火防毒服，在上风向灭火。切断气源。喷水冷却容器，可能的话将容器从火场移至空旷处。灭火剂：雾状水、泡沫、二氧化碳。</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restart"/>
            <w:tcBorders>
              <w:top w:val="single" w:color="auto" w:sz="4" w:space="0"/>
            </w:tcBorders>
            <w:vAlign w:val="center"/>
          </w:tcPr>
          <w:p>
            <w:pPr>
              <w:widowControl/>
              <w:adjustRightInd/>
              <w:snapToGrid/>
              <w:spacing w:line="240" w:lineRule="auto"/>
              <w:ind w:firstLine="0" w:firstLineChars="0"/>
              <w:jc w:val="left"/>
              <w:rPr>
                <w:color w:val="auto"/>
                <w:sz w:val="21"/>
                <w:szCs w:val="21"/>
              </w:rPr>
            </w:pPr>
            <w:r>
              <w:rPr>
                <w:color w:val="auto"/>
                <w:sz w:val="21"/>
                <w:szCs w:val="21"/>
              </w:rPr>
              <w:t>毒性及健康危害</w:t>
            </w:r>
          </w:p>
        </w:tc>
        <w:tc>
          <w:tcPr>
            <w:tcW w:w="1702" w:type="dxa"/>
            <w:gridSpan w:val="2"/>
            <w:tcBorders>
              <w:top w:val="single" w:color="auto" w:sz="4" w:space="0"/>
            </w:tcBorders>
            <w:vAlign w:val="center"/>
          </w:tcPr>
          <w:p>
            <w:pPr>
              <w:adjustRightInd/>
              <w:snapToGrid/>
              <w:spacing w:line="240" w:lineRule="auto"/>
              <w:ind w:firstLine="560" w:firstLineChars="0"/>
              <w:jc w:val="left"/>
              <w:rPr>
                <w:color w:val="auto"/>
                <w:sz w:val="21"/>
                <w:szCs w:val="21"/>
              </w:rPr>
            </w:pPr>
            <w:r>
              <w:rPr>
                <w:color w:val="auto"/>
                <w:sz w:val="21"/>
                <w:szCs w:val="21"/>
              </w:rPr>
              <w:t>侵入途径</w:t>
            </w:r>
          </w:p>
        </w:tc>
        <w:tc>
          <w:tcPr>
            <w:tcW w:w="6623" w:type="dxa"/>
            <w:gridSpan w:val="6"/>
            <w:vAlign w:val="center"/>
          </w:tcPr>
          <w:p>
            <w:pPr>
              <w:adjustRightInd/>
              <w:snapToGrid/>
              <w:spacing w:line="240" w:lineRule="auto"/>
              <w:ind w:firstLine="0" w:firstLineChars="0"/>
              <w:jc w:val="left"/>
              <w:rPr>
                <w:color w:val="auto"/>
                <w:sz w:val="21"/>
                <w:szCs w:val="21"/>
              </w:rPr>
            </w:pPr>
            <w:r>
              <w:rPr>
                <w:color w:val="auto"/>
                <w:sz w:val="21"/>
                <w:szCs w:val="21"/>
              </w:rPr>
              <w:t>吸入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firstLine="560" w:firstLineChars="0"/>
              <w:jc w:val="left"/>
              <w:rPr>
                <w:color w:val="auto"/>
                <w:sz w:val="21"/>
                <w:szCs w:val="21"/>
              </w:rPr>
            </w:pPr>
            <w:r>
              <w:rPr>
                <w:color w:val="auto"/>
                <w:sz w:val="21"/>
                <w:szCs w:val="21"/>
              </w:rPr>
              <w:t>急性毒性</w:t>
            </w:r>
          </w:p>
        </w:tc>
        <w:tc>
          <w:tcPr>
            <w:tcW w:w="6623" w:type="dxa"/>
            <w:gridSpan w:val="6"/>
            <w:vAlign w:val="center"/>
          </w:tcPr>
          <w:p>
            <w:pPr>
              <w:adjustRightInd/>
              <w:snapToGrid/>
              <w:spacing w:line="240" w:lineRule="auto"/>
              <w:ind w:firstLine="0" w:firstLineChars="0"/>
              <w:jc w:val="left"/>
              <w:rPr>
                <w:color w:val="auto"/>
                <w:sz w:val="21"/>
                <w:szCs w:val="21"/>
              </w:rPr>
            </w:pPr>
            <w:r>
              <w:rPr>
                <w:color w:val="auto"/>
                <w:sz w:val="21"/>
                <w:szCs w:val="21"/>
              </w:rPr>
              <w:t>LD50：无资料</w:t>
            </w:r>
            <w:r>
              <w:rPr>
                <w:rFonts w:hint="eastAsia"/>
                <w:color w:val="auto"/>
                <w:sz w:val="21"/>
                <w:szCs w:val="21"/>
              </w:rPr>
              <w:t xml:space="preserve">      </w:t>
            </w:r>
            <w:r>
              <w:rPr>
                <w:color w:val="auto"/>
                <w:sz w:val="21"/>
                <w:szCs w:val="21"/>
              </w:rPr>
              <w:t>LC50：6600mg/m</w:t>
            </w:r>
            <w:r>
              <w:rPr>
                <w:color w:val="auto"/>
                <w:sz w:val="21"/>
                <w:szCs w:val="21"/>
                <w:vertAlign w:val="superscript"/>
              </w:rPr>
              <w:t>3</w:t>
            </w:r>
            <w:r>
              <w:rPr>
                <w:color w:val="auto"/>
                <w:sz w:val="21"/>
                <w:szCs w:val="21"/>
              </w:rPr>
              <w:t>，1小时（大鼠吸入）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left="0" w:leftChars="0" w:firstLine="0" w:firstLineChars="0"/>
              <w:jc w:val="left"/>
              <w:rPr>
                <w:color w:val="auto"/>
                <w:sz w:val="21"/>
                <w:szCs w:val="21"/>
              </w:rPr>
            </w:pPr>
            <w:r>
              <w:rPr>
                <w:color w:val="auto"/>
                <w:sz w:val="21"/>
                <w:szCs w:val="21"/>
              </w:rPr>
              <w:t>健康危害</w:t>
            </w:r>
          </w:p>
        </w:tc>
        <w:tc>
          <w:tcPr>
            <w:tcW w:w="6623" w:type="dxa"/>
            <w:gridSpan w:val="6"/>
            <w:vAlign w:val="center"/>
          </w:tcPr>
          <w:p>
            <w:pPr>
              <w:adjustRightInd/>
              <w:snapToGrid/>
              <w:spacing w:line="240" w:lineRule="auto"/>
              <w:ind w:firstLine="0" w:firstLineChars="0"/>
              <w:jc w:val="left"/>
              <w:rPr>
                <w:color w:val="auto"/>
                <w:sz w:val="21"/>
                <w:szCs w:val="21"/>
              </w:rPr>
            </w:pPr>
            <w:r>
              <w:rPr>
                <w:color w:val="auto"/>
                <w:sz w:val="21"/>
                <w:szCs w:val="21"/>
              </w:rPr>
              <w:t>易被湿润的粘膜表面吸收生成亚硫酸、硫酸。对眼及呼吸道粘膜有强烈的刺激作用。大量吸入可引起肺水肿、喉水肿、声带痉挛而致窒息。 急性中毒：轻度中毒时，发生流泪、畏光、咳嗽，咽、喉灼痛等；严重中毒可在数小时内发生肺水肿；极高浓度吸入可引起反射性声门痉挛而致窒息。皮肤或眼接触发生炎症或灼伤。 慢性影响：长期低浓度接触，可有头痛、头昏、乏力等全身症状以及慢性鼻炎、咽喉炎、支气管炎、嗅觉及味觉减退等。少数工人有牙齿酸蚀症。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restart"/>
            <w:vAlign w:val="center"/>
          </w:tcPr>
          <w:p>
            <w:pPr>
              <w:adjustRightInd/>
              <w:snapToGrid/>
              <w:spacing w:line="240" w:lineRule="auto"/>
              <w:ind w:firstLine="0" w:firstLineChars="0"/>
              <w:jc w:val="left"/>
              <w:rPr>
                <w:color w:val="auto"/>
                <w:sz w:val="21"/>
                <w:szCs w:val="21"/>
              </w:rPr>
            </w:pPr>
            <w:r>
              <w:rPr>
                <w:color w:val="auto"/>
                <w:sz w:val="21"/>
                <w:szCs w:val="21"/>
              </w:rPr>
              <w:t>急救措施</w:t>
            </w:r>
          </w:p>
        </w:tc>
        <w:tc>
          <w:tcPr>
            <w:tcW w:w="1702" w:type="dxa"/>
            <w:gridSpan w:val="2"/>
            <w:vAlign w:val="center"/>
          </w:tcPr>
          <w:p>
            <w:pPr>
              <w:adjustRightInd/>
              <w:snapToGrid/>
              <w:spacing w:line="240" w:lineRule="auto"/>
              <w:ind w:left="0" w:leftChars="0" w:firstLine="0" w:firstLineChars="0"/>
              <w:jc w:val="left"/>
              <w:rPr>
                <w:color w:val="auto"/>
                <w:sz w:val="21"/>
                <w:szCs w:val="21"/>
              </w:rPr>
            </w:pPr>
            <w:r>
              <w:rPr>
                <w:color w:val="auto"/>
                <w:sz w:val="21"/>
                <w:szCs w:val="21"/>
              </w:rPr>
              <w:t>眼睛接触</w:t>
            </w:r>
          </w:p>
        </w:tc>
        <w:tc>
          <w:tcPr>
            <w:tcW w:w="6623" w:type="dxa"/>
            <w:gridSpan w:val="6"/>
            <w:vAlign w:val="center"/>
          </w:tcPr>
          <w:p>
            <w:pPr>
              <w:adjustRightInd/>
              <w:snapToGrid/>
              <w:spacing w:line="240" w:lineRule="auto"/>
              <w:ind w:firstLine="0" w:firstLineChars="0"/>
              <w:jc w:val="left"/>
              <w:rPr>
                <w:color w:val="auto"/>
                <w:sz w:val="21"/>
                <w:szCs w:val="21"/>
              </w:rPr>
            </w:pPr>
            <w:r>
              <w:rPr>
                <w:color w:val="auto"/>
                <w:sz w:val="21"/>
                <w:szCs w:val="21"/>
              </w:rPr>
              <w:t>提起眼睑，用流动清水或生理盐水冲洗。就医。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left="0" w:leftChars="0" w:firstLine="0" w:firstLineChars="0"/>
              <w:jc w:val="left"/>
              <w:rPr>
                <w:color w:val="auto"/>
                <w:sz w:val="21"/>
                <w:szCs w:val="21"/>
              </w:rPr>
            </w:pPr>
            <w:r>
              <w:rPr>
                <w:color w:val="auto"/>
                <w:sz w:val="21"/>
                <w:szCs w:val="21"/>
              </w:rPr>
              <w:t>皮肤接触</w:t>
            </w:r>
          </w:p>
        </w:tc>
        <w:tc>
          <w:tcPr>
            <w:tcW w:w="6623" w:type="dxa"/>
            <w:gridSpan w:val="6"/>
            <w:vAlign w:val="center"/>
          </w:tcPr>
          <w:p>
            <w:pPr>
              <w:adjustRightInd/>
              <w:snapToGrid/>
              <w:spacing w:line="240" w:lineRule="auto"/>
              <w:ind w:firstLine="0" w:firstLineChars="0"/>
              <w:jc w:val="left"/>
              <w:rPr>
                <w:color w:val="auto"/>
                <w:sz w:val="21"/>
                <w:szCs w:val="21"/>
              </w:rPr>
            </w:pPr>
            <w:r>
              <w:rPr>
                <w:color w:val="auto"/>
                <w:sz w:val="21"/>
                <w:szCs w:val="21"/>
              </w:rPr>
              <w:t>立即脱去污染的衣着，用大量流动清水冲洗。就医。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Merge w:val="continue"/>
            <w:vAlign w:val="center"/>
          </w:tcPr>
          <w:p>
            <w:pPr>
              <w:widowControl/>
              <w:adjustRightInd/>
              <w:snapToGrid/>
              <w:spacing w:line="240" w:lineRule="auto"/>
              <w:ind w:firstLine="560" w:firstLineChars="0"/>
              <w:jc w:val="left"/>
              <w:rPr>
                <w:color w:val="auto"/>
                <w:sz w:val="21"/>
                <w:szCs w:val="21"/>
              </w:rPr>
            </w:pPr>
          </w:p>
        </w:tc>
        <w:tc>
          <w:tcPr>
            <w:tcW w:w="1702" w:type="dxa"/>
            <w:gridSpan w:val="2"/>
            <w:vAlign w:val="center"/>
          </w:tcPr>
          <w:p>
            <w:pPr>
              <w:adjustRightInd/>
              <w:snapToGrid/>
              <w:spacing w:line="240" w:lineRule="auto"/>
              <w:ind w:left="0" w:leftChars="0" w:firstLine="0" w:firstLineChars="0"/>
              <w:jc w:val="left"/>
              <w:rPr>
                <w:color w:val="auto"/>
                <w:sz w:val="21"/>
                <w:szCs w:val="21"/>
              </w:rPr>
            </w:pPr>
            <w:r>
              <w:rPr>
                <w:color w:val="auto"/>
                <w:sz w:val="21"/>
                <w:szCs w:val="21"/>
              </w:rPr>
              <w:t>吸入</w:t>
            </w:r>
          </w:p>
        </w:tc>
        <w:tc>
          <w:tcPr>
            <w:tcW w:w="6623" w:type="dxa"/>
            <w:gridSpan w:val="6"/>
            <w:vAlign w:val="center"/>
          </w:tcPr>
          <w:p>
            <w:pPr>
              <w:adjustRightInd/>
              <w:snapToGrid/>
              <w:spacing w:line="240" w:lineRule="auto"/>
              <w:ind w:firstLine="0" w:firstLineChars="0"/>
              <w:jc w:val="left"/>
              <w:rPr>
                <w:color w:val="auto"/>
                <w:sz w:val="21"/>
                <w:szCs w:val="21"/>
              </w:rPr>
            </w:pPr>
            <w:r>
              <w:rPr>
                <w:color w:val="auto"/>
                <w:sz w:val="21"/>
                <w:szCs w:val="21"/>
              </w:rPr>
              <w:t>迅速脱离现场至空气新鲜处。保持呼吸道通畅。如呼吸困难，给输氧。如呼吸停止，立即进行人工呼吸。就医。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Align w:val="center"/>
          </w:tcPr>
          <w:p>
            <w:pPr>
              <w:adjustRightInd/>
              <w:snapToGrid/>
              <w:spacing w:line="240" w:lineRule="auto"/>
              <w:ind w:firstLine="0" w:firstLineChars="0"/>
              <w:jc w:val="left"/>
              <w:rPr>
                <w:color w:val="auto"/>
                <w:sz w:val="21"/>
                <w:szCs w:val="21"/>
              </w:rPr>
            </w:pPr>
            <w:r>
              <w:rPr>
                <w:color w:val="auto"/>
                <w:sz w:val="21"/>
                <w:szCs w:val="21"/>
              </w:rPr>
              <w:t>泄漏应急处理</w:t>
            </w:r>
          </w:p>
        </w:tc>
        <w:tc>
          <w:tcPr>
            <w:tcW w:w="8325" w:type="dxa"/>
            <w:gridSpan w:val="8"/>
            <w:vAlign w:val="center"/>
          </w:tcPr>
          <w:p>
            <w:pPr>
              <w:adjustRightInd/>
              <w:snapToGrid/>
              <w:spacing w:line="240" w:lineRule="auto"/>
              <w:ind w:firstLine="0" w:firstLineChars="0"/>
              <w:jc w:val="left"/>
              <w:rPr>
                <w:color w:val="auto"/>
                <w:sz w:val="21"/>
                <w:szCs w:val="21"/>
              </w:rPr>
            </w:pPr>
            <w:r>
              <w:rPr>
                <w:color w:val="auto"/>
                <w:sz w:val="21"/>
                <w:szCs w:val="21"/>
              </w:rPr>
              <w:t>迅速撤离泄漏污染区人员至上风处，并立即进行隔离，小泄漏时隔离150m，大泄漏时隔离450m，严格限制出入。建议应急处理人员戴自给正压式呼吸器，穿防毒服。从上风处进入现场。尽可能切断泄漏源。用工业覆盖层或吸附/ 吸收剂盖住泄漏点附近的下水道等地方，防止气体进入。合理通风，加速扩散。喷雾状水稀释、溶解。构筑围堤或挖坑收容产生的大量废水。如有可能，用一捉捕器使气体通过次氯酸钠溶液。漏气容器要妥善处理，修复、检验后再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Align w:val="center"/>
          </w:tcPr>
          <w:p>
            <w:pPr>
              <w:adjustRightInd/>
              <w:snapToGrid/>
              <w:spacing w:line="240" w:lineRule="auto"/>
              <w:ind w:firstLine="0" w:firstLineChars="0"/>
              <w:jc w:val="left"/>
              <w:rPr>
                <w:color w:val="auto"/>
                <w:sz w:val="21"/>
                <w:szCs w:val="21"/>
              </w:rPr>
            </w:pPr>
            <w:r>
              <w:rPr>
                <w:color w:val="auto"/>
                <w:sz w:val="21"/>
                <w:szCs w:val="21"/>
              </w:rPr>
              <w:t>操作注意事项</w:t>
            </w:r>
          </w:p>
        </w:tc>
        <w:tc>
          <w:tcPr>
            <w:tcW w:w="8325" w:type="dxa"/>
            <w:gridSpan w:val="8"/>
            <w:vAlign w:val="center"/>
          </w:tcPr>
          <w:p>
            <w:pPr>
              <w:adjustRightInd/>
              <w:snapToGrid/>
              <w:spacing w:line="240" w:lineRule="auto"/>
              <w:ind w:firstLine="0" w:firstLineChars="0"/>
              <w:jc w:val="left"/>
              <w:rPr>
                <w:color w:val="auto"/>
                <w:sz w:val="21"/>
                <w:szCs w:val="21"/>
              </w:rPr>
            </w:pPr>
            <w:r>
              <w:rPr>
                <w:color w:val="auto"/>
                <w:sz w:val="21"/>
                <w:szCs w:val="21"/>
              </w:rPr>
              <w:t>严加密闭，提供充分的局部排风和全面通风。操作人员必须经过专门培训，严格遵守操作规程。建议操作人员佩戴自吸过滤式防毒面具（全面罩），穿聚乙烯防毒服，戴橡胶手套。远离易燃、可燃物。防止气体泄漏到工作场所空气中。避免与氧化剂、还原剂接触。搬运时轻装轻卸，防止钢瓶及附件破损。配备泄漏应急处理设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Align w:val="center"/>
          </w:tcPr>
          <w:p>
            <w:pPr>
              <w:adjustRightInd/>
              <w:snapToGrid/>
              <w:spacing w:line="240" w:lineRule="auto"/>
              <w:ind w:firstLine="0" w:firstLineChars="0"/>
              <w:jc w:val="left"/>
              <w:rPr>
                <w:color w:val="auto"/>
                <w:sz w:val="21"/>
                <w:szCs w:val="21"/>
              </w:rPr>
            </w:pPr>
            <w:r>
              <w:rPr>
                <w:color w:val="auto"/>
                <w:sz w:val="21"/>
                <w:szCs w:val="21"/>
              </w:rPr>
              <w:t>包装方法</w:t>
            </w:r>
          </w:p>
        </w:tc>
        <w:tc>
          <w:tcPr>
            <w:tcW w:w="8325" w:type="dxa"/>
            <w:gridSpan w:val="8"/>
            <w:vAlign w:val="center"/>
          </w:tcPr>
          <w:p>
            <w:pPr>
              <w:adjustRightInd/>
              <w:snapToGrid/>
              <w:spacing w:line="240" w:lineRule="auto"/>
              <w:ind w:firstLine="0" w:firstLineChars="0"/>
              <w:jc w:val="left"/>
              <w:rPr>
                <w:color w:val="auto"/>
                <w:sz w:val="21"/>
                <w:szCs w:val="21"/>
              </w:rPr>
            </w:pPr>
            <w:r>
              <w:rPr>
                <w:color w:val="auto"/>
                <w:sz w:val="21"/>
                <w:szCs w:val="21"/>
              </w:rPr>
              <w:t>包装类别：O52</w:t>
            </w:r>
          </w:p>
          <w:p>
            <w:pPr>
              <w:adjustRightInd/>
              <w:snapToGrid/>
              <w:spacing w:line="240" w:lineRule="auto"/>
              <w:ind w:firstLine="0" w:firstLineChars="0"/>
              <w:jc w:val="left"/>
              <w:rPr>
                <w:color w:val="auto"/>
                <w:sz w:val="21"/>
                <w:szCs w:val="21"/>
              </w:rPr>
            </w:pPr>
            <w:r>
              <w:rPr>
                <w:color w:val="auto"/>
                <w:sz w:val="21"/>
                <w:szCs w:val="21"/>
              </w:rPr>
              <w:t>包装方法：钢质气瓶；安瓿瓶外普通木箱。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747" w:type="dxa"/>
            <w:vAlign w:val="center"/>
          </w:tcPr>
          <w:p>
            <w:pPr>
              <w:adjustRightInd/>
              <w:snapToGrid/>
              <w:spacing w:line="240" w:lineRule="auto"/>
              <w:ind w:firstLine="0" w:firstLineChars="0"/>
              <w:jc w:val="left"/>
              <w:rPr>
                <w:color w:val="auto"/>
                <w:sz w:val="21"/>
                <w:szCs w:val="21"/>
              </w:rPr>
            </w:pPr>
            <w:r>
              <w:rPr>
                <w:color w:val="auto"/>
                <w:spacing w:val="0"/>
                <w:sz w:val="21"/>
                <w:szCs w:val="21"/>
              </w:rPr>
              <w:t>储存注意事项</w:t>
            </w:r>
          </w:p>
        </w:tc>
        <w:tc>
          <w:tcPr>
            <w:tcW w:w="8325" w:type="dxa"/>
            <w:gridSpan w:val="8"/>
            <w:vAlign w:val="center"/>
          </w:tcPr>
          <w:p>
            <w:pPr>
              <w:adjustRightInd/>
              <w:snapToGrid/>
              <w:spacing w:line="240" w:lineRule="auto"/>
              <w:ind w:firstLine="0" w:firstLineChars="0"/>
              <w:jc w:val="left"/>
              <w:rPr>
                <w:color w:val="auto"/>
                <w:sz w:val="21"/>
                <w:szCs w:val="21"/>
              </w:rPr>
            </w:pPr>
            <w:r>
              <w:rPr>
                <w:color w:val="auto"/>
                <w:sz w:val="21"/>
                <w:szCs w:val="21"/>
              </w:rPr>
              <w:t>储存于阴凉、通风的库房。远离火种、热源。库温不宜超过30</w:t>
            </w:r>
            <w:r>
              <w:rPr>
                <w:rFonts w:hint="eastAsia" w:ascii="宋体" w:hAnsi="宋体" w:cs="宋体"/>
                <w:color w:val="auto"/>
                <w:sz w:val="21"/>
                <w:szCs w:val="21"/>
              </w:rPr>
              <w:t>℃</w:t>
            </w:r>
            <w:r>
              <w:rPr>
                <w:color w:val="auto"/>
                <w:sz w:val="21"/>
                <w:szCs w:val="21"/>
              </w:rPr>
              <w:t>。应与易（可）燃物</w:t>
            </w:r>
            <w:r>
              <w:rPr>
                <w:rFonts w:hint="eastAsia"/>
                <w:color w:val="auto"/>
                <w:sz w:val="21"/>
                <w:szCs w:val="21"/>
                <w:lang w:eastAsia="zh-CN"/>
              </w:rPr>
              <w:t>、</w:t>
            </w:r>
            <w:r>
              <w:rPr>
                <w:color w:val="auto"/>
                <w:sz w:val="21"/>
                <w:szCs w:val="21"/>
              </w:rPr>
              <w:t>氧化剂、还原剂、食用化学品分开存放，切忌混储。储区应备有泄漏应急处理设备。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646" w:hRule="atLeast"/>
        </w:trPr>
        <w:tc>
          <w:tcPr>
            <w:tcW w:w="747" w:type="dxa"/>
            <w:vAlign w:val="center"/>
          </w:tcPr>
          <w:p>
            <w:pPr>
              <w:adjustRightInd/>
              <w:snapToGrid/>
              <w:spacing w:line="240" w:lineRule="auto"/>
              <w:ind w:firstLine="0" w:firstLineChars="0"/>
              <w:jc w:val="left"/>
              <w:rPr>
                <w:color w:val="auto"/>
                <w:sz w:val="21"/>
                <w:szCs w:val="21"/>
              </w:rPr>
            </w:pPr>
            <w:r>
              <w:rPr>
                <w:color w:val="auto"/>
                <w:sz w:val="21"/>
                <w:szCs w:val="21"/>
              </w:rPr>
              <w:t>运输注意事项</w:t>
            </w:r>
          </w:p>
        </w:tc>
        <w:tc>
          <w:tcPr>
            <w:tcW w:w="8325" w:type="dxa"/>
            <w:gridSpan w:val="8"/>
            <w:vAlign w:val="center"/>
          </w:tcPr>
          <w:p>
            <w:pPr>
              <w:adjustRightInd/>
              <w:snapToGrid/>
              <w:spacing w:line="240" w:lineRule="auto"/>
              <w:ind w:firstLine="0" w:firstLineChars="0"/>
              <w:jc w:val="left"/>
              <w:rPr>
                <w:color w:val="auto"/>
                <w:sz w:val="21"/>
                <w:szCs w:val="21"/>
              </w:rPr>
            </w:pPr>
            <w:r>
              <w:rPr>
                <w:color w:val="auto"/>
                <w:sz w:val="21"/>
                <w:szCs w:val="21"/>
              </w:rPr>
              <w:t>本品铁路运输时限使用耐压液化气企业自备罐车装运，装运前需报有关部门批准。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严禁与易燃物或可燃物、氧化剂、还原剂、食用化学品等混装混运。夏季应早晚运输，防止日光曝晒。公路运输时要按规定路线行驶，禁止在居民区和人口稠密区停留。铁路运输时要禁止溜放。</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623" w:hRule="atLeast"/>
        </w:trPr>
        <w:tc>
          <w:tcPr>
            <w:tcW w:w="747" w:type="dxa"/>
            <w:vAlign w:val="center"/>
          </w:tcPr>
          <w:p>
            <w:pPr>
              <w:adjustRightInd/>
              <w:snapToGrid/>
              <w:spacing w:line="240" w:lineRule="auto"/>
              <w:ind w:firstLine="0" w:firstLineChars="0"/>
              <w:jc w:val="left"/>
              <w:rPr>
                <w:color w:val="auto"/>
                <w:sz w:val="21"/>
                <w:szCs w:val="21"/>
              </w:rPr>
            </w:pPr>
            <w:r>
              <w:rPr>
                <w:color w:val="auto"/>
                <w:sz w:val="21"/>
                <w:szCs w:val="21"/>
              </w:rPr>
              <w:t>防护措施</w:t>
            </w:r>
          </w:p>
        </w:tc>
        <w:tc>
          <w:tcPr>
            <w:tcW w:w="8325" w:type="dxa"/>
            <w:gridSpan w:val="8"/>
            <w:vAlign w:val="center"/>
          </w:tcPr>
          <w:p>
            <w:pPr>
              <w:adjustRightInd/>
              <w:snapToGrid/>
              <w:spacing w:line="240" w:lineRule="auto"/>
              <w:ind w:firstLine="0" w:firstLineChars="0"/>
              <w:jc w:val="left"/>
              <w:rPr>
                <w:color w:val="auto"/>
                <w:sz w:val="21"/>
                <w:szCs w:val="21"/>
              </w:rPr>
            </w:pPr>
            <w:r>
              <w:rPr>
                <w:color w:val="auto"/>
                <w:sz w:val="21"/>
                <w:szCs w:val="21"/>
              </w:rPr>
              <w:t>工程控制：严加密闭，提供充分的局部排风和全面通风。提供安全淋浴和洗眼设备。</w:t>
            </w:r>
          </w:p>
          <w:p>
            <w:pPr>
              <w:adjustRightInd/>
              <w:snapToGrid/>
              <w:spacing w:line="240" w:lineRule="auto"/>
              <w:ind w:firstLine="0" w:firstLineChars="0"/>
              <w:jc w:val="left"/>
              <w:rPr>
                <w:color w:val="auto"/>
                <w:sz w:val="21"/>
                <w:szCs w:val="21"/>
              </w:rPr>
            </w:pPr>
            <w:r>
              <w:rPr>
                <w:color w:val="auto"/>
                <w:sz w:val="21"/>
                <w:szCs w:val="21"/>
              </w:rPr>
              <w:t>呼吸系统防护：空气中浓度超标时，佩戴自吸过滤式防毒面具（全面罩）。紧急事态抢救或撤离时，建议佩戴正压自给式呼吸器。眼睛防护：呼吸系统防护中已作防护。</w:t>
            </w:r>
          </w:p>
          <w:p>
            <w:pPr>
              <w:adjustRightInd/>
              <w:snapToGrid/>
              <w:spacing w:line="240" w:lineRule="auto"/>
              <w:ind w:firstLine="0" w:firstLineChars="0"/>
              <w:jc w:val="left"/>
              <w:rPr>
                <w:color w:val="auto"/>
                <w:sz w:val="21"/>
                <w:szCs w:val="21"/>
              </w:rPr>
            </w:pPr>
            <w:r>
              <w:rPr>
                <w:color w:val="auto"/>
                <w:sz w:val="21"/>
                <w:szCs w:val="21"/>
              </w:rPr>
              <w:t>身体防护：穿聚乙烯防毒服。</w:t>
            </w:r>
          </w:p>
          <w:p>
            <w:pPr>
              <w:adjustRightInd/>
              <w:snapToGrid/>
              <w:spacing w:line="240" w:lineRule="auto"/>
              <w:ind w:firstLine="0" w:firstLineChars="0"/>
              <w:jc w:val="left"/>
              <w:rPr>
                <w:color w:val="auto"/>
                <w:sz w:val="21"/>
                <w:szCs w:val="21"/>
              </w:rPr>
            </w:pPr>
            <w:r>
              <w:rPr>
                <w:color w:val="auto"/>
                <w:sz w:val="21"/>
                <w:szCs w:val="21"/>
              </w:rPr>
              <w:t>手防护：戴橡胶手套。</w:t>
            </w:r>
          </w:p>
          <w:p>
            <w:pPr>
              <w:adjustRightInd/>
              <w:snapToGrid/>
              <w:spacing w:line="240" w:lineRule="auto"/>
              <w:ind w:firstLine="0" w:firstLineChars="0"/>
              <w:jc w:val="left"/>
              <w:rPr>
                <w:color w:val="auto"/>
                <w:sz w:val="21"/>
                <w:szCs w:val="21"/>
              </w:rPr>
            </w:pPr>
            <w:r>
              <w:rPr>
                <w:color w:val="auto"/>
                <w:sz w:val="21"/>
                <w:szCs w:val="21"/>
              </w:rPr>
              <w:t>其他防护：工作现场禁止吸烟、进食和饮水。工作完毕，淋浴更衣。保持良好的卫生习惯。</w:t>
            </w:r>
          </w:p>
        </w:tc>
      </w:tr>
    </w:tbl>
    <w:p>
      <w:pPr>
        <w:ind w:firstLine="0" w:firstLineChars="0"/>
        <w:rPr>
          <w:b/>
          <w:sz w:val="13"/>
          <w:szCs w:val="13"/>
        </w:rPr>
      </w:pPr>
    </w:p>
    <w:p>
      <w:pPr>
        <w:ind w:firstLine="0" w:firstLineChars="0"/>
        <w:jc w:val="center"/>
        <w:rPr>
          <w:b/>
          <w:sz w:val="24"/>
        </w:rPr>
      </w:pPr>
      <w:r>
        <w:rPr>
          <w:rFonts w:hint="eastAsia"/>
          <w:b/>
          <w:sz w:val="24"/>
        </w:rPr>
        <w:t>F表2.4-</w:t>
      </w:r>
      <w:r>
        <w:rPr>
          <w:b/>
          <w:sz w:val="24"/>
        </w:rPr>
        <w:t>3</w:t>
      </w:r>
      <w:r>
        <w:rPr>
          <w:rFonts w:hint="eastAsia"/>
          <w:b/>
          <w:sz w:val="24"/>
        </w:rPr>
        <w:t xml:space="preserve">三氧化硫的理化性质及危险特性 </w:t>
      </w:r>
    </w:p>
    <w:tbl>
      <w:tblPr>
        <w:tblStyle w:val="38"/>
        <w:tblW w:w="9283"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672"/>
        <w:gridCol w:w="871"/>
        <w:gridCol w:w="269"/>
        <w:gridCol w:w="128"/>
        <w:gridCol w:w="32"/>
        <w:gridCol w:w="1025"/>
        <w:gridCol w:w="498"/>
        <w:gridCol w:w="305"/>
        <w:gridCol w:w="1205"/>
        <w:gridCol w:w="192"/>
        <w:gridCol w:w="1324"/>
        <w:gridCol w:w="1407"/>
        <w:gridCol w:w="135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345"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标识</w:t>
            </w:r>
          </w:p>
        </w:tc>
        <w:tc>
          <w:tcPr>
            <w:tcW w:w="4525" w:type="dxa"/>
            <w:gridSpan w:val="9"/>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中文名：三氧化硫（抑制的），又名硫酸</w:t>
            </w:r>
            <w:r>
              <w:rPr>
                <w:rFonts w:hint="eastAsia"/>
                <w:color w:val="auto"/>
                <w:kern w:val="0"/>
                <w:sz w:val="21"/>
                <w:szCs w:val="21"/>
              </w:rPr>
              <w:t>酐</w:t>
            </w:r>
          </w:p>
        </w:tc>
        <w:tc>
          <w:tcPr>
            <w:tcW w:w="4086"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i/>
                <w:iCs/>
                <w:color w:val="auto"/>
                <w:kern w:val="0"/>
                <w:sz w:val="21"/>
                <w:szCs w:val="21"/>
              </w:rPr>
            </w:pPr>
            <w:r>
              <w:rPr>
                <w:color w:val="auto"/>
                <w:kern w:val="0"/>
                <w:sz w:val="21"/>
                <w:szCs w:val="21"/>
              </w:rPr>
              <w:t>英文名：sulfur trioxide</w:t>
            </w:r>
            <w:r>
              <w:rPr>
                <w:rFonts w:hint="eastAsia"/>
                <w:color w:val="auto"/>
                <w:kern w:val="0"/>
                <w:sz w:val="21"/>
                <w:szCs w:val="21"/>
              </w:rPr>
              <w:t>，</w:t>
            </w:r>
            <w:r>
              <w:rPr>
                <w:color w:val="auto"/>
                <w:kern w:val="0"/>
                <w:sz w:val="21"/>
                <w:szCs w:val="21"/>
              </w:rPr>
              <w:t>sulfur</w:t>
            </w:r>
            <w:r>
              <w:rPr>
                <w:rFonts w:hint="eastAsia"/>
                <w:color w:val="auto"/>
                <w:kern w:val="0"/>
                <w:sz w:val="21"/>
                <w:szCs w:val="21"/>
              </w:rPr>
              <w:t>ic anhydride</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4525" w:type="dxa"/>
            <w:gridSpan w:val="9"/>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分子式：SO</w:t>
            </w:r>
            <w:r>
              <w:rPr>
                <w:color w:val="auto"/>
                <w:kern w:val="0"/>
                <w:sz w:val="21"/>
                <w:szCs w:val="21"/>
                <w:vertAlign w:val="subscript"/>
              </w:rPr>
              <w:t>3</w:t>
            </w:r>
          </w:p>
        </w:tc>
        <w:tc>
          <w:tcPr>
            <w:tcW w:w="4086"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分子量：80.06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3"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2823" w:type="dxa"/>
            <w:gridSpan w:val="6"/>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危规编号：81010</w:t>
            </w:r>
          </w:p>
        </w:tc>
        <w:tc>
          <w:tcPr>
            <w:tcW w:w="3026"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UN编号：1829</w:t>
            </w:r>
          </w:p>
        </w:tc>
        <w:tc>
          <w:tcPr>
            <w:tcW w:w="2762" w:type="dxa"/>
            <w:gridSpan w:val="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CAS No. 7446-11-9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8611" w:type="dxa"/>
            <w:gridSpan w:val="1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主要危险特性：</w:t>
            </w:r>
            <w:r>
              <w:rPr>
                <w:rFonts w:hint="eastAsia"/>
                <w:color w:val="auto"/>
                <w:kern w:val="0"/>
                <w:sz w:val="21"/>
                <w:szCs w:val="21"/>
              </w:rPr>
              <w:t>皮肤腐蚀/刺激，类别1</w:t>
            </w:r>
            <w:r>
              <w:rPr>
                <w:color w:val="auto"/>
                <w:kern w:val="0"/>
                <w:sz w:val="21"/>
                <w:szCs w:val="21"/>
              </w:rPr>
              <w:t>A</w:t>
            </w:r>
            <w:r>
              <w:rPr>
                <w:rFonts w:hint="eastAsia"/>
                <w:color w:val="auto"/>
                <w:kern w:val="0"/>
                <w:sz w:val="21"/>
                <w:szCs w:val="21"/>
              </w:rPr>
              <w:t>；严重眼损伤/眼刺激，类别1；特异性靶器官毒性-一次接触，类别3（呼吸道刺激）；危害水生环境-急性危害，类别3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75"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理</w:t>
            </w:r>
            <w:r>
              <w:rPr>
                <w:color w:val="auto"/>
                <w:kern w:val="0"/>
                <w:sz w:val="21"/>
                <w:szCs w:val="21"/>
              </w:rPr>
              <w:br w:type="textWrapping"/>
            </w:r>
            <w:r>
              <w:rPr>
                <w:color w:val="auto"/>
                <w:kern w:val="0"/>
                <w:sz w:val="21"/>
                <w:szCs w:val="21"/>
              </w:rPr>
              <w:t>化</w:t>
            </w:r>
            <w:r>
              <w:rPr>
                <w:color w:val="auto"/>
                <w:kern w:val="0"/>
                <w:sz w:val="21"/>
                <w:szCs w:val="21"/>
              </w:rPr>
              <w:br w:type="textWrapping"/>
            </w:r>
            <w:r>
              <w:rPr>
                <w:color w:val="auto"/>
                <w:kern w:val="0"/>
                <w:sz w:val="21"/>
                <w:szCs w:val="21"/>
              </w:rPr>
              <w:t>性</w:t>
            </w:r>
            <w:r>
              <w:rPr>
                <w:color w:val="auto"/>
                <w:kern w:val="0"/>
                <w:sz w:val="21"/>
                <w:szCs w:val="21"/>
              </w:rPr>
              <w:br w:type="textWrapping"/>
            </w:r>
            <w:r>
              <w:rPr>
                <w:color w:val="auto"/>
                <w:kern w:val="0"/>
                <w:sz w:val="21"/>
                <w:szCs w:val="21"/>
              </w:rPr>
              <w:t>质</w:t>
            </w:r>
          </w:p>
        </w:tc>
        <w:tc>
          <w:tcPr>
            <w:tcW w:w="8611" w:type="dxa"/>
            <w:gridSpan w:val="1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外观与特性：为针状固体或液体，有刺激性气味。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2325" w:type="dxa"/>
            <w:gridSpan w:val="5"/>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熔点（</w:t>
            </w:r>
            <w:r>
              <w:rPr>
                <w:rFonts w:hint="eastAsia" w:ascii="宋体" w:hAnsi="宋体" w:cs="宋体"/>
                <w:color w:val="auto"/>
                <w:kern w:val="0"/>
                <w:sz w:val="21"/>
                <w:szCs w:val="21"/>
              </w:rPr>
              <w:t>℃</w:t>
            </w:r>
            <w:r>
              <w:rPr>
                <w:color w:val="auto"/>
                <w:kern w:val="0"/>
                <w:sz w:val="21"/>
                <w:szCs w:val="21"/>
              </w:rPr>
              <w:t>）</w:t>
            </w:r>
          </w:p>
        </w:tc>
        <w:tc>
          <w:tcPr>
            <w:tcW w:w="2008"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16.8</w:t>
            </w:r>
          </w:p>
        </w:tc>
        <w:tc>
          <w:tcPr>
            <w:tcW w:w="2923"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沸点（</w:t>
            </w:r>
            <w:r>
              <w:rPr>
                <w:rFonts w:hint="eastAsia" w:ascii="宋体" w:hAnsi="宋体" w:cs="宋体"/>
                <w:color w:val="auto"/>
                <w:kern w:val="0"/>
                <w:sz w:val="21"/>
                <w:szCs w:val="21"/>
              </w:rPr>
              <w:t>℃</w:t>
            </w:r>
            <w:r>
              <w:rPr>
                <w:color w:val="auto"/>
                <w:kern w:val="0"/>
                <w:sz w:val="21"/>
                <w:szCs w:val="21"/>
              </w:rPr>
              <w:t>）</w:t>
            </w:r>
          </w:p>
        </w:tc>
        <w:tc>
          <w:tcPr>
            <w:tcW w:w="1355"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44.8</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2325" w:type="dxa"/>
            <w:gridSpan w:val="5"/>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相对密度（水=1）</w:t>
            </w:r>
          </w:p>
        </w:tc>
        <w:tc>
          <w:tcPr>
            <w:tcW w:w="2008"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1.97</w:t>
            </w:r>
          </w:p>
        </w:tc>
        <w:tc>
          <w:tcPr>
            <w:tcW w:w="2923"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相对密度（空气=1）</w:t>
            </w:r>
          </w:p>
        </w:tc>
        <w:tc>
          <w:tcPr>
            <w:tcW w:w="1355"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2.8</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2325" w:type="dxa"/>
            <w:gridSpan w:val="5"/>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饱和蒸汽压（kPa）</w:t>
            </w:r>
          </w:p>
        </w:tc>
        <w:tc>
          <w:tcPr>
            <w:tcW w:w="2008"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37.32/25</w:t>
            </w:r>
            <w:r>
              <w:rPr>
                <w:rFonts w:hint="eastAsia" w:ascii="宋体" w:hAnsi="宋体" w:cs="宋体"/>
                <w:color w:val="auto"/>
                <w:kern w:val="0"/>
                <w:sz w:val="21"/>
                <w:szCs w:val="21"/>
              </w:rPr>
              <w:t>℃</w:t>
            </w:r>
          </w:p>
        </w:tc>
        <w:tc>
          <w:tcPr>
            <w:tcW w:w="2923"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辛醇/水分配系数的对数值</w:t>
            </w:r>
          </w:p>
        </w:tc>
        <w:tc>
          <w:tcPr>
            <w:tcW w:w="1355"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无资料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2325" w:type="dxa"/>
            <w:gridSpan w:val="5"/>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溶解性</w:t>
            </w:r>
          </w:p>
        </w:tc>
        <w:tc>
          <w:tcPr>
            <w:tcW w:w="6286" w:type="dxa"/>
            <w:gridSpan w:val="7"/>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易溶于水、乙醇。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255"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健康危害</w:t>
            </w:r>
          </w:p>
        </w:tc>
        <w:tc>
          <w:tcPr>
            <w:tcW w:w="1140" w:type="dxa"/>
            <w:gridSpan w:val="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侵入途径</w:t>
            </w:r>
          </w:p>
        </w:tc>
        <w:tc>
          <w:tcPr>
            <w:tcW w:w="7471"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吸入。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50"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140" w:type="dxa"/>
            <w:gridSpan w:val="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健康危害</w:t>
            </w:r>
          </w:p>
        </w:tc>
        <w:tc>
          <w:tcPr>
            <w:tcW w:w="7471"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其毒性表现与硫酸同。对皮肤、粘膜等组织有强烈的刺激和腐蚀作用。可引起结膜炎、水肿。角膜混浊，以致失明；引起呼吸道刺激症状，重者发生呼吸困难和肺水肿；高浓度引起喉痉挛或声门水肿而死亡。口服后引起消化道的烧伤以至溃疡形成。严重者可能有胃穿孔、腹膜炎、喉痉挛和声门水肿、肾损害、休克等。慢性影响有牙齿酸蚀症、慢性支气管炎、肺气肿和肝硬变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燃烧爆炸危险性</w:t>
            </w:r>
          </w:p>
        </w:tc>
        <w:tc>
          <w:tcPr>
            <w:tcW w:w="3128" w:type="dxa"/>
            <w:gridSpan w:val="7"/>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燃烧性：本品不燃。</w:t>
            </w:r>
          </w:p>
        </w:tc>
        <w:tc>
          <w:tcPr>
            <w:tcW w:w="5483" w:type="dxa"/>
            <w:gridSpan w:val="5"/>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引燃温度（</w:t>
            </w:r>
            <w:r>
              <w:rPr>
                <w:rFonts w:hint="eastAsia" w:ascii="宋体" w:hAnsi="宋体" w:cs="宋体"/>
                <w:color w:val="auto"/>
                <w:kern w:val="0"/>
                <w:sz w:val="21"/>
                <w:szCs w:val="21"/>
              </w:rPr>
              <w:t>℃</w:t>
            </w:r>
            <w:r>
              <w:rPr>
                <w:color w:val="auto"/>
                <w:kern w:val="0"/>
                <w:sz w:val="21"/>
                <w:szCs w:val="21"/>
              </w:rPr>
              <w:t>）：无意义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3128" w:type="dxa"/>
            <w:gridSpan w:val="7"/>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聚合危害：不聚合</w:t>
            </w:r>
          </w:p>
        </w:tc>
        <w:tc>
          <w:tcPr>
            <w:tcW w:w="5483" w:type="dxa"/>
            <w:gridSpan w:val="5"/>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闪点（</w:t>
            </w:r>
            <w:r>
              <w:rPr>
                <w:rFonts w:hint="eastAsia" w:ascii="宋体" w:hAnsi="宋体" w:cs="宋体"/>
                <w:color w:val="auto"/>
                <w:kern w:val="0"/>
                <w:sz w:val="21"/>
                <w:szCs w:val="21"/>
              </w:rPr>
              <w:t>℃</w:t>
            </w:r>
            <w:r>
              <w:rPr>
                <w:color w:val="auto"/>
                <w:kern w:val="0"/>
                <w:sz w:val="21"/>
                <w:szCs w:val="21"/>
              </w:rPr>
              <w:t>）（闭杯）：无意义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3128" w:type="dxa"/>
            <w:gridSpan w:val="7"/>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稳定性：稳定</w:t>
            </w:r>
          </w:p>
        </w:tc>
        <w:tc>
          <w:tcPr>
            <w:tcW w:w="5483" w:type="dxa"/>
            <w:gridSpan w:val="5"/>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爆炸极限（V%）：无意义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3128" w:type="dxa"/>
            <w:gridSpan w:val="7"/>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最小点火能（mJ）：无意义</w:t>
            </w:r>
          </w:p>
        </w:tc>
        <w:tc>
          <w:tcPr>
            <w:tcW w:w="5483" w:type="dxa"/>
            <w:gridSpan w:val="5"/>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最大爆炸压力（MPa）：无意义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00"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危险特性</w:t>
            </w:r>
          </w:p>
        </w:tc>
        <w:tc>
          <w:tcPr>
            <w:tcW w:w="7311" w:type="dxa"/>
            <w:gridSpan w:val="8"/>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具强腐蚀性、强刺激性，可致人体灼伤。与水发生爆炸性剧烈反应。与氧气、氟、氧化铅、次亚氯酸、过氯酸、磷、四氟乙烯等接触剧烈反应。与有机材料如木、棉花或草接触，会着火。吸湿性极强，在空气中产生有毒的白烟。遇潮时对大多数金属有强腐蚀性。</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871"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燃烧产物：不燃</w:t>
            </w:r>
          </w:p>
        </w:tc>
        <w:tc>
          <w:tcPr>
            <w:tcW w:w="774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禁忌物：强碱、强还原剂、活性金属粉末、水、易燃或可燃物。避免接触的条件：潮湿空气。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268"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灭火方式</w:t>
            </w:r>
          </w:p>
        </w:tc>
        <w:tc>
          <w:tcPr>
            <w:tcW w:w="7343" w:type="dxa"/>
            <w:gridSpan w:val="9"/>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本品不燃。消防人员必须配带过滤式防毒面具（全面罩）或隔离式呼吸器，穿全身防火防毒服，在上风处灭火。切断气源。喷水冷却容器，可能的话将容器从火场移至空旷处。灭火剂：雾状水、泡沫、二氧化碳。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急救措施</w:t>
            </w:r>
          </w:p>
        </w:tc>
        <w:tc>
          <w:tcPr>
            <w:tcW w:w="1268"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皮肤接触</w:t>
            </w:r>
          </w:p>
        </w:tc>
        <w:tc>
          <w:tcPr>
            <w:tcW w:w="7343" w:type="dxa"/>
            <w:gridSpan w:val="9"/>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立即脱去污染的衣着，用大量流动清水冲洗至少15min。就医。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70"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268"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眼睛接触</w:t>
            </w:r>
          </w:p>
        </w:tc>
        <w:tc>
          <w:tcPr>
            <w:tcW w:w="7343" w:type="dxa"/>
            <w:gridSpan w:val="9"/>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立即提起眼睑，用大量流动清水或生理盐水彻底冲洗至少15min。就医。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268"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吸入</w:t>
            </w:r>
          </w:p>
        </w:tc>
        <w:tc>
          <w:tcPr>
            <w:tcW w:w="7343" w:type="dxa"/>
            <w:gridSpan w:val="9"/>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迅速脱离现场至空气新鲜处。保持呼吸道通畅。如呼吸困难，给输氧。如呼吸停止，立即进行人工呼吸。就医。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240"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268"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食入</w:t>
            </w:r>
          </w:p>
        </w:tc>
        <w:tc>
          <w:tcPr>
            <w:tcW w:w="7343" w:type="dxa"/>
            <w:gridSpan w:val="9"/>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用水漱口，给饮牛奶或蛋清。就医。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1350" w:hRule="atLeast"/>
          <w:jc w:val="center"/>
        </w:trPr>
        <w:tc>
          <w:tcPr>
            <w:tcW w:w="672"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泄漏应急处理</w:t>
            </w:r>
          </w:p>
        </w:tc>
        <w:tc>
          <w:tcPr>
            <w:tcW w:w="8611" w:type="dxa"/>
            <w:gridSpan w:val="1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迅速撤离泄漏污染区人员至安全区，并立即隔离150m，严格限制出入。建议应急处理人员戴自给正压式呼吸器，穿防酸碱工作服。尽可能切断泄漏源。若是液体，小量泄漏：用砂土、蛭石或其它惰性材料吸收。大量泄漏：构筑围堤或挖坑收容。用泵转移至槽车或专用收集器内，回收或运至废物处理场所处置。若是固体，用洁净的铲子收集于干燥、洁净、有盖的容器中。若大量泄漏，收集回收或运至废物处理场所处置。</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1037" w:hRule="atLeast"/>
          <w:jc w:val="center"/>
        </w:trPr>
        <w:tc>
          <w:tcPr>
            <w:tcW w:w="672"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操作注意事项</w:t>
            </w:r>
          </w:p>
        </w:tc>
        <w:tc>
          <w:tcPr>
            <w:tcW w:w="8611" w:type="dxa"/>
            <w:gridSpan w:val="1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密闭操作，注意通风。操作尽可能机械化、自动化。操作人员必须经过专门培训，严格遵守操作规程。建议操作人员佩戴防尘面具（全面罩），穿橡胶耐酸碱服，戴橡胶耐酸碱手套。远离易燃、可燃物。避免与还原剂、碱类、活性金属粉末接触。尤其要注意避免与水接触。搬运时要轻装轻卸，防止包装及容器损坏。配备泄漏应急处理设备。倒空的容器可能残留有害物。</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79"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防护措施</w:t>
            </w:r>
          </w:p>
        </w:tc>
        <w:tc>
          <w:tcPr>
            <w:tcW w:w="871"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工程控制</w:t>
            </w:r>
          </w:p>
        </w:tc>
        <w:tc>
          <w:tcPr>
            <w:tcW w:w="774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密闭操作，注意通风。尽可能机械化、自动化。提供安全淋浴和洗眼设备。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535"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871"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呼吸系统防护</w:t>
            </w:r>
          </w:p>
        </w:tc>
        <w:tc>
          <w:tcPr>
            <w:tcW w:w="774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可能接触其粉尘时，必须佩戴防尘面具（全面罩）；可能接触其蒸气时，应该佩戴自吸过滤式防毒面具（全面罩）。</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90"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871"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眼睛防护</w:t>
            </w:r>
          </w:p>
        </w:tc>
        <w:tc>
          <w:tcPr>
            <w:tcW w:w="774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呼吸系统防护中已作防护。</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2"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871"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身体防护</w:t>
            </w:r>
          </w:p>
        </w:tc>
        <w:tc>
          <w:tcPr>
            <w:tcW w:w="774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穿橡胶耐酸碱服。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67"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871"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手防护</w:t>
            </w:r>
          </w:p>
        </w:tc>
        <w:tc>
          <w:tcPr>
            <w:tcW w:w="774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戴橡胶耐酸碱手套。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6" w:hRule="atLeast"/>
          <w:jc w:val="center"/>
        </w:trPr>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871"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其他</w:t>
            </w:r>
          </w:p>
        </w:tc>
        <w:tc>
          <w:tcPr>
            <w:tcW w:w="774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工作完毕，淋浴更衣。单独存放被毒物污染的衣服，洗后备用。保持良好的卫生习惯。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6" w:hRule="atLeast"/>
          <w:jc w:val="center"/>
        </w:trPr>
        <w:tc>
          <w:tcPr>
            <w:tcW w:w="672"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废弃处置方法</w:t>
            </w:r>
          </w:p>
        </w:tc>
        <w:tc>
          <w:tcPr>
            <w:tcW w:w="8611" w:type="dxa"/>
            <w:gridSpan w:val="1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根据国家和地方有关法规的要求处置。或与厂商或制造商联系，确定处置方法。</w:t>
            </w:r>
          </w:p>
        </w:tc>
      </w:tr>
    </w:tbl>
    <w:p>
      <w:pPr>
        <w:ind w:firstLine="0" w:firstLineChars="0"/>
        <w:jc w:val="center"/>
        <w:rPr>
          <w:rFonts w:ascii="宋体" w:hAnsi="宋体" w:cs="宋体"/>
          <w:color w:val="auto"/>
          <w:sz w:val="15"/>
          <w:szCs w:val="15"/>
        </w:rPr>
      </w:pPr>
    </w:p>
    <w:p>
      <w:pPr>
        <w:ind w:firstLine="0" w:firstLineChars="0"/>
        <w:jc w:val="center"/>
        <w:rPr>
          <w:rFonts w:ascii="宋体" w:hAnsi="宋体" w:cs="宋体"/>
          <w:b/>
          <w:color w:val="auto"/>
          <w:sz w:val="24"/>
        </w:rPr>
      </w:pPr>
      <w:r>
        <w:rPr>
          <w:rFonts w:hint="eastAsia"/>
          <w:b/>
          <w:snapToGrid w:val="0"/>
          <w:color w:val="auto"/>
          <w:kern w:val="0"/>
          <w:sz w:val="24"/>
        </w:rPr>
        <w:t>F</w:t>
      </w:r>
      <w:r>
        <w:rPr>
          <w:rFonts w:hint="eastAsia" w:ascii="宋体" w:hAnsi="宋体" w:cs="宋体"/>
          <w:b/>
          <w:color w:val="auto"/>
          <w:sz w:val="24"/>
        </w:rPr>
        <w:t>表2.4-</w:t>
      </w:r>
      <w:r>
        <w:rPr>
          <w:rFonts w:ascii="宋体" w:hAnsi="宋体" w:cs="宋体"/>
          <w:b/>
          <w:color w:val="auto"/>
          <w:sz w:val="24"/>
        </w:rPr>
        <w:t>4</w:t>
      </w:r>
      <w:r>
        <w:rPr>
          <w:rFonts w:hint="eastAsia" w:ascii="宋体" w:hAnsi="宋体" w:cs="宋体"/>
          <w:b/>
          <w:color w:val="auto"/>
          <w:sz w:val="24"/>
        </w:rPr>
        <w:t xml:space="preserve">  五氧化二钒的理化性质及危险特性</w:t>
      </w:r>
    </w:p>
    <w:tbl>
      <w:tblPr>
        <w:tblStyle w:val="38"/>
        <w:tblW w:w="9072"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672"/>
        <w:gridCol w:w="1366"/>
        <w:gridCol w:w="959"/>
        <w:gridCol w:w="498"/>
        <w:gridCol w:w="305"/>
        <w:gridCol w:w="642"/>
        <w:gridCol w:w="563"/>
        <w:gridCol w:w="192"/>
        <w:gridCol w:w="202"/>
        <w:gridCol w:w="1122"/>
        <w:gridCol w:w="1407"/>
        <w:gridCol w:w="114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48"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标识</w:t>
            </w:r>
          </w:p>
        </w:tc>
        <w:tc>
          <w:tcPr>
            <w:tcW w:w="4525" w:type="dxa"/>
            <w:gridSpan w:val="7"/>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中文名：</w:t>
            </w:r>
            <w:r>
              <w:rPr>
                <w:rFonts w:hint="eastAsia"/>
                <w:color w:val="auto"/>
                <w:kern w:val="0"/>
                <w:sz w:val="21"/>
                <w:szCs w:val="21"/>
              </w:rPr>
              <w:t>五氧化二钒</w:t>
            </w:r>
          </w:p>
        </w:tc>
        <w:tc>
          <w:tcPr>
            <w:tcW w:w="3875"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英文名：vanadium pentoxide</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62"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4525" w:type="dxa"/>
            <w:gridSpan w:val="7"/>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vertAlign w:val="subscript"/>
              </w:rPr>
            </w:pPr>
            <w:r>
              <w:rPr>
                <w:color w:val="auto"/>
                <w:kern w:val="0"/>
                <w:sz w:val="21"/>
                <w:szCs w:val="21"/>
              </w:rPr>
              <w:t>分子式：V</w:t>
            </w:r>
            <w:r>
              <w:rPr>
                <w:color w:val="auto"/>
                <w:kern w:val="0"/>
                <w:sz w:val="21"/>
                <w:szCs w:val="21"/>
                <w:vertAlign w:val="subscript"/>
              </w:rPr>
              <w:t>2</w:t>
            </w:r>
            <w:r>
              <w:rPr>
                <w:color w:val="auto"/>
                <w:kern w:val="0"/>
                <w:sz w:val="21"/>
                <w:szCs w:val="21"/>
              </w:rPr>
              <w:t>O</w:t>
            </w:r>
            <w:r>
              <w:rPr>
                <w:color w:val="auto"/>
                <w:kern w:val="0"/>
                <w:sz w:val="21"/>
                <w:szCs w:val="21"/>
                <w:vertAlign w:val="subscript"/>
              </w:rPr>
              <w:t>5</w:t>
            </w:r>
          </w:p>
        </w:tc>
        <w:tc>
          <w:tcPr>
            <w:tcW w:w="3875"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分子量：181.88</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49"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2823"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危规编号：61028</w:t>
            </w:r>
          </w:p>
        </w:tc>
        <w:tc>
          <w:tcPr>
            <w:tcW w:w="3026" w:type="dxa"/>
            <w:gridSpan w:val="6"/>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UN编号：</w:t>
            </w:r>
          </w:p>
        </w:tc>
        <w:tc>
          <w:tcPr>
            <w:tcW w:w="2551" w:type="dxa"/>
            <w:gridSpan w:val="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CAS No.</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840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主要危险特性：</w:t>
            </w:r>
            <w:r>
              <w:rPr>
                <w:rFonts w:hint="eastAsia"/>
                <w:color w:val="auto"/>
                <w:kern w:val="0"/>
                <w:sz w:val="21"/>
                <w:szCs w:val="21"/>
              </w:rPr>
              <w:t>急性毒性-经口，类别2；急性毒性-吸入，类别4；生殖细胞致突变型，类别2；致癌性，类别2；生殖毒性，类别2；特异性靶器官毒性-反复接触，类别1；特异性靶器官毒性-一次接触，类别3（呼吸道刺激）；危害水生环境-急性危害，类别2；危化水生环境-长期危害，类别2</w:t>
            </w:r>
            <w:r>
              <w:rPr>
                <w:color w:val="auto"/>
                <w:kern w:val="0"/>
                <w:sz w:val="21"/>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81"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理</w:t>
            </w:r>
            <w:r>
              <w:rPr>
                <w:color w:val="auto"/>
                <w:kern w:val="0"/>
                <w:sz w:val="21"/>
                <w:szCs w:val="21"/>
              </w:rPr>
              <w:br w:type="textWrapping"/>
            </w:r>
            <w:r>
              <w:rPr>
                <w:color w:val="auto"/>
                <w:kern w:val="0"/>
                <w:sz w:val="21"/>
                <w:szCs w:val="21"/>
              </w:rPr>
              <w:t>化</w:t>
            </w:r>
            <w:r>
              <w:rPr>
                <w:color w:val="auto"/>
                <w:kern w:val="0"/>
                <w:sz w:val="21"/>
                <w:szCs w:val="21"/>
              </w:rPr>
              <w:br w:type="textWrapping"/>
            </w:r>
            <w:r>
              <w:rPr>
                <w:color w:val="auto"/>
                <w:kern w:val="0"/>
                <w:sz w:val="21"/>
                <w:szCs w:val="21"/>
              </w:rPr>
              <w:t>性</w:t>
            </w:r>
            <w:r>
              <w:rPr>
                <w:color w:val="auto"/>
                <w:kern w:val="0"/>
                <w:sz w:val="21"/>
                <w:szCs w:val="21"/>
              </w:rPr>
              <w:br w:type="textWrapping"/>
            </w:r>
            <w:r>
              <w:rPr>
                <w:color w:val="auto"/>
                <w:kern w:val="0"/>
                <w:sz w:val="21"/>
                <w:szCs w:val="21"/>
              </w:rPr>
              <w:t>质</w:t>
            </w:r>
          </w:p>
        </w:tc>
        <w:tc>
          <w:tcPr>
            <w:tcW w:w="840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外观与特性：</w:t>
            </w:r>
            <w:r>
              <w:rPr>
                <w:rFonts w:hint="eastAsia"/>
                <w:color w:val="auto"/>
                <w:kern w:val="0"/>
                <w:sz w:val="21"/>
                <w:szCs w:val="21"/>
              </w:rPr>
              <w:t>橙黄色或红棕色结晶粉末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62"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2325" w:type="dxa"/>
            <w:gridSpan w:val="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熔点（</w:t>
            </w:r>
            <w:r>
              <w:rPr>
                <w:rFonts w:hint="eastAsia" w:ascii="宋体" w:hAnsi="宋体" w:cs="宋体"/>
                <w:color w:val="auto"/>
                <w:kern w:val="0"/>
                <w:sz w:val="21"/>
                <w:szCs w:val="21"/>
              </w:rPr>
              <w:t>℃</w:t>
            </w:r>
            <w:r>
              <w:rPr>
                <w:color w:val="auto"/>
                <w:kern w:val="0"/>
                <w:sz w:val="21"/>
                <w:szCs w:val="21"/>
              </w:rPr>
              <w:t>）</w:t>
            </w:r>
          </w:p>
        </w:tc>
        <w:tc>
          <w:tcPr>
            <w:tcW w:w="2008"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690</w:t>
            </w:r>
          </w:p>
        </w:tc>
        <w:tc>
          <w:tcPr>
            <w:tcW w:w="2923"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沸点（</w:t>
            </w:r>
            <w:r>
              <w:rPr>
                <w:rFonts w:hint="eastAsia" w:ascii="宋体" w:hAnsi="宋体" w:cs="宋体"/>
                <w:color w:val="auto"/>
                <w:kern w:val="0"/>
                <w:sz w:val="21"/>
                <w:szCs w:val="21"/>
              </w:rPr>
              <w:t>℃</w:t>
            </w:r>
            <w:r>
              <w:rPr>
                <w:color w:val="auto"/>
                <w:kern w:val="0"/>
                <w:sz w:val="21"/>
                <w:szCs w:val="21"/>
              </w:rPr>
              <w:t>）</w:t>
            </w:r>
          </w:p>
        </w:tc>
        <w:tc>
          <w:tcPr>
            <w:tcW w:w="1144"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1</w:t>
            </w:r>
            <w:r>
              <w:rPr>
                <w:color w:val="auto"/>
                <w:kern w:val="0"/>
                <w:sz w:val="21"/>
                <w:szCs w:val="21"/>
              </w:rPr>
              <w:t>750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40"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2325" w:type="dxa"/>
            <w:gridSpan w:val="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相对密度（水=1）</w:t>
            </w:r>
          </w:p>
        </w:tc>
        <w:tc>
          <w:tcPr>
            <w:tcW w:w="2008"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3.36</w:t>
            </w:r>
          </w:p>
        </w:tc>
        <w:tc>
          <w:tcPr>
            <w:tcW w:w="2923"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相对密度（空气=1）</w:t>
            </w:r>
          </w:p>
        </w:tc>
        <w:tc>
          <w:tcPr>
            <w:tcW w:w="1144"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无资料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2325" w:type="dxa"/>
            <w:gridSpan w:val="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饱和蒸汽压（kPa）</w:t>
            </w:r>
          </w:p>
        </w:tc>
        <w:tc>
          <w:tcPr>
            <w:tcW w:w="2008"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无资料</w:t>
            </w:r>
          </w:p>
        </w:tc>
        <w:tc>
          <w:tcPr>
            <w:tcW w:w="2923"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辛醇/水分配系数的对数值</w:t>
            </w:r>
          </w:p>
        </w:tc>
        <w:tc>
          <w:tcPr>
            <w:tcW w:w="1144"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无资料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5"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2325" w:type="dxa"/>
            <w:gridSpan w:val="2"/>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溶解性</w:t>
            </w:r>
          </w:p>
        </w:tc>
        <w:tc>
          <w:tcPr>
            <w:tcW w:w="6075" w:type="dxa"/>
            <w:gridSpan w:val="9"/>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微溶于水，不溶于乙醇，溶于浓酸、碱。</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261"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健康危害</w:t>
            </w: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侵入途径</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吸入、食入、经皮吸收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50"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健康危害</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对呼吸系统和皮肤有损害作用。急性中毒：可引起鼻、咽、肺部刺激症状，多数工人有咽痒、干咳、胸闷、全身不适、倦怠等表现，部分患者可引起肾炎、肺炎。</w:t>
            </w:r>
          </w:p>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慢性中毒：长期接触可引起慢性支气管炎、肾损害、视力障碍等。</w:t>
            </w:r>
          </w:p>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短期接触该物质的气溶胶刺激眼睛和呼吸道。吸入该物质可能引起肺水肿。高浓度吸收可能引起气管炎、支气管炎、支气管痉挛，而且可能系统中毒。作用可能延缓。</w:t>
            </w:r>
          </w:p>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长期或反复接触反复或长期与皮肤接触可能引起皮炎。吸入髙浓度粉尘或烟雾肺可能受损伤。可能使舌头变绿黑色。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燃烧爆炸危险性</w:t>
            </w:r>
          </w:p>
        </w:tc>
        <w:tc>
          <w:tcPr>
            <w:tcW w:w="4727" w:type="dxa"/>
            <w:gridSpan w:val="8"/>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燃烧性：</w:t>
            </w:r>
            <w:r>
              <w:rPr>
                <w:rFonts w:hint="eastAsia"/>
                <w:color w:val="auto"/>
                <w:kern w:val="0"/>
                <w:sz w:val="21"/>
                <w:szCs w:val="21"/>
              </w:rPr>
              <w:t>不燃。与三氟化氯、锂接触剧烈反应</w:t>
            </w:r>
            <w:r>
              <w:rPr>
                <w:color w:val="auto"/>
                <w:kern w:val="0"/>
                <w:sz w:val="21"/>
                <w:szCs w:val="21"/>
              </w:rPr>
              <w:t>。</w:t>
            </w:r>
          </w:p>
        </w:tc>
        <w:tc>
          <w:tcPr>
            <w:tcW w:w="3673" w:type="dxa"/>
            <w:gridSpan w:val="3"/>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引燃温度（</w:t>
            </w:r>
            <w:r>
              <w:rPr>
                <w:rFonts w:hint="eastAsia" w:ascii="宋体" w:hAnsi="宋体" w:cs="宋体"/>
                <w:color w:val="auto"/>
                <w:kern w:val="0"/>
                <w:sz w:val="21"/>
                <w:szCs w:val="21"/>
              </w:rPr>
              <w:t>℃</w:t>
            </w:r>
            <w:r>
              <w:rPr>
                <w:color w:val="auto"/>
                <w:kern w:val="0"/>
                <w:sz w:val="21"/>
                <w:szCs w:val="21"/>
              </w:rPr>
              <w:t>）：无意义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3128"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聚合危害：不聚合</w:t>
            </w:r>
          </w:p>
        </w:tc>
        <w:tc>
          <w:tcPr>
            <w:tcW w:w="5272" w:type="dxa"/>
            <w:gridSpan w:val="7"/>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闪点（</w:t>
            </w:r>
            <w:r>
              <w:rPr>
                <w:rFonts w:hint="eastAsia" w:ascii="宋体" w:hAnsi="宋体" w:cs="宋体"/>
                <w:color w:val="auto"/>
                <w:kern w:val="0"/>
                <w:sz w:val="21"/>
                <w:szCs w:val="21"/>
              </w:rPr>
              <w:t>℃</w:t>
            </w:r>
            <w:r>
              <w:rPr>
                <w:color w:val="auto"/>
                <w:kern w:val="0"/>
                <w:sz w:val="21"/>
                <w:szCs w:val="21"/>
              </w:rPr>
              <w:t>）（闭杯）：无意义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3128"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稳定性：稳定</w:t>
            </w:r>
          </w:p>
        </w:tc>
        <w:tc>
          <w:tcPr>
            <w:tcW w:w="5272" w:type="dxa"/>
            <w:gridSpan w:val="7"/>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爆炸极限（V%）：无意义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3128" w:type="dxa"/>
            <w:gridSpan w:val="4"/>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最小点火能（mJ）：无意义</w:t>
            </w:r>
          </w:p>
        </w:tc>
        <w:tc>
          <w:tcPr>
            <w:tcW w:w="5272" w:type="dxa"/>
            <w:gridSpan w:val="7"/>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最大爆炸压力（MPa）：无意义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5"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危险特性</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无特殊的燃烧爆炸特性。本品与三氟化氯、锂接触起剧烈反应。加热时生成有毒烟雾。在氧化反应中起一种催化剂的作用</w:t>
            </w:r>
            <w:r>
              <w:rPr>
                <w:color w:val="auto"/>
                <w:kern w:val="0"/>
                <w:sz w:val="21"/>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3770" w:type="dxa"/>
            <w:gridSpan w:val="5"/>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燃烧产物：</w:t>
            </w:r>
            <w:r>
              <w:rPr>
                <w:rFonts w:hint="eastAsia"/>
                <w:color w:val="auto"/>
                <w:kern w:val="0"/>
                <w:sz w:val="21"/>
                <w:szCs w:val="21"/>
              </w:rPr>
              <w:t>可能产生有害的毒性烟雾。</w:t>
            </w:r>
          </w:p>
        </w:tc>
        <w:tc>
          <w:tcPr>
            <w:tcW w:w="4630" w:type="dxa"/>
            <w:gridSpan w:val="6"/>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禁忌物：</w:t>
            </w:r>
            <w:r>
              <w:rPr>
                <w:rFonts w:hint="eastAsia"/>
                <w:color w:val="auto"/>
                <w:kern w:val="0"/>
                <w:sz w:val="21"/>
                <w:szCs w:val="21"/>
              </w:rPr>
              <w:t>强酸、易燃或可燃物。</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灭火方式</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干粉</w:t>
            </w:r>
            <w:r>
              <w:rPr>
                <w:color w:val="auto"/>
                <w:kern w:val="0"/>
                <w:sz w:val="21"/>
                <w:szCs w:val="21"/>
              </w:rPr>
              <w:t>。消防人员必须配带过滤式防毒面具（全面罩）或隔离式呼吸器，穿全身防火防毒服，在上风处灭火。切断气源。喷水冷却容器，可能的话将容器从火场移至空旷处。</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75"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急救措施</w:t>
            </w: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皮肤接触</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脱去污染的衣着，立即用流动清水彻底冲洗。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67"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眼睛接触</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立即提起眼睑，用流动清水冲洗。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5"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吸入</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迅速脱离现场至空气新鲜处。保持呼吸道通畅。如呼吸困难，给输氧。如呼吸停止，立即进行人工呼吸。就医。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1"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食入</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误服者给饮大量温水，催吐，就医</w:t>
            </w:r>
            <w:r>
              <w:rPr>
                <w:color w:val="auto"/>
                <w:kern w:val="0"/>
                <w:sz w:val="21"/>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44" w:hRule="atLeast"/>
          <w:jc w:val="center"/>
        </w:trPr>
        <w:tc>
          <w:tcPr>
            <w:tcW w:w="672"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泄漏应急处理</w:t>
            </w:r>
          </w:p>
        </w:tc>
        <w:tc>
          <w:tcPr>
            <w:tcW w:w="840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隔离泄漏污染区，限制岀入。建议应急处理人员戴自给正压式呼吸器，穿防毒服。避免扬尘，小心扫起，置于袋中转移至安全场所。若大量泄漏，用塑料布、帆布覆盖。收集回收或运至废物处理场所处置</w:t>
            </w:r>
            <w:r>
              <w:rPr>
                <w:color w:val="auto"/>
                <w:kern w:val="0"/>
                <w:sz w:val="21"/>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28" w:hRule="atLeast"/>
          <w:jc w:val="center"/>
        </w:trPr>
        <w:tc>
          <w:tcPr>
            <w:tcW w:w="672"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操作注意事项</w:t>
            </w:r>
          </w:p>
        </w:tc>
        <w:tc>
          <w:tcPr>
            <w:tcW w:w="840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rFonts w:hint="eastAsia"/>
                <w:color w:val="auto"/>
                <w:kern w:val="0"/>
                <w:sz w:val="21"/>
                <w:szCs w:val="21"/>
              </w:rPr>
              <w:t>密闭操作，局部排风。操作人员必须经过专门培训，严格遵守操作规程。建议操作人员佩戴防尘面具（全面罩），穿胶布防毒衣，戴橡胶手套。远离易燃、可燃物。避免产生粉尘。避免与酸类接触。搬运时要轻装轻卸，防止包装及容器损坏。配备泄漏应急处理设备。倒空的容器可能残留有害物。</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6" w:hRule="atLeast"/>
          <w:jc w:val="center"/>
        </w:trPr>
        <w:tc>
          <w:tcPr>
            <w:tcW w:w="672" w:type="dxa"/>
            <w:vMerge w:val="restart"/>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防护措施</w:t>
            </w: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工程控制</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密闭操作，注意通风。尽可能机械化、自动化。提供安全淋浴和洗眼设备。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36"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呼吸系统防护</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rFonts w:hint="eastAsia"/>
                <w:color w:val="auto"/>
                <w:kern w:val="0"/>
                <w:sz w:val="21"/>
                <w:szCs w:val="21"/>
              </w:rPr>
              <w:t>空气中浓度超标时，应该佩带防毒口罩。必要时佩带自给式呼吸器。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36"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眼睛防护</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rFonts w:hint="eastAsia"/>
                <w:color w:val="auto"/>
                <w:kern w:val="0"/>
                <w:sz w:val="21"/>
                <w:szCs w:val="21"/>
              </w:rPr>
              <w:t>戴化学安全防护眼镜</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6"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身体防护</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rFonts w:hint="eastAsia"/>
                <w:color w:val="auto"/>
                <w:kern w:val="0"/>
                <w:sz w:val="21"/>
                <w:szCs w:val="21"/>
              </w:rPr>
              <w:t>穿相应的防护服手防护</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1"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手防护</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rFonts w:hint="eastAsia"/>
                <w:color w:val="auto"/>
                <w:kern w:val="0"/>
                <w:sz w:val="21"/>
                <w:szCs w:val="21"/>
              </w:rPr>
              <w:t>戴防护手套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2" w:hRule="atLeast"/>
          <w:jc w:val="center"/>
        </w:trPr>
        <w:tc>
          <w:tcPr>
            <w:tcW w:w="672" w:type="dxa"/>
            <w:vMerge w:val="continue"/>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p>
        </w:tc>
        <w:tc>
          <w:tcPr>
            <w:tcW w:w="1366"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color w:val="auto"/>
                <w:kern w:val="0"/>
                <w:sz w:val="21"/>
                <w:szCs w:val="21"/>
              </w:rPr>
              <w:t>其他</w:t>
            </w:r>
          </w:p>
        </w:tc>
        <w:tc>
          <w:tcPr>
            <w:tcW w:w="7034" w:type="dxa"/>
            <w:gridSpan w:val="10"/>
            <w:tcBorders>
              <w:top w:val="outset" w:color="auto" w:sz="6" w:space="0"/>
              <w:left w:val="outset" w:color="auto" w:sz="6" w:space="0"/>
              <w:bottom w:val="outset" w:color="auto" w:sz="6" w:space="0"/>
              <w:right w:val="outset" w:color="auto" w:sz="6" w:space="0"/>
            </w:tcBorders>
            <w:vAlign w:val="center"/>
          </w:tcPr>
          <w:p>
            <w:pPr>
              <w:widowControl/>
              <w:adjustRightInd/>
              <w:snapToGrid/>
              <w:spacing w:line="105" w:lineRule="atLeast"/>
              <w:ind w:firstLine="0" w:firstLineChars="0"/>
              <w:jc w:val="left"/>
              <w:rPr>
                <w:color w:val="auto"/>
                <w:kern w:val="0"/>
                <w:sz w:val="21"/>
                <w:szCs w:val="21"/>
              </w:rPr>
            </w:pPr>
            <w:r>
              <w:rPr>
                <w:rFonts w:hint="eastAsia"/>
                <w:color w:val="auto"/>
                <w:kern w:val="0"/>
                <w:sz w:val="21"/>
                <w:szCs w:val="21"/>
              </w:rPr>
              <w:t>工作现场禁止吸烟、进食和饮水。工作后，淋浴更衣。单独存放被毒物污染的衣服，洗后再用。进行就业前和定期的体检。</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9" w:hRule="atLeast"/>
          <w:jc w:val="center"/>
        </w:trPr>
        <w:tc>
          <w:tcPr>
            <w:tcW w:w="672" w:type="dxa"/>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废弃处置方法</w:t>
            </w:r>
          </w:p>
        </w:tc>
        <w:tc>
          <w:tcPr>
            <w:tcW w:w="8400" w:type="dxa"/>
            <w:gridSpan w:val="11"/>
            <w:tcBorders>
              <w:top w:val="outset" w:color="auto" w:sz="6" w:space="0"/>
              <w:left w:val="outset" w:color="auto" w:sz="6" w:space="0"/>
              <w:bottom w:val="outset" w:color="auto" w:sz="6" w:space="0"/>
              <w:right w:val="outset" w:color="auto" w:sz="6" w:space="0"/>
            </w:tcBorders>
            <w:vAlign w:val="center"/>
          </w:tcPr>
          <w:p>
            <w:pPr>
              <w:widowControl/>
              <w:adjustRightInd/>
              <w:snapToGrid/>
              <w:spacing w:line="240" w:lineRule="auto"/>
              <w:ind w:firstLine="0" w:firstLineChars="0"/>
              <w:jc w:val="left"/>
              <w:rPr>
                <w:color w:val="auto"/>
                <w:kern w:val="0"/>
                <w:sz w:val="21"/>
                <w:szCs w:val="21"/>
              </w:rPr>
            </w:pPr>
            <w:r>
              <w:rPr>
                <w:color w:val="auto"/>
                <w:kern w:val="0"/>
                <w:sz w:val="21"/>
                <w:szCs w:val="21"/>
              </w:rPr>
              <w:t>根据国家和地方有关法规的要求处置。或与厂商或制造商联系，确定处置方法。</w:t>
            </w:r>
          </w:p>
        </w:tc>
      </w:tr>
    </w:tbl>
    <w:p>
      <w:pPr>
        <w:topLinePunct/>
        <w:ind w:firstLine="0" w:firstLineChars="0"/>
        <w:rPr>
          <w:rFonts w:ascii="宋体" w:hAnsi="宋体"/>
          <w:color w:val="auto"/>
          <w:sz w:val="15"/>
          <w:szCs w:val="15"/>
        </w:rPr>
      </w:pPr>
    </w:p>
    <w:p>
      <w:pPr>
        <w:ind w:firstLine="0" w:firstLineChars="0"/>
        <w:jc w:val="center"/>
        <w:rPr>
          <w:rFonts w:ascii="宋体" w:hAnsi="宋体" w:cs="宋体"/>
          <w:b/>
          <w:color w:val="auto"/>
          <w:sz w:val="24"/>
        </w:rPr>
      </w:pPr>
      <w:r>
        <w:rPr>
          <w:rFonts w:hint="eastAsia"/>
          <w:b/>
          <w:snapToGrid w:val="0"/>
          <w:color w:val="auto"/>
          <w:kern w:val="0"/>
          <w:sz w:val="24"/>
        </w:rPr>
        <w:t>F</w:t>
      </w:r>
      <w:r>
        <w:rPr>
          <w:rFonts w:hint="eastAsia" w:ascii="宋体" w:hAnsi="宋体" w:cs="宋体"/>
          <w:b/>
          <w:color w:val="auto"/>
          <w:sz w:val="24"/>
        </w:rPr>
        <w:t>表2.4-</w:t>
      </w:r>
      <w:r>
        <w:rPr>
          <w:rFonts w:ascii="宋体" w:hAnsi="宋体" w:cs="宋体"/>
          <w:b/>
          <w:color w:val="auto"/>
          <w:sz w:val="24"/>
        </w:rPr>
        <w:t>5</w:t>
      </w:r>
      <w:r>
        <w:rPr>
          <w:rFonts w:hint="eastAsia" w:ascii="宋体" w:hAnsi="宋体" w:cs="宋体"/>
          <w:b/>
          <w:color w:val="auto"/>
          <w:sz w:val="24"/>
        </w:rPr>
        <w:t xml:space="preserve">  柴油的理化性质及危险特性</w:t>
      </w:r>
    </w:p>
    <w:tbl>
      <w:tblPr>
        <w:tblStyle w:val="38"/>
        <w:tblW w:w="9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158"/>
        <w:gridCol w:w="1192"/>
        <w:gridCol w:w="232"/>
        <w:gridCol w:w="669"/>
        <w:gridCol w:w="75"/>
        <w:gridCol w:w="824"/>
        <w:gridCol w:w="779"/>
        <w:gridCol w:w="198"/>
        <w:gridCol w:w="1032"/>
        <w:gridCol w:w="432"/>
        <w:gridCol w:w="693"/>
        <w:gridCol w:w="11"/>
        <w:gridCol w:w="907"/>
        <w:gridCol w:w="195"/>
        <w:gridCol w:w="176"/>
        <w:gridCol w:w="156"/>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restart"/>
            <w:vAlign w:val="center"/>
          </w:tcPr>
          <w:p>
            <w:pPr>
              <w:adjustRightInd/>
              <w:snapToGrid/>
              <w:spacing w:line="240" w:lineRule="exact"/>
              <w:ind w:firstLine="0" w:firstLineChars="0"/>
              <w:jc w:val="center"/>
              <w:rPr>
                <w:color w:val="auto"/>
                <w:sz w:val="21"/>
                <w:szCs w:val="21"/>
              </w:rPr>
            </w:pPr>
            <w:r>
              <w:rPr>
                <w:color w:val="auto"/>
                <w:sz w:val="21"/>
                <w:szCs w:val="21"/>
              </w:rPr>
              <w:t>标</w:t>
            </w:r>
          </w:p>
          <w:p>
            <w:pPr>
              <w:adjustRightInd/>
              <w:snapToGrid/>
              <w:spacing w:line="240" w:lineRule="exact"/>
              <w:ind w:firstLine="0" w:firstLineChars="0"/>
              <w:jc w:val="center"/>
              <w:rPr>
                <w:color w:val="auto"/>
                <w:sz w:val="21"/>
                <w:szCs w:val="21"/>
              </w:rPr>
            </w:pPr>
            <w:r>
              <w:rPr>
                <w:color w:val="auto"/>
                <w:sz w:val="21"/>
                <w:szCs w:val="21"/>
              </w:rPr>
              <w:t>识</w:t>
            </w:r>
          </w:p>
        </w:tc>
        <w:tc>
          <w:tcPr>
            <w:tcW w:w="1350" w:type="dxa"/>
            <w:gridSpan w:val="2"/>
            <w:vAlign w:val="center"/>
          </w:tcPr>
          <w:p>
            <w:pPr>
              <w:adjustRightInd/>
              <w:snapToGrid/>
              <w:spacing w:line="240" w:lineRule="exact"/>
              <w:ind w:firstLine="0" w:firstLineChars="0"/>
              <w:jc w:val="center"/>
              <w:rPr>
                <w:color w:val="auto"/>
                <w:sz w:val="21"/>
                <w:szCs w:val="21"/>
              </w:rPr>
            </w:pPr>
            <w:r>
              <w:rPr>
                <w:color w:val="auto"/>
                <w:sz w:val="21"/>
                <w:szCs w:val="21"/>
              </w:rPr>
              <w:t>中文名</w:t>
            </w:r>
          </w:p>
        </w:tc>
        <w:tc>
          <w:tcPr>
            <w:tcW w:w="901" w:type="dxa"/>
            <w:gridSpan w:val="2"/>
            <w:vAlign w:val="center"/>
          </w:tcPr>
          <w:p>
            <w:pPr>
              <w:adjustRightInd/>
              <w:snapToGrid/>
              <w:spacing w:line="240" w:lineRule="exact"/>
              <w:ind w:firstLine="0" w:firstLineChars="0"/>
              <w:jc w:val="center"/>
              <w:rPr>
                <w:color w:val="auto"/>
                <w:sz w:val="21"/>
                <w:szCs w:val="21"/>
              </w:rPr>
            </w:pPr>
            <w:r>
              <w:rPr>
                <w:color w:val="auto"/>
                <w:sz w:val="21"/>
                <w:szCs w:val="21"/>
              </w:rPr>
              <w:t>柴油</w:t>
            </w:r>
          </w:p>
        </w:tc>
        <w:tc>
          <w:tcPr>
            <w:tcW w:w="899" w:type="dxa"/>
            <w:gridSpan w:val="2"/>
            <w:vAlign w:val="center"/>
          </w:tcPr>
          <w:p>
            <w:pPr>
              <w:adjustRightInd/>
              <w:snapToGrid/>
              <w:spacing w:line="240" w:lineRule="exact"/>
              <w:ind w:firstLine="0" w:firstLineChars="0"/>
              <w:jc w:val="center"/>
              <w:rPr>
                <w:color w:val="auto"/>
                <w:sz w:val="21"/>
                <w:szCs w:val="21"/>
              </w:rPr>
            </w:pPr>
            <w:r>
              <w:rPr>
                <w:color w:val="auto"/>
                <w:sz w:val="21"/>
                <w:szCs w:val="21"/>
              </w:rPr>
              <w:t>英文名</w:t>
            </w:r>
          </w:p>
        </w:tc>
        <w:tc>
          <w:tcPr>
            <w:tcW w:w="2441" w:type="dxa"/>
            <w:gridSpan w:val="4"/>
            <w:vAlign w:val="center"/>
          </w:tcPr>
          <w:p>
            <w:pPr>
              <w:adjustRightInd/>
              <w:snapToGrid/>
              <w:spacing w:line="240" w:lineRule="exact"/>
              <w:ind w:firstLine="0" w:firstLineChars="0"/>
              <w:jc w:val="center"/>
              <w:rPr>
                <w:color w:val="auto"/>
                <w:sz w:val="21"/>
                <w:szCs w:val="21"/>
              </w:rPr>
            </w:pPr>
            <w:r>
              <w:rPr>
                <w:color w:val="auto"/>
                <w:sz w:val="21"/>
                <w:szCs w:val="21"/>
              </w:rPr>
              <w:t>Diesel oil; Diesel fuel</w:t>
            </w:r>
          </w:p>
        </w:tc>
        <w:tc>
          <w:tcPr>
            <w:tcW w:w="1806" w:type="dxa"/>
            <w:gridSpan w:val="4"/>
            <w:vAlign w:val="center"/>
          </w:tcPr>
          <w:p>
            <w:pPr>
              <w:adjustRightInd/>
              <w:snapToGrid/>
              <w:spacing w:line="240" w:lineRule="exact"/>
              <w:ind w:firstLine="0" w:firstLineChars="0"/>
              <w:jc w:val="center"/>
              <w:rPr>
                <w:color w:val="auto"/>
                <w:sz w:val="21"/>
                <w:szCs w:val="21"/>
              </w:rPr>
            </w:pPr>
            <w:r>
              <w:rPr>
                <w:color w:val="auto"/>
                <w:sz w:val="21"/>
                <w:szCs w:val="21"/>
              </w:rPr>
              <w:t>危险货物编号</w:t>
            </w:r>
          </w:p>
        </w:tc>
        <w:tc>
          <w:tcPr>
            <w:tcW w:w="1565" w:type="dxa"/>
            <w:gridSpan w:val="3"/>
            <w:vAlign w:val="center"/>
          </w:tcPr>
          <w:p>
            <w:pPr>
              <w:adjustRightInd/>
              <w:snapToGrid/>
              <w:spacing w:line="240" w:lineRule="exact"/>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vAlign w:val="center"/>
          </w:tcPr>
          <w:p>
            <w:pPr>
              <w:adjustRightInd/>
              <w:snapToGrid/>
              <w:spacing w:line="240" w:lineRule="exact"/>
              <w:ind w:firstLine="0" w:firstLineChars="0"/>
              <w:jc w:val="center"/>
              <w:rPr>
                <w:color w:val="auto"/>
                <w:sz w:val="21"/>
                <w:szCs w:val="21"/>
              </w:rPr>
            </w:pPr>
          </w:p>
        </w:tc>
        <w:tc>
          <w:tcPr>
            <w:tcW w:w="1350" w:type="dxa"/>
            <w:gridSpan w:val="2"/>
            <w:vAlign w:val="center"/>
          </w:tcPr>
          <w:p>
            <w:pPr>
              <w:adjustRightInd/>
              <w:snapToGrid/>
              <w:spacing w:line="240" w:lineRule="exact"/>
              <w:ind w:firstLine="0" w:firstLineChars="0"/>
              <w:jc w:val="center"/>
              <w:rPr>
                <w:color w:val="auto"/>
                <w:sz w:val="21"/>
                <w:szCs w:val="21"/>
              </w:rPr>
            </w:pPr>
            <w:r>
              <w:rPr>
                <w:color w:val="auto"/>
                <w:sz w:val="21"/>
                <w:szCs w:val="21"/>
              </w:rPr>
              <w:t>分子式</w:t>
            </w:r>
          </w:p>
        </w:tc>
        <w:tc>
          <w:tcPr>
            <w:tcW w:w="901" w:type="dxa"/>
            <w:gridSpan w:val="2"/>
            <w:vAlign w:val="center"/>
          </w:tcPr>
          <w:p>
            <w:pPr>
              <w:adjustRightInd/>
              <w:snapToGrid/>
              <w:spacing w:line="240" w:lineRule="exact"/>
              <w:ind w:firstLine="0" w:firstLineChars="0"/>
              <w:jc w:val="center"/>
              <w:rPr>
                <w:color w:val="auto"/>
                <w:sz w:val="21"/>
                <w:szCs w:val="21"/>
              </w:rPr>
            </w:pPr>
          </w:p>
        </w:tc>
        <w:tc>
          <w:tcPr>
            <w:tcW w:w="899" w:type="dxa"/>
            <w:gridSpan w:val="2"/>
            <w:vAlign w:val="center"/>
          </w:tcPr>
          <w:p>
            <w:pPr>
              <w:adjustRightInd/>
              <w:snapToGrid/>
              <w:spacing w:line="240" w:lineRule="exact"/>
              <w:ind w:firstLine="0" w:firstLineChars="0"/>
              <w:jc w:val="center"/>
              <w:rPr>
                <w:color w:val="auto"/>
                <w:sz w:val="21"/>
                <w:szCs w:val="21"/>
              </w:rPr>
            </w:pPr>
            <w:r>
              <w:rPr>
                <w:color w:val="auto"/>
                <w:sz w:val="21"/>
                <w:szCs w:val="21"/>
              </w:rPr>
              <w:t>分子量</w:t>
            </w:r>
          </w:p>
        </w:tc>
        <w:tc>
          <w:tcPr>
            <w:tcW w:w="779" w:type="dxa"/>
            <w:vAlign w:val="center"/>
          </w:tcPr>
          <w:p>
            <w:pPr>
              <w:adjustRightInd/>
              <w:snapToGrid/>
              <w:spacing w:line="240" w:lineRule="exact"/>
              <w:ind w:firstLine="0" w:firstLineChars="0"/>
              <w:jc w:val="center"/>
              <w:rPr>
                <w:color w:val="auto"/>
                <w:sz w:val="21"/>
                <w:szCs w:val="21"/>
              </w:rPr>
            </w:pPr>
          </w:p>
        </w:tc>
        <w:tc>
          <w:tcPr>
            <w:tcW w:w="166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UN编号</w:t>
            </w:r>
          </w:p>
        </w:tc>
        <w:tc>
          <w:tcPr>
            <w:tcW w:w="693" w:type="dxa"/>
            <w:vAlign w:val="center"/>
          </w:tcPr>
          <w:p>
            <w:pPr>
              <w:adjustRightInd/>
              <w:snapToGrid/>
              <w:spacing w:line="240" w:lineRule="exact"/>
              <w:ind w:firstLine="0" w:firstLineChars="0"/>
              <w:jc w:val="center"/>
              <w:rPr>
                <w:color w:val="auto"/>
                <w:sz w:val="21"/>
                <w:szCs w:val="21"/>
              </w:rPr>
            </w:pPr>
          </w:p>
        </w:tc>
        <w:tc>
          <w:tcPr>
            <w:tcW w:w="1113" w:type="dxa"/>
            <w:gridSpan w:val="3"/>
            <w:vAlign w:val="center"/>
          </w:tcPr>
          <w:p>
            <w:pPr>
              <w:adjustRightInd/>
              <w:snapToGrid/>
              <w:spacing w:line="240" w:lineRule="exact"/>
              <w:ind w:firstLine="0" w:firstLineChars="0"/>
              <w:jc w:val="center"/>
              <w:rPr>
                <w:color w:val="auto"/>
                <w:sz w:val="21"/>
                <w:szCs w:val="21"/>
              </w:rPr>
            </w:pPr>
            <w:r>
              <w:rPr>
                <w:color w:val="auto"/>
                <w:sz w:val="21"/>
                <w:szCs w:val="21"/>
              </w:rPr>
              <w:t>CAS编号</w:t>
            </w:r>
          </w:p>
        </w:tc>
        <w:tc>
          <w:tcPr>
            <w:tcW w:w="1565" w:type="dxa"/>
            <w:gridSpan w:val="3"/>
            <w:vAlign w:val="center"/>
          </w:tcPr>
          <w:p>
            <w:pPr>
              <w:adjustRightInd/>
              <w:snapToGrid/>
              <w:spacing w:line="240" w:lineRule="exact"/>
              <w:ind w:firstLine="0" w:firstLineChars="0"/>
              <w:jc w:val="center"/>
              <w:rPr>
                <w:color w:val="auto"/>
                <w:sz w:val="21"/>
                <w:szCs w:val="21"/>
              </w:rPr>
            </w:pPr>
            <w:r>
              <w:rPr>
                <w:color w:val="auto"/>
                <w:sz w:val="21"/>
                <w:szCs w:val="21"/>
              </w:rPr>
              <w:t>68334-30-5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350" w:type="dxa"/>
            <w:gridSpan w:val="2"/>
            <w:vAlign w:val="center"/>
          </w:tcPr>
          <w:p>
            <w:pPr>
              <w:adjustRightInd/>
              <w:snapToGrid/>
              <w:spacing w:line="240" w:lineRule="exact"/>
              <w:ind w:firstLine="0" w:firstLineChars="0"/>
              <w:jc w:val="center"/>
              <w:rPr>
                <w:color w:val="auto"/>
                <w:sz w:val="21"/>
                <w:szCs w:val="21"/>
              </w:rPr>
            </w:pPr>
            <w:r>
              <w:rPr>
                <w:color w:val="auto"/>
                <w:sz w:val="21"/>
                <w:szCs w:val="21"/>
              </w:rPr>
              <w:t>危险类别</w:t>
            </w:r>
          </w:p>
        </w:tc>
        <w:tc>
          <w:tcPr>
            <w:tcW w:w="7612" w:type="dxa"/>
            <w:gridSpan w:val="15"/>
          </w:tcPr>
          <w:p>
            <w:pPr>
              <w:adjustRightInd/>
              <w:snapToGrid/>
              <w:spacing w:line="240" w:lineRule="exact"/>
              <w:ind w:firstLine="0" w:firstLineChars="0"/>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restart"/>
            <w:vAlign w:val="center"/>
          </w:tcPr>
          <w:p>
            <w:pPr>
              <w:adjustRightInd/>
              <w:snapToGrid/>
              <w:spacing w:line="240" w:lineRule="exact"/>
              <w:ind w:firstLine="0" w:firstLineChars="0"/>
              <w:jc w:val="center"/>
              <w:rPr>
                <w:color w:val="auto"/>
                <w:sz w:val="21"/>
                <w:szCs w:val="21"/>
              </w:rPr>
            </w:pPr>
            <w:r>
              <w:rPr>
                <w:color w:val="auto"/>
                <w:sz w:val="21"/>
                <w:szCs w:val="21"/>
              </w:rPr>
              <w:t>理</w:t>
            </w:r>
          </w:p>
          <w:p>
            <w:pPr>
              <w:adjustRightInd/>
              <w:snapToGrid/>
              <w:spacing w:line="240" w:lineRule="exact"/>
              <w:ind w:firstLine="0" w:firstLineChars="0"/>
              <w:jc w:val="center"/>
              <w:rPr>
                <w:color w:val="auto"/>
                <w:sz w:val="21"/>
                <w:szCs w:val="21"/>
              </w:rPr>
            </w:pPr>
            <w:r>
              <w:rPr>
                <w:color w:val="auto"/>
                <w:sz w:val="21"/>
                <w:szCs w:val="21"/>
              </w:rPr>
              <w:t>化</w:t>
            </w:r>
          </w:p>
          <w:p>
            <w:pPr>
              <w:adjustRightInd/>
              <w:snapToGrid/>
              <w:spacing w:line="240" w:lineRule="exact"/>
              <w:ind w:firstLine="0" w:firstLineChars="0"/>
              <w:jc w:val="center"/>
              <w:rPr>
                <w:color w:val="auto"/>
                <w:sz w:val="21"/>
                <w:szCs w:val="21"/>
              </w:rPr>
            </w:pPr>
            <w:r>
              <w:rPr>
                <w:color w:val="auto"/>
                <w:sz w:val="21"/>
                <w:szCs w:val="21"/>
              </w:rPr>
              <w:t>性</w:t>
            </w:r>
          </w:p>
          <w:p>
            <w:pPr>
              <w:adjustRightInd/>
              <w:snapToGrid/>
              <w:spacing w:line="240" w:lineRule="exact"/>
              <w:ind w:firstLine="0" w:firstLineChars="0"/>
              <w:jc w:val="center"/>
              <w:rPr>
                <w:color w:val="auto"/>
                <w:sz w:val="21"/>
                <w:szCs w:val="21"/>
              </w:rPr>
            </w:pPr>
            <w:r>
              <w:rPr>
                <w:color w:val="auto"/>
                <w:sz w:val="21"/>
                <w:szCs w:val="21"/>
              </w:rPr>
              <w:t>质</w:t>
            </w:r>
          </w:p>
        </w:tc>
        <w:tc>
          <w:tcPr>
            <w:tcW w:w="1350" w:type="dxa"/>
            <w:gridSpan w:val="2"/>
            <w:vAlign w:val="center"/>
          </w:tcPr>
          <w:p>
            <w:pPr>
              <w:adjustRightInd/>
              <w:snapToGrid/>
              <w:spacing w:line="240" w:lineRule="exact"/>
              <w:ind w:firstLine="0" w:firstLineChars="0"/>
              <w:jc w:val="center"/>
              <w:rPr>
                <w:color w:val="auto"/>
                <w:sz w:val="21"/>
                <w:szCs w:val="21"/>
              </w:rPr>
            </w:pPr>
            <w:r>
              <w:rPr>
                <w:color w:val="auto"/>
                <w:sz w:val="21"/>
                <w:szCs w:val="21"/>
              </w:rPr>
              <w:t>性  状</w:t>
            </w:r>
          </w:p>
        </w:tc>
        <w:tc>
          <w:tcPr>
            <w:tcW w:w="7612" w:type="dxa"/>
            <w:gridSpan w:val="15"/>
          </w:tcPr>
          <w:p>
            <w:pPr>
              <w:adjustRightInd/>
              <w:snapToGrid/>
              <w:spacing w:line="240" w:lineRule="exact"/>
              <w:ind w:firstLine="0" w:firstLineChars="0"/>
              <w:rPr>
                <w:color w:val="auto"/>
                <w:sz w:val="21"/>
                <w:szCs w:val="21"/>
              </w:rPr>
            </w:pPr>
            <w:r>
              <w:rPr>
                <w:color w:val="auto"/>
                <w:sz w:val="21"/>
                <w:szCs w:val="21"/>
              </w:rPr>
              <w:t>稍有粘性的棕色液体。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熔  点（</w:t>
            </w:r>
            <w:r>
              <w:rPr>
                <w:rFonts w:hint="eastAsia" w:ascii="宋体" w:hAnsi="宋体" w:cs="宋体"/>
                <w:color w:val="auto"/>
                <w:sz w:val="21"/>
                <w:szCs w:val="21"/>
              </w:rPr>
              <w:t>℃</w:t>
            </w:r>
            <w:r>
              <w:rPr>
                <w:color w:val="auto"/>
                <w:sz w:val="21"/>
                <w:szCs w:val="21"/>
              </w:rPr>
              <w:t>）</w:t>
            </w:r>
          </w:p>
        </w:tc>
        <w:tc>
          <w:tcPr>
            <w:tcW w:w="2347" w:type="dxa"/>
            <w:gridSpan w:val="4"/>
            <w:vAlign w:val="center"/>
          </w:tcPr>
          <w:p>
            <w:pPr>
              <w:adjustRightInd/>
              <w:snapToGrid/>
              <w:spacing w:line="240" w:lineRule="exact"/>
              <w:ind w:firstLine="0" w:firstLineChars="0"/>
              <w:jc w:val="center"/>
              <w:rPr>
                <w:color w:val="auto"/>
                <w:sz w:val="21"/>
                <w:szCs w:val="21"/>
              </w:rPr>
            </w:pPr>
            <w:r>
              <w:rPr>
                <w:color w:val="auto"/>
                <w:sz w:val="21"/>
                <w:szCs w:val="21"/>
              </w:rPr>
              <w:t>-18</w:t>
            </w:r>
          </w:p>
        </w:tc>
        <w:tc>
          <w:tcPr>
            <w:tcW w:w="3273" w:type="dxa"/>
            <w:gridSpan w:val="6"/>
            <w:vAlign w:val="center"/>
          </w:tcPr>
          <w:p>
            <w:pPr>
              <w:adjustRightInd/>
              <w:snapToGrid/>
              <w:spacing w:line="240" w:lineRule="exact"/>
              <w:ind w:firstLine="0" w:firstLineChars="0"/>
              <w:jc w:val="center"/>
              <w:rPr>
                <w:color w:val="auto"/>
                <w:sz w:val="21"/>
                <w:szCs w:val="21"/>
              </w:rPr>
            </w:pPr>
            <w:r>
              <w:rPr>
                <w:color w:val="auto"/>
                <w:sz w:val="21"/>
                <w:szCs w:val="21"/>
              </w:rPr>
              <w:t>临界压力（Mpa）</w:t>
            </w:r>
          </w:p>
        </w:tc>
        <w:tc>
          <w:tcPr>
            <w:tcW w:w="1760" w:type="dxa"/>
            <w:gridSpan w:val="4"/>
            <w:vAlign w:val="center"/>
          </w:tcPr>
          <w:p>
            <w:pPr>
              <w:adjustRightInd/>
              <w:snapToGrid/>
              <w:spacing w:line="240" w:lineRule="exact"/>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沸  点（</w:t>
            </w:r>
            <w:r>
              <w:rPr>
                <w:rFonts w:hint="eastAsia" w:ascii="宋体" w:hAnsi="宋体" w:cs="宋体"/>
                <w:color w:val="auto"/>
                <w:sz w:val="21"/>
                <w:szCs w:val="21"/>
              </w:rPr>
              <w:t>℃</w:t>
            </w:r>
            <w:r>
              <w:rPr>
                <w:color w:val="auto"/>
                <w:sz w:val="21"/>
                <w:szCs w:val="21"/>
              </w:rPr>
              <w:t>）</w:t>
            </w:r>
          </w:p>
        </w:tc>
        <w:tc>
          <w:tcPr>
            <w:tcW w:w="2347" w:type="dxa"/>
            <w:gridSpan w:val="4"/>
            <w:vAlign w:val="center"/>
          </w:tcPr>
          <w:p>
            <w:pPr>
              <w:adjustRightInd/>
              <w:snapToGrid/>
              <w:spacing w:line="240" w:lineRule="exact"/>
              <w:ind w:firstLine="0" w:firstLineChars="0"/>
              <w:jc w:val="center"/>
              <w:rPr>
                <w:color w:val="auto"/>
                <w:sz w:val="21"/>
                <w:szCs w:val="21"/>
              </w:rPr>
            </w:pPr>
            <w:r>
              <w:rPr>
                <w:color w:val="auto"/>
                <w:sz w:val="21"/>
                <w:szCs w:val="21"/>
              </w:rPr>
              <w:t>282～338</w:t>
            </w:r>
          </w:p>
        </w:tc>
        <w:tc>
          <w:tcPr>
            <w:tcW w:w="3273" w:type="dxa"/>
            <w:gridSpan w:val="6"/>
            <w:vAlign w:val="center"/>
          </w:tcPr>
          <w:p>
            <w:pPr>
              <w:adjustRightInd/>
              <w:snapToGrid/>
              <w:spacing w:line="240" w:lineRule="exact"/>
              <w:ind w:firstLine="0" w:firstLineChars="0"/>
              <w:jc w:val="center"/>
              <w:rPr>
                <w:color w:val="auto"/>
                <w:sz w:val="21"/>
                <w:szCs w:val="21"/>
              </w:rPr>
            </w:pPr>
            <w:r>
              <w:rPr>
                <w:color w:val="auto"/>
                <w:sz w:val="21"/>
                <w:szCs w:val="21"/>
              </w:rPr>
              <w:t>相对密度（水＝1）</w:t>
            </w:r>
          </w:p>
        </w:tc>
        <w:tc>
          <w:tcPr>
            <w:tcW w:w="1760" w:type="dxa"/>
            <w:gridSpan w:val="4"/>
            <w:vAlign w:val="center"/>
          </w:tcPr>
          <w:p>
            <w:pPr>
              <w:adjustRightInd/>
              <w:snapToGrid/>
              <w:spacing w:line="240" w:lineRule="exact"/>
              <w:ind w:firstLine="0" w:firstLineChars="0"/>
              <w:jc w:val="center"/>
              <w:rPr>
                <w:color w:val="auto"/>
                <w:sz w:val="21"/>
                <w:szCs w:val="21"/>
              </w:rPr>
            </w:pPr>
            <w:r>
              <w:rPr>
                <w:color w:val="auto"/>
                <w:sz w:val="21"/>
                <w:szCs w:val="21"/>
              </w:rPr>
              <w:t>0.87～0.9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2326" w:type="dxa"/>
            <w:gridSpan w:val="5"/>
            <w:vAlign w:val="center"/>
          </w:tcPr>
          <w:p>
            <w:pPr>
              <w:adjustRightInd/>
              <w:snapToGrid/>
              <w:spacing w:line="240" w:lineRule="exact"/>
              <w:ind w:firstLine="0" w:firstLineChars="0"/>
              <w:jc w:val="center"/>
              <w:rPr>
                <w:color w:val="auto"/>
                <w:sz w:val="21"/>
                <w:szCs w:val="21"/>
              </w:rPr>
            </w:pPr>
            <w:r>
              <w:rPr>
                <w:color w:val="auto"/>
                <w:sz w:val="21"/>
                <w:szCs w:val="21"/>
              </w:rPr>
              <w:t>饱和蒸汽压（kpa）</w:t>
            </w:r>
          </w:p>
        </w:tc>
        <w:tc>
          <w:tcPr>
            <w:tcW w:w="1603" w:type="dxa"/>
            <w:gridSpan w:val="2"/>
            <w:vAlign w:val="center"/>
          </w:tcPr>
          <w:p>
            <w:pPr>
              <w:adjustRightInd/>
              <w:snapToGrid/>
              <w:spacing w:line="240" w:lineRule="exact"/>
              <w:ind w:firstLine="0" w:firstLineChars="0"/>
              <w:jc w:val="center"/>
              <w:rPr>
                <w:color w:val="auto"/>
                <w:sz w:val="21"/>
                <w:szCs w:val="21"/>
              </w:rPr>
            </w:pPr>
            <w:r>
              <w:rPr>
                <w:color w:val="auto"/>
                <w:sz w:val="21"/>
                <w:szCs w:val="21"/>
              </w:rPr>
              <w:t>无资料</w:t>
            </w:r>
          </w:p>
        </w:tc>
        <w:tc>
          <w:tcPr>
            <w:tcW w:w="3273" w:type="dxa"/>
            <w:gridSpan w:val="6"/>
            <w:vAlign w:val="center"/>
          </w:tcPr>
          <w:p>
            <w:pPr>
              <w:adjustRightInd/>
              <w:snapToGrid/>
              <w:spacing w:line="240" w:lineRule="exact"/>
              <w:ind w:firstLine="0" w:firstLineChars="0"/>
              <w:jc w:val="center"/>
              <w:rPr>
                <w:color w:val="auto"/>
                <w:sz w:val="21"/>
                <w:szCs w:val="21"/>
              </w:rPr>
            </w:pPr>
            <w:r>
              <w:rPr>
                <w:color w:val="auto"/>
                <w:sz w:val="21"/>
                <w:szCs w:val="21"/>
              </w:rPr>
              <w:t>相对密度（空气＝1）</w:t>
            </w:r>
          </w:p>
        </w:tc>
        <w:tc>
          <w:tcPr>
            <w:tcW w:w="1760" w:type="dxa"/>
            <w:gridSpan w:val="4"/>
            <w:vAlign w:val="center"/>
          </w:tcPr>
          <w:p>
            <w:pPr>
              <w:adjustRightInd/>
              <w:snapToGrid/>
              <w:spacing w:line="240" w:lineRule="exact"/>
              <w:ind w:firstLine="0" w:firstLineChars="0"/>
              <w:jc w:val="center"/>
              <w:rPr>
                <w:color w:val="auto"/>
                <w:sz w:val="21"/>
                <w:szCs w:val="21"/>
              </w:rPr>
            </w:pPr>
            <w:r>
              <w:rPr>
                <w:color w:val="auto"/>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临界温度（</w:t>
            </w:r>
            <w:r>
              <w:rPr>
                <w:rFonts w:hint="eastAsia" w:ascii="宋体" w:hAnsi="宋体" w:cs="宋体"/>
                <w:color w:val="auto"/>
                <w:sz w:val="21"/>
                <w:szCs w:val="21"/>
              </w:rPr>
              <w:t>℃</w:t>
            </w:r>
            <w:r>
              <w:rPr>
                <w:color w:val="auto"/>
                <w:sz w:val="21"/>
                <w:szCs w:val="21"/>
              </w:rPr>
              <w:t>）</w:t>
            </w:r>
          </w:p>
        </w:tc>
        <w:tc>
          <w:tcPr>
            <w:tcW w:w="2347" w:type="dxa"/>
            <w:gridSpan w:val="4"/>
            <w:vAlign w:val="center"/>
          </w:tcPr>
          <w:p>
            <w:pPr>
              <w:adjustRightInd/>
              <w:snapToGrid/>
              <w:spacing w:line="240" w:lineRule="exact"/>
              <w:ind w:firstLine="0" w:firstLineChars="0"/>
              <w:jc w:val="center"/>
              <w:rPr>
                <w:color w:val="auto"/>
                <w:sz w:val="21"/>
                <w:szCs w:val="21"/>
              </w:rPr>
            </w:pPr>
          </w:p>
        </w:tc>
        <w:tc>
          <w:tcPr>
            <w:tcW w:w="3273" w:type="dxa"/>
            <w:gridSpan w:val="6"/>
            <w:vAlign w:val="center"/>
          </w:tcPr>
          <w:p>
            <w:pPr>
              <w:adjustRightInd/>
              <w:snapToGrid/>
              <w:spacing w:line="240" w:lineRule="exact"/>
              <w:ind w:firstLine="0" w:firstLineChars="0"/>
              <w:jc w:val="center"/>
              <w:rPr>
                <w:color w:val="auto"/>
                <w:sz w:val="21"/>
                <w:szCs w:val="21"/>
              </w:rPr>
            </w:pPr>
            <w:r>
              <w:rPr>
                <w:color w:val="auto"/>
                <w:sz w:val="21"/>
                <w:szCs w:val="21"/>
              </w:rPr>
              <w:t>燃烧热（KJ·mol</w:t>
            </w:r>
            <w:r>
              <w:rPr>
                <w:color w:val="auto"/>
                <w:sz w:val="21"/>
                <w:szCs w:val="21"/>
                <w:vertAlign w:val="superscript"/>
              </w:rPr>
              <w:t>-1</w:t>
            </w:r>
            <w:r>
              <w:rPr>
                <w:color w:val="auto"/>
                <w:sz w:val="21"/>
                <w:szCs w:val="21"/>
              </w:rPr>
              <w:t>）</w:t>
            </w:r>
          </w:p>
        </w:tc>
        <w:tc>
          <w:tcPr>
            <w:tcW w:w="1760" w:type="dxa"/>
            <w:gridSpan w:val="4"/>
            <w:vAlign w:val="center"/>
          </w:tcPr>
          <w:p>
            <w:pPr>
              <w:adjustRightInd/>
              <w:snapToGrid/>
              <w:spacing w:line="240" w:lineRule="exact"/>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溶  解  性</w:t>
            </w:r>
          </w:p>
        </w:tc>
        <w:tc>
          <w:tcPr>
            <w:tcW w:w="7380" w:type="dxa"/>
            <w:gridSpan w:val="14"/>
          </w:tcPr>
          <w:p>
            <w:pPr>
              <w:adjustRightInd/>
              <w:snapToGrid/>
              <w:spacing w:line="240" w:lineRule="exact"/>
              <w:ind w:firstLine="0" w:firstLineChars="0"/>
              <w:rPr>
                <w:color w:val="auto"/>
                <w:sz w:val="21"/>
                <w:szCs w:val="21"/>
              </w:rPr>
            </w:pPr>
            <w:r>
              <w:rPr>
                <w:color w:val="auto"/>
                <w:sz w:val="21"/>
                <w:szCs w:val="21"/>
              </w:rPr>
              <w:t>不溶于水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restart"/>
            <w:vAlign w:val="center"/>
          </w:tcPr>
          <w:p>
            <w:pPr>
              <w:adjustRightInd/>
              <w:snapToGrid/>
              <w:spacing w:line="240" w:lineRule="exact"/>
              <w:ind w:firstLine="0" w:firstLineChars="0"/>
              <w:jc w:val="center"/>
              <w:rPr>
                <w:color w:val="auto"/>
                <w:sz w:val="21"/>
                <w:szCs w:val="21"/>
              </w:rPr>
            </w:pPr>
            <w:r>
              <w:rPr>
                <w:color w:val="auto"/>
                <w:sz w:val="21"/>
                <w:szCs w:val="21"/>
              </w:rPr>
              <w:t>燃</w:t>
            </w:r>
          </w:p>
          <w:p>
            <w:pPr>
              <w:adjustRightInd/>
              <w:snapToGrid/>
              <w:spacing w:line="240" w:lineRule="exact"/>
              <w:ind w:firstLine="0" w:firstLineChars="0"/>
              <w:jc w:val="center"/>
              <w:rPr>
                <w:color w:val="auto"/>
                <w:sz w:val="21"/>
                <w:szCs w:val="21"/>
              </w:rPr>
            </w:pPr>
            <w:r>
              <w:rPr>
                <w:color w:val="auto"/>
                <w:sz w:val="21"/>
                <w:szCs w:val="21"/>
              </w:rPr>
              <w:t>烧</w:t>
            </w:r>
          </w:p>
          <w:p>
            <w:pPr>
              <w:adjustRightInd/>
              <w:snapToGrid/>
              <w:spacing w:line="240" w:lineRule="exact"/>
              <w:ind w:firstLine="0" w:firstLineChars="0"/>
              <w:jc w:val="center"/>
              <w:rPr>
                <w:color w:val="auto"/>
                <w:sz w:val="21"/>
                <w:szCs w:val="21"/>
              </w:rPr>
            </w:pPr>
            <w:r>
              <w:rPr>
                <w:color w:val="auto"/>
                <w:sz w:val="21"/>
                <w:szCs w:val="21"/>
              </w:rPr>
              <w:t>爆</w:t>
            </w:r>
          </w:p>
          <w:p>
            <w:pPr>
              <w:adjustRightInd/>
              <w:snapToGrid/>
              <w:spacing w:line="240" w:lineRule="exact"/>
              <w:ind w:firstLine="0" w:firstLineChars="0"/>
              <w:jc w:val="center"/>
              <w:rPr>
                <w:color w:val="auto"/>
                <w:sz w:val="21"/>
                <w:szCs w:val="21"/>
              </w:rPr>
            </w:pPr>
            <w:r>
              <w:rPr>
                <w:color w:val="auto"/>
                <w:sz w:val="21"/>
                <w:szCs w:val="21"/>
              </w:rPr>
              <w:t>炸</w:t>
            </w:r>
          </w:p>
          <w:p>
            <w:pPr>
              <w:adjustRightInd/>
              <w:snapToGrid/>
              <w:spacing w:line="240" w:lineRule="exact"/>
              <w:ind w:firstLine="0" w:firstLineChars="0"/>
              <w:jc w:val="center"/>
              <w:rPr>
                <w:color w:val="auto"/>
                <w:sz w:val="21"/>
                <w:szCs w:val="21"/>
              </w:rPr>
            </w:pPr>
            <w:r>
              <w:rPr>
                <w:color w:val="auto"/>
                <w:sz w:val="21"/>
                <w:szCs w:val="21"/>
              </w:rPr>
              <w:t>危</w:t>
            </w:r>
          </w:p>
          <w:p>
            <w:pPr>
              <w:adjustRightInd/>
              <w:snapToGrid/>
              <w:spacing w:line="240" w:lineRule="exact"/>
              <w:ind w:firstLine="0" w:firstLineChars="0"/>
              <w:jc w:val="center"/>
              <w:rPr>
                <w:color w:val="auto"/>
                <w:sz w:val="21"/>
                <w:szCs w:val="21"/>
              </w:rPr>
            </w:pPr>
            <w:r>
              <w:rPr>
                <w:color w:val="auto"/>
                <w:sz w:val="21"/>
                <w:szCs w:val="21"/>
              </w:rPr>
              <w:t>险</w:t>
            </w:r>
          </w:p>
          <w:p>
            <w:pPr>
              <w:adjustRightInd/>
              <w:snapToGrid/>
              <w:spacing w:line="240" w:lineRule="exact"/>
              <w:ind w:firstLine="0" w:firstLineChars="0"/>
              <w:jc w:val="center"/>
              <w:rPr>
                <w:color w:val="auto"/>
                <w:sz w:val="21"/>
                <w:szCs w:val="21"/>
              </w:rPr>
            </w:pPr>
            <w:r>
              <w:rPr>
                <w:color w:val="auto"/>
                <w:sz w:val="21"/>
                <w:szCs w:val="21"/>
              </w:rPr>
              <w:t>性</w:t>
            </w: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燃  烧  性</w:t>
            </w:r>
          </w:p>
        </w:tc>
        <w:tc>
          <w:tcPr>
            <w:tcW w:w="2347" w:type="dxa"/>
            <w:gridSpan w:val="4"/>
            <w:vAlign w:val="center"/>
          </w:tcPr>
          <w:p>
            <w:pPr>
              <w:adjustRightInd/>
              <w:snapToGrid/>
              <w:spacing w:line="240" w:lineRule="exact"/>
              <w:ind w:firstLine="0" w:firstLineChars="0"/>
              <w:jc w:val="center"/>
              <w:rPr>
                <w:color w:val="auto"/>
                <w:sz w:val="21"/>
                <w:szCs w:val="21"/>
              </w:rPr>
            </w:pPr>
            <w:r>
              <w:rPr>
                <w:color w:val="auto"/>
                <w:sz w:val="21"/>
                <w:szCs w:val="21"/>
              </w:rPr>
              <w:t>可燃</w:t>
            </w:r>
          </w:p>
        </w:tc>
        <w:tc>
          <w:tcPr>
            <w:tcW w:w="3273" w:type="dxa"/>
            <w:gridSpan w:val="6"/>
            <w:vAlign w:val="center"/>
          </w:tcPr>
          <w:p>
            <w:pPr>
              <w:adjustRightInd/>
              <w:snapToGrid/>
              <w:spacing w:line="240" w:lineRule="exact"/>
              <w:ind w:firstLine="0" w:firstLineChars="0"/>
              <w:jc w:val="center"/>
              <w:rPr>
                <w:color w:val="auto"/>
                <w:sz w:val="21"/>
                <w:szCs w:val="21"/>
              </w:rPr>
            </w:pPr>
            <w:r>
              <w:rPr>
                <w:color w:val="auto"/>
                <w:sz w:val="21"/>
                <w:szCs w:val="21"/>
              </w:rPr>
              <w:t>闪点（</w:t>
            </w:r>
            <w:r>
              <w:rPr>
                <w:rFonts w:hint="eastAsia" w:ascii="宋体" w:hAnsi="宋体" w:cs="宋体"/>
                <w:color w:val="auto"/>
                <w:sz w:val="21"/>
                <w:szCs w:val="21"/>
              </w:rPr>
              <w:t>℃</w:t>
            </w:r>
            <w:r>
              <w:rPr>
                <w:color w:val="auto"/>
                <w:sz w:val="21"/>
                <w:szCs w:val="21"/>
              </w:rPr>
              <w:t>）</w:t>
            </w:r>
          </w:p>
        </w:tc>
        <w:tc>
          <w:tcPr>
            <w:tcW w:w="1760" w:type="dxa"/>
            <w:gridSpan w:val="4"/>
            <w:vAlign w:val="center"/>
          </w:tcPr>
          <w:p>
            <w:pPr>
              <w:adjustRightInd/>
              <w:snapToGrid/>
              <w:spacing w:line="240" w:lineRule="exact"/>
              <w:ind w:firstLine="0" w:firstLineChars="0"/>
              <w:jc w:val="center"/>
              <w:rPr>
                <w:color w:val="auto"/>
                <w:sz w:val="21"/>
                <w:szCs w:val="21"/>
              </w:rPr>
            </w:pPr>
            <w:r>
              <w:rPr>
                <w:color w:val="auto"/>
                <w:sz w:val="21"/>
                <w:szCs w:val="21"/>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爆炸极限（％）</w:t>
            </w:r>
          </w:p>
        </w:tc>
        <w:tc>
          <w:tcPr>
            <w:tcW w:w="2347" w:type="dxa"/>
            <w:gridSpan w:val="4"/>
            <w:vAlign w:val="center"/>
          </w:tcPr>
          <w:p>
            <w:pPr>
              <w:adjustRightInd/>
              <w:snapToGrid/>
              <w:spacing w:line="240" w:lineRule="exact"/>
              <w:ind w:firstLine="0" w:firstLineChars="0"/>
              <w:jc w:val="center"/>
              <w:rPr>
                <w:color w:val="auto"/>
                <w:sz w:val="21"/>
                <w:szCs w:val="21"/>
              </w:rPr>
            </w:pPr>
            <w:r>
              <w:rPr>
                <w:color w:val="auto"/>
                <w:sz w:val="21"/>
                <w:szCs w:val="21"/>
              </w:rPr>
              <w:t>0.7～5.0</w:t>
            </w:r>
          </w:p>
        </w:tc>
        <w:tc>
          <w:tcPr>
            <w:tcW w:w="3273" w:type="dxa"/>
            <w:gridSpan w:val="6"/>
            <w:vAlign w:val="center"/>
          </w:tcPr>
          <w:p>
            <w:pPr>
              <w:adjustRightInd/>
              <w:snapToGrid/>
              <w:spacing w:line="240" w:lineRule="exact"/>
              <w:ind w:firstLine="0" w:firstLineChars="0"/>
              <w:jc w:val="center"/>
              <w:rPr>
                <w:color w:val="auto"/>
                <w:sz w:val="21"/>
                <w:szCs w:val="21"/>
              </w:rPr>
            </w:pPr>
            <w:r>
              <w:rPr>
                <w:color w:val="auto"/>
                <w:sz w:val="21"/>
                <w:szCs w:val="21"/>
              </w:rPr>
              <w:t>最小点火能（MJ）</w:t>
            </w:r>
          </w:p>
        </w:tc>
        <w:tc>
          <w:tcPr>
            <w:tcW w:w="1760" w:type="dxa"/>
            <w:gridSpan w:val="4"/>
            <w:vAlign w:val="center"/>
          </w:tcPr>
          <w:p>
            <w:pPr>
              <w:adjustRightInd/>
              <w:snapToGrid/>
              <w:spacing w:line="240" w:lineRule="exact"/>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引燃温度（</w:t>
            </w:r>
            <w:r>
              <w:rPr>
                <w:rFonts w:hint="eastAsia" w:ascii="宋体" w:hAnsi="宋体" w:cs="宋体"/>
                <w:color w:val="auto"/>
                <w:sz w:val="21"/>
                <w:szCs w:val="21"/>
              </w:rPr>
              <w:t>℃</w:t>
            </w:r>
            <w:r>
              <w:rPr>
                <w:color w:val="auto"/>
                <w:sz w:val="21"/>
                <w:szCs w:val="21"/>
              </w:rPr>
              <w:t>）</w:t>
            </w:r>
          </w:p>
        </w:tc>
        <w:tc>
          <w:tcPr>
            <w:tcW w:w="2347" w:type="dxa"/>
            <w:gridSpan w:val="4"/>
            <w:vAlign w:val="center"/>
          </w:tcPr>
          <w:p>
            <w:pPr>
              <w:adjustRightInd/>
              <w:snapToGrid/>
              <w:spacing w:line="240" w:lineRule="exact"/>
              <w:ind w:firstLine="0" w:firstLineChars="0"/>
              <w:jc w:val="center"/>
              <w:rPr>
                <w:color w:val="auto"/>
                <w:sz w:val="21"/>
                <w:szCs w:val="21"/>
              </w:rPr>
            </w:pPr>
          </w:p>
        </w:tc>
        <w:tc>
          <w:tcPr>
            <w:tcW w:w="3273" w:type="dxa"/>
            <w:gridSpan w:val="6"/>
            <w:vAlign w:val="center"/>
          </w:tcPr>
          <w:p>
            <w:pPr>
              <w:adjustRightInd/>
              <w:snapToGrid/>
              <w:spacing w:line="240" w:lineRule="exact"/>
              <w:ind w:firstLine="0" w:firstLineChars="0"/>
              <w:jc w:val="center"/>
              <w:rPr>
                <w:color w:val="auto"/>
                <w:sz w:val="21"/>
                <w:szCs w:val="21"/>
              </w:rPr>
            </w:pPr>
            <w:r>
              <w:rPr>
                <w:color w:val="auto"/>
                <w:sz w:val="21"/>
                <w:szCs w:val="21"/>
              </w:rPr>
              <w:t>最大爆炸压力（Mpa）</w:t>
            </w:r>
          </w:p>
        </w:tc>
        <w:tc>
          <w:tcPr>
            <w:tcW w:w="1760" w:type="dxa"/>
            <w:gridSpan w:val="4"/>
            <w:vAlign w:val="center"/>
          </w:tcPr>
          <w:p>
            <w:pPr>
              <w:adjustRightInd/>
              <w:snapToGrid/>
              <w:spacing w:line="240" w:lineRule="exact"/>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危 险 特 性</w:t>
            </w:r>
          </w:p>
        </w:tc>
        <w:tc>
          <w:tcPr>
            <w:tcW w:w="7380" w:type="dxa"/>
            <w:gridSpan w:val="14"/>
          </w:tcPr>
          <w:p>
            <w:pPr>
              <w:adjustRightInd/>
              <w:snapToGrid/>
              <w:spacing w:line="240" w:lineRule="exact"/>
              <w:ind w:firstLine="0" w:firstLineChars="0"/>
              <w:rPr>
                <w:color w:val="auto"/>
                <w:sz w:val="21"/>
                <w:szCs w:val="21"/>
              </w:rPr>
            </w:pPr>
            <w:r>
              <w:rPr>
                <w:color w:val="auto"/>
                <w:sz w:val="21"/>
                <w:szCs w:val="21"/>
              </w:rPr>
              <w:t>遇明火、高热或与氧化剂接触，有引起燃烧爆炸的危险。若遇高热，容器内压增大，有开裂和爆炸的危险。对环境有危害，对水体和大气可造成污染。本品易燃，具刺激性。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灭 火 方 法</w:t>
            </w:r>
          </w:p>
        </w:tc>
        <w:tc>
          <w:tcPr>
            <w:tcW w:w="7380" w:type="dxa"/>
            <w:gridSpan w:val="14"/>
          </w:tcPr>
          <w:p>
            <w:pPr>
              <w:adjustRightInd/>
              <w:snapToGrid/>
              <w:spacing w:line="240" w:lineRule="exact"/>
              <w:ind w:firstLine="0" w:firstLineChars="0"/>
              <w:rPr>
                <w:color w:val="auto"/>
                <w:sz w:val="21"/>
                <w:szCs w:val="21"/>
              </w:rPr>
            </w:pPr>
            <w:r>
              <w:rPr>
                <w:color w:val="auto"/>
                <w:sz w:val="21"/>
                <w:szCs w:val="21"/>
              </w:rPr>
              <w:t>消防人员须佩戴防毒面具、穿全身消防服，在上风向灭火。尽可能将容器从火场移至空旷处。喷水保持火场容器冷却，直至灭火结束。处在火场中的容器若已变色或从安全泄压装置中产生声音，必须马上撤离。</w:t>
            </w:r>
          </w:p>
          <w:p>
            <w:pPr>
              <w:adjustRightInd/>
              <w:snapToGrid/>
              <w:spacing w:line="240" w:lineRule="exact"/>
              <w:ind w:firstLine="0" w:firstLineChars="0"/>
              <w:rPr>
                <w:color w:val="auto"/>
                <w:sz w:val="21"/>
                <w:szCs w:val="21"/>
              </w:rPr>
            </w:pPr>
            <w:r>
              <w:rPr>
                <w:color w:val="auto"/>
                <w:sz w:val="21"/>
                <w:szCs w:val="21"/>
              </w:rPr>
              <w:t>灭火剂：雾状水、泡沫、干粉、二氧化碳、砂土。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禁  忌  物</w:t>
            </w:r>
          </w:p>
        </w:tc>
        <w:tc>
          <w:tcPr>
            <w:tcW w:w="4713" w:type="dxa"/>
            <w:gridSpan w:val="9"/>
            <w:vAlign w:val="center"/>
          </w:tcPr>
          <w:p>
            <w:pPr>
              <w:adjustRightInd/>
              <w:snapToGrid/>
              <w:spacing w:line="240" w:lineRule="exact"/>
              <w:ind w:firstLine="0" w:firstLineChars="0"/>
              <w:rPr>
                <w:color w:val="auto"/>
                <w:sz w:val="21"/>
                <w:szCs w:val="21"/>
              </w:rPr>
            </w:pPr>
            <w:r>
              <w:rPr>
                <w:color w:val="auto"/>
                <w:sz w:val="21"/>
                <w:szCs w:val="21"/>
              </w:rPr>
              <w:t>氧化剂</w:t>
            </w:r>
          </w:p>
        </w:tc>
        <w:tc>
          <w:tcPr>
            <w:tcW w:w="1434" w:type="dxa"/>
            <w:gridSpan w:val="4"/>
            <w:vAlign w:val="center"/>
          </w:tcPr>
          <w:p>
            <w:pPr>
              <w:adjustRightInd/>
              <w:snapToGrid/>
              <w:spacing w:line="240" w:lineRule="exact"/>
              <w:ind w:firstLine="0" w:firstLineChars="0"/>
              <w:jc w:val="center"/>
              <w:rPr>
                <w:color w:val="auto"/>
                <w:sz w:val="21"/>
                <w:szCs w:val="21"/>
              </w:rPr>
            </w:pPr>
            <w:r>
              <w:rPr>
                <w:color w:val="auto"/>
                <w:sz w:val="21"/>
                <w:szCs w:val="21"/>
              </w:rPr>
              <w:t>稳定性</w:t>
            </w:r>
          </w:p>
        </w:tc>
        <w:tc>
          <w:tcPr>
            <w:tcW w:w="1233" w:type="dxa"/>
            <w:vAlign w:val="center"/>
          </w:tcPr>
          <w:p>
            <w:pPr>
              <w:adjustRightInd/>
              <w:snapToGrid/>
              <w:spacing w:line="240" w:lineRule="exact"/>
              <w:ind w:firstLine="0" w:firstLineChars="0"/>
              <w:jc w:val="center"/>
              <w:rPr>
                <w:color w:val="auto"/>
                <w:sz w:val="21"/>
                <w:szCs w:val="21"/>
              </w:rPr>
            </w:pPr>
            <w:r>
              <w:rPr>
                <w:color w:val="auto"/>
                <w:sz w:val="21"/>
                <w:szCs w:val="21"/>
              </w:rPr>
              <w:t>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Merge w:val="continue"/>
          </w:tcPr>
          <w:p>
            <w:pPr>
              <w:adjustRightInd/>
              <w:snapToGrid/>
              <w:spacing w:line="240" w:lineRule="exact"/>
              <w:ind w:firstLine="0" w:firstLineChars="0"/>
              <w:rPr>
                <w:color w:val="auto"/>
                <w:sz w:val="21"/>
                <w:szCs w:val="21"/>
              </w:rPr>
            </w:pPr>
          </w:p>
        </w:tc>
        <w:tc>
          <w:tcPr>
            <w:tcW w:w="1582" w:type="dxa"/>
            <w:gridSpan w:val="3"/>
            <w:vAlign w:val="center"/>
          </w:tcPr>
          <w:p>
            <w:pPr>
              <w:adjustRightInd/>
              <w:snapToGrid/>
              <w:spacing w:line="240" w:lineRule="exact"/>
              <w:ind w:firstLine="0" w:firstLineChars="0"/>
              <w:jc w:val="center"/>
              <w:rPr>
                <w:color w:val="auto"/>
                <w:sz w:val="21"/>
                <w:szCs w:val="21"/>
              </w:rPr>
            </w:pPr>
            <w:r>
              <w:rPr>
                <w:color w:val="auto"/>
                <w:sz w:val="21"/>
                <w:szCs w:val="21"/>
              </w:rPr>
              <w:t>燃 烧 产 物</w:t>
            </w:r>
          </w:p>
        </w:tc>
        <w:tc>
          <w:tcPr>
            <w:tcW w:w="4713" w:type="dxa"/>
            <w:gridSpan w:val="9"/>
            <w:vAlign w:val="center"/>
          </w:tcPr>
          <w:p>
            <w:pPr>
              <w:adjustRightInd/>
              <w:snapToGrid/>
              <w:spacing w:line="240" w:lineRule="exact"/>
              <w:ind w:firstLine="0" w:firstLineChars="0"/>
              <w:rPr>
                <w:color w:val="auto"/>
                <w:sz w:val="21"/>
                <w:szCs w:val="21"/>
              </w:rPr>
            </w:pPr>
            <w:r>
              <w:rPr>
                <w:color w:val="auto"/>
                <w:sz w:val="21"/>
                <w:szCs w:val="21"/>
              </w:rPr>
              <w:t>一氧化碳、二氧化碳</w:t>
            </w:r>
          </w:p>
        </w:tc>
        <w:tc>
          <w:tcPr>
            <w:tcW w:w="1434" w:type="dxa"/>
            <w:gridSpan w:val="4"/>
            <w:vAlign w:val="center"/>
          </w:tcPr>
          <w:p>
            <w:pPr>
              <w:adjustRightInd/>
              <w:snapToGrid/>
              <w:spacing w:line="240" w:lineRule="exact"/>
              <w:ind w:firstLine="0" w:firstLineChars="0"/>
              <w:jc w:val="center"/>
              <w:rPr>
                <w:color w:val="auto"/>
                <w:sz w:val="21"/>
                <w:szCs w:val="21"/>
              </w:rPr>
            </w:pPr>
            <w:r>
              <w:rPr>
                <w:color w:val="auto"/>
                <w:sz w:val="21"/>
                <w:szCs w:val="21"/>
              </w:rPr>
              <w:t>聚合危害</w:t>
            </w:r>
          </w:p>
        </w:tc>
        <w:tc>
          <w:tcPr>
            <w:tcW w:w="1233" w:type="dxa"/>
            <w:vAlign w:val="center"/>
          </w:tcPr>
          <w:p>
            <w:pPr>
              <w:adjustRightInd/>
              <w:snapToGrid/>
              <w:spacing w:line="240" w:lineRule="exact"/>
              <w:ind w:firstLine="0" w:firstLineChars="0"/>
              <w:jc w:val="center"/>
              <w:rPr>
                <w:color w:val="auto"/>
                <w:sz w:val="21"/>
                <w:szCs w:val="21"/>
              </w:rPr>
            </w:pPr>
            <w:r>
              <w:rPr>
                <w:color w:val="auto"/>
                <w:sz w:val="21"/>
                <w:szCs w:val="21"/>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13" w:type="dxa"/>
            <w:gridSpan w:val="2"/>
            <w:vMerge w:val="restart"/>
            <w:vAlign w:val="center"/>
          </w:tcPr>
          <w:p>
            <w:pPr>
              <w:adjustRightInd/>
              <w:snapToGrid/>
              <w:spacing w:line="240" w:lineRule="exact"/>
              <w:ind w:firstLine="0" w:firstLineChars="0"/>
              <w:jc w:val="center"/>
              <w:rPr>
                <w:color w:val="auto"/>
                <w:sz w:val="21"/>
                <w:szCs w:val="21"/>
              </w:rPr>
            </w:pPr>
            <w:r>
              <w:rPr>
                <w:color w:val="auto"/>
                <w:spacing w:val="-20"/>
                <w:sz w:val="21"/>
                <w:szCs w:val="21"/>
              </w:rPr>
              <w:t>毒性及健康危害</w:t>
            </w:r>
          </w:p>
        </w:tc>
        <w:tc>
          <w:tcPr>
            <w:tcW w:w="1424" w:type="dxa"/>
            <w:gridSpan w:val="2"/>
            <w:vAlign w:val="center"/>
          </w:tcPr>
          <w:p>
            <w:pPr>
              <w:adjustRightInd/>
              <w:snapToGrid/>
              <w:spacing w:line="240" w:lineRule="exact"/>
              <w:ind w:firstLine="0" w:firstLineChars="0"/>
              <w:jc w:val="center"/>
              <w:rPr>
                <w:color w:val="auto"/>
                <w:sz w:val="21"/>
                <w:szCs w:val="21"/>
              </w:rPr>
            </w:pPr>
            <w:r>
              <w:rPr>
                <w:color w:val="auto"/>
                <w:sz w:val="21"/>
                <w:szCs w:val="21"/>
              </w:rPr>
              <w:t>急 性 毒 性</w:t>
            </w:r>
          </w:p>
        </w:tc>
        <w:tc>
          <w:tcPr>
            <w:tcW w:w="2545" w:type="dxa"/>
            <w:gridSpan w:val="5"/>
            <w:vAlign w:val="center"/>
          </w:tcPr>
          <w:p>
            <w:pPr>
              <w:adjustRightInd/>
              <w:snapToGrid/>
              <w:spacing w:line="240" w:lineRule="exact"/>
              <w:ind w:firstLine="0" w:firstLineChars="0"/>
              <w:rPr>
                <w:color w:val="auto"/>
                <w:sz w:val="21"/>
                <w:szCs w:val="21"/>
              </w:rPr>
            </w:pPr>
            <w:r>
              <w:rPr>
                <w:color w:val="auto"/>
                <w:sz w:val="21"/>
                <w:szCs w:val="21"/>
              </w:rPr>
              <w:t>LD</w:t>
            </w:r>
            <w:r>
              <w:rPr>
                <w:color w:val="auto"/>
                <w:sz w:val="21"/>
                <w:szCs w:val="21"/>
                <w:vertAlign w:val="subscript"/>
              </w:rPr>
              <w:t>50</w:t>
            </w:r>
            <w:r>
              <w:rPr>
                <w:color w:val="auto"/>
                <w:sz w:val="21"/>
                <w:szCs w:val="21"/>
              </w:rPr>
              <w:t>（mg/kg，大鼠经口）</w:t>
            </w:r>
          </w:p>
        </w:tc>
        <w:tc>
          <w:tcPr>
            <w:tcW w:w="1032" w:type="dxa"/>
          </w:tcPr>
          <w:p>
            <w:pPr>
              <w:adjustRightInd/>
              <w:snapToGrid/>
              <w:spacing w:line="240" w:lineRule="exact"/>
              <w:ind w:firstLine="0" w:firstLineChars="0"/>
              <w:jc w:val="center"/>
              <w:rPr>
                <w:color w:val="auto"/>
                <w:sz w:val="21"/>
                <w:szCs w:val="21"/>
              </w:rPr>
            </w:pPr>
            <w:r>
              <w:rPr>
                <w:color w:val="auto"/>
                <w:sz w:val="21"/>
                <w:szCs w:val="21"/>
              </w:rPr>
              <w:t>无资料</w:t>
            </w:r>
          </w:p>
        </w:tc>
        <w:tc>
          <w:tcPr>
            <w:tcW w:w="2414" w:type="dxa"/>
            <w:gridSpan w:val="6"/>
          </w:tcPr>
          <w:p>
            <w:pPr>
              <w:adjustRightInd/>
              <w:snapToGrid/>
              <w:spacing w:line="240" w:lineRule="exact"/>
              <w:ind w:firstLine="0" w:firstLineChars="0"/>
              <w:jc w:val="center"/>
              <w:rPr>
                <w:color w:val="auto"/>
                <w:sz w:val="21"/>
                <w:szCs w:val="21"/>
              </w:rPr>
            </w:pPr>
            <w:r>
              <w:rPr>
                <w:color w:val="auto"/>
                <w:sz w:val="21"/>
                <w:szCs w:val="21"/>
              </w:rPr>
              <w:t>LC</w:t>
            </w:r>
            <w:r>
              <w:rPr>
                <w:color w:val="auto"/>
                <w:sz w:val="21"/>
                <w:szCs w:val="21"/>
                <w:vertAlign w:val="subscript"/>
              </w:rPr>
              <w:t>50</w:t>
            </w:r>
            <w:r>
              <w:rPr>
                <w:color w:val="auto"/>
                <w:sz w:val="21"/>
                <w:szCs w:val="21"/>
              </w:rPr>
              <w:t>（mg/kg）</w:t>
            </w:r>
          </w:p>
        </w:tc>
        <w:tc>
          <w:tcPr>
            <w:tcW w:w="1389" w:type="dxa"/>
            <w:gridSpan w:val="2"/>
            <w:vAlign w:val="center"/>
          </w:tcPr>
          <w:p>
            <w:pPr>
              <w:adjustRightInd/>
              <w:snapToGrid/>
              <w:spacing w:line="240" w:lineRule="exact"/>
              <w:ind w:firstLine="0" w:firstLineChars="0"/>
              <w:jc w:val="center"/>
              <w:rPr>
                <w:color w:val="auto"/>
                <w:sz w:val="21"/>
                <w:szCs w:val="21"/>
              </w:rPr>
            </w:pPr>
            <w:r>
              <w:rPr>
                <w:color w:val="auto"/>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13" w:type="dxa"/>
            <w:gridSpan w:val="2"/>
            <w:vMerge w:val="continue"/>
          </w:tcPr>
          <w:p>
            <w:pPr>
              <w:adjustRightInd/>
              <w:snapToGrid/>
              <w:spacing w:line="240" w:lineRule="exact"/>
              <w:ind w:firstLine="0" w:firstLineChars="0"/>
              <w:rPr>
                <w:color w:val="auto"/>
                <w:sz w:val="21"/>
                <w:szCs w:val="21"/>
              </w:rPr>
            </w:pPr>
          </w:p>
        </w:tc>
        <w:tc>
          <w:tcPr>
            <w:tcW w:w="1424" w:type="dxa"/>
            <w:gridSpan w:val="2"/>
            <w:vAlign w:val="center"/>
          </w:tcPr>
          <w:p>
            <w:pPr>
              <w:adjustRightInd/>
              <w:snapToGrid/>
              <w:spacing w:line="240" w:lineRule="exact"/>
              <w:ind w:firstLine="0" w:firstLineChars="0"/>
              <w:rPr>
                <w:color w:val="auto"/>
                <w:sz w:val="21"/>
                <w:szCs w:val="21"/>
              </w:rPr>
            </w:pPr>
          </w:p>
        </w:tc>
        <w:tc>
          <w:tcPr>
            <w:tcW w:w="7380" w:type="dxa"/>
            <w:gridSpan w:val="14"/>
            <w:vAlign w:val="center"/>
          </w:tcPr>
          <w:p>
            <w:pPr>
              <w:adjustRightInd/>
              <w:snapToGrid/>
              <w:spacing w:line="240" w:lineRule="exact"/>
              <w:ind w:firstLine="0" w:firstLineChars="0"/>
              <w:rPr>
                <w:color w:val="auto"/>
                <w:sz w:val="21"/>
                <w:szCs w:val="21"/>
              </w:rPr>
            </w:pPr>
            <w:r>
              <w:rPr>
                <w:color w:val="auto"/>
                <w:sz w:val="21"/>
                <w:szCs w:val="21"/>
              </w:rPr>
              <w:t>侵入途径：吸如、食入；</w:t>
            </w:r>
          </w:p>
          <w:p>
            <w:pPr>
              <w:adjustRightInd/>
              <w:snapToGrid/>
              <w:spacing w:line="240" w:lineRule="exact"/>
              <w:ind w:firstLine="0" w:firstLineChars="0"/>
              <w:rPr>
                <w:color w:val="auto"/>
                <w:sz w:val="21"/>
                <w:szCs w:val="21"/>
              </w:rPr>
            </w:pPr>
            <w:r>
              <w:rPr>
                <w:color w:val="auto"/>
                <w:sz w:val="21"/>
                <w:szCs w:val="21"/>
              </w:rPr>
              <w:t>皮肤接触可为主要吸收途径，可致急性肾脏损害。柴油可引起接触性皮炎、油性痤疮。吸入其雾滴或液体呛入可引起吸入性肺炎。能经胎盘进入胎儿血中。柴油废气可引起眼、鼻刺激症状，头晕及头痛。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Align w:val="center"/>
          </w:tcPr>
          <w:p>
            <w:pPr>
              <w:adjustRightInd/>
              <w:snapToGrid/>
              <w:spacing w:line="240" w:lineRule="exact"/>
              <w:ind w:firstLine="0" w:firstLineChars="0"/>
              <w:jc w:val="center"/>
              <w:rPr>
                <w:color w:val="auto"/>
                <w:sz w:val="21"/>
                <w:szCs w:val="21"/>
              </w:rPr>
            </w:pPr>
            <w:r>
              <w:rPr>
                <w:color w:val="auto"/>
                <w:sz w:val="21"/>
                <w:szCs w:val="21"/>
              </w:rPr>
              <w:t>急</w:t>
            </w:r>
          </w:p>
          <w:p>
            <w:pPr>
              <w:adjustRightInd/>
              <w:snapToGrid/>
              <w:spacing w:line="240" w:lineRule="exact"/>
              <w:ind w:firstLine="0" w:firstLineChars="0"/>
              <w:jc w:val="center"/>
              <w:rPr>
                <w:color w:val="auto"/>
                <w:sz w:val="21"/>
                <w:szCs w:val="21"/>
              </w:rPr>
            </w:pPr>
          </w:p>
          <w:p>
            <w:pPr>
              <w:adjustRightInd/>
              <w:snapToGrid/>
              <w:spacing w:line="240" w:lineRule="exact"/>
              <w:ind w:firstLine="0" w:firstLineChars="0"/>
              <w:jc w:val="center"/>
              <w:rPr>
                <w:color w:val="auto"/>
                <w:sz w:val="21"/>
                <w:szCs w:val="21"/>
              </w:rPr>
            </w:pPr>
            <w:r>
              <w:rPr>
                <w:color w:val="auto"/>
                <w:sz w:val="21"/>
                <w:szCs w:val="21"/>
              </w:rPr>
              <w:t>救</w:t>
            </w:r>
          </w:p>
        </w:tc>
        <w:tc>
          <w:tcPr>
            <w:tcW w:w="8962" w:type="dxa"/>
            <w:gridSpan w:val="17"/>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color w:val="auto"/>
                <w:sz w:val="21"/>
                <w:szCs w:val="21"/>
              </w:rPr>
            </w:pPr>
            <w:r>
              <w:rPr>
                <w:color w:val="auto"/>
                <w:sz w:val="21"/>
                <w:szCs w:val="21"/>
              </w:rPr>
              <w:t>皮肤接触：立即脱去被污染的衣着，用大量清水冲洗；</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color w:val="auto"/>
                <w:sz w:val="21"/>
                <w:szCs w:val="21"/>
              </w:rPr>
            </w:pPr>
            <w:r>
              <w:rPr>
                <w:color w:val="auto"/>
                <w:sz w:val="21"/>
                <w:szCs w:val="21"/>
              </w:rPr>
              <w:t>眼睛接触：立即提起眼睑，用大量流动清水或生理盐水彻底冲洗至少15分钟，就医；</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color w:val="auto"/>
                <w:sz w:val="21"/>
                <w:szCs w:val="21"/>
              </w:rPr>
            </w:pPr>
            <w:r>
              <w:rPr>
                <w:color w:val="auto"/>
                <w:sz w:val="21"/>
                <w:szCs w:val="21"/>
              </w:rPr>
              <w:t>吸入：迅速脱离现场至空气新鲜处，保持呼吸道通畅，如呼吸困难，给输氧；如呼吸停止，立即进行人工呼吸，就医；</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color w:val="auto"/>
                <w:sz w:val="21"/>
                <w:szCs w:val="21"/>
              </w:rPr>
            </w:pPr>
            <w:r>
              <w:rPr>
                <w:color w:val="auto"/>
                <w:sz w:val="21"/>
                <w:szCs w:val="21"/>
              </w:rPr>
              <w:t>食入：饮足量温水，催吐，就医。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Align w:val="center"/>
          </w:tcPr>
          <w:p>
            <w:pPr>
              <w:adjustRightInd/>
              <w:snapToGrid/>
              <w:spacing w:line="240" w:lineRule="exact"/>
              <w:ind w:firstLine="0" w:firstLineChars="0"/>
              <w:jc w:val="center"/>
              <w:rPr>
                <w:color w:val="auto"/>
                <w:sz w:val="21"/>
                <w:szCs w:val="21"/>
              </w:rPr>
            </w:pPr>
            <w:r>
              <w:rPr>
                <w:color w:val="auto"/>
                <w:sz w:val="21"/>
                <w:szCs w:val="21"/>
              </w:rPr>
              <w:t>防</w:t>
            </w:r>
          </w:p>
          <w:p>
            <w:pPr>
              <w:adjustRightInd/>
              <w:snapToGrid/>
              <w:spacing w:line="240" w:lineRule="exact"/>
              <w:ind w:firstLine="0" w:firstLineChars="0"/>
              <w:jc w:val="center"/>
              <w:rPr>
                <w:color w:val="auto"/>
                <w:sz w:val="21"/>
                <w:szCs w:val="21"/>
              </w:rPr>
            </w:pPr>
            <w:r>
              <w:rPr>
                <w:color w:val="auto"/>
                <w:sz w:val="21"/>
                <w:szCs w:val="21"/>
              </w:rPr>
              <w:t>护</w:t>
            </w:r>
          </w:p>
        </w:tc>
        <w:tc>
          <w:tcPr>
            <w:tcW w:w="8962" w:type="dxa"/>
            <w:gridSpan w:val="17"/>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1" w:firstLineChars="0"/>
              <w:textAlignment w:val="auto"/>
              <w:rPr>
                <w:color w:val="auto"/>
                <w:sz w:val="21"/>
                <w:szCs w:val="21"/>
              </w:rPr>
            </w:pPr>
            <w:r>
              <w:rPr>
                <w:color w:val="auto"/>
                <w:sz w:val="21"/>
                <w:szCs w:val="21"/>
              </w:rPr>
              <w:t>工程控制：密闭操作，注意通风；</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1" w:firstLineChars="0"/>
              <w:textAlignment w:val="auto"/>
              <w:rPr>
                <w:color w:val="auto"/>
                <w:sz w:val="21"/>
                <w:szCs w:val="21"/>
              </w:rPr>
            </w:pPr>
            <w:r>
              <w:rPr>
                <w:color w:val="auto"/>
                <w:sz w:val="21"/>
                <w:szCs w:val="21"/>
              </w:rPr>
              <w:t xml:space="preserve">呼吸系统防护：空气中浓度超标时，建议佩戴自吸过滤式防毒面具（半面罩）。紧急事态抢救或撤离时，应该佩戴空气呼吸器。 </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1" w:firstLineChars="0"/>
              <w:textAlignment w:val="auto"/>
              <w:rPr>
                <w:color w:val="auto"/>
                <w:sz w:val="21"/>
                <w:szCs w:val="21"/>
              </w:rPr>
            </w:pPr>
            <w:r>
              <w:rPr>
                <w:color w:val="auto"/>
                <w:sz w:val="21"/>
                <w:szCs w:val="21"/>
              </w:rPr>
              <w:t>眼睛防护：戴化学安全防护眼镜。</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1" w:firstLineChars="0"/>
              <w:textAlignment w:val="auto"/>
              <w:rPr>
                <w:color w:val="auto"/>
                <w:sz w:val="21"/>
                <w:szCs w:val="21"/>
              </w:rPr>
            </w:pPr>
            <w:r>
              <w:rPr>
                <w:color w:val="auto"/>
                <w:sz w:val="21"/>
                <w:szCs w:val="21"/>
              </w:rPr>
              <w:t>身体防护：穿一般作业防护服；</w:t>
            </w:r>
          </w:p>
          <w:p>
            <w:pPr>
              <w:keepNext w:val="0"/>
              <w:keepLines w:val="0"/>
              <w:pageBreakBefore w:val="0"/>
              <w:widowControl w:val="0"/>
              <w:kinsoku/>
              <w:wordWrap/>
              <w:overflowPunct/>
              <w:topLinePunct w:val="0"/>
              <w:autoSpaceDE/>
              <w:autoSpaceDN/>
              <w:bidi w:val="0"/>
              <w:adjustRightInd/>
              <w:snapToGrid/>
              <w:spacing w:line="240" w:lineRule="exact"/>
              <w:ind w:left="627" w:leftChars="0" w:hanging="627" w:hangingChars="299"/>
              <w:textAlignment w:val="auto"/>
              <w:rPr>
                <w:color w:val="auto"/>
                <w:sz w:val="21"/>
                <w:szCs w:val="21"/>
              </w:rPr>
            </w:pPr>
            <w:r>
              <w:rPr>
                <w:color w:val="auto"/>
                <w:sz w:val="21"/>
                <w:szCs w:val="21"/>
              </w:rPr>
              <w:t>手防护：戴橡胶耐油手套；</w:t>
            </w:r>
          </w:p>
          <w:p>
            <w:pPr>
              <w:keepNext w:val="0"/>
              <w:keepLines w:val="0"/>
              <w:pageBreakBefore w:val="0"/>
              <w:widowControl w:val="0"/>
              <w:kinsoku/>
              <w:wordWrap/>
              <w:overflowPunct/>
              <w:topLinePunct w:val="0"/>
              <w:autoSpaceDE/>
              <w:autoSpaceDN/>
              <w:bidi w:val="0"/>
              <w:adjustRightInd/>
              <w:snapToGrid/>
              <w:spacing w:line="240" w:lineRule="exact"/>
              <w:ind w:left="627" w:leftChars="0" w:hanging="627" w:hangingChars="299"/>
              <w:textAlignment w:val="auto"/>
              <w:rPr>
                <w:color w:val="auto"/>
                <w:sz w:val="21"/>
                <w:szCs w:val="21"/>
              </w:rPr>
            </w:pPr>
            <w:r>
              <w:rPr>
                <w:color w:val="auto"/>
                <w:sz w:val="21"/>
                <w:szCs w:val="21"/>
              </w:rPr>
              <w:t>其他：工作现场严禁吸烟。避免长期反复接触。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Align w:val="center"/>
          </w:tcPr>
          <w:p>
            <w:pPr>
              <w:adjustRightInd/>
              <w:snapToGrid/>
              <w:spacing w:line="240" w:lineRule="exact"/>
              <w:ind w:firstLine="0" w:firstLineChars="0"/>
              <w:jc w:val="center"/>
              <w:rPr>
                <w:color w:val="auto"/>
                <w:sz w:val="21"/>
                <w:szCs w:val="21"/>
              </w:rPr>
            </w:pPr>
            <w:r>
              <w:rPr>
                <w:color w:val="auto"/>
                <w:sz w:val="21"/>
                <w:szCs w:val="21"/>
              </w:rPr>
              <w:t>泄漏处理</w:t>
            </w:r>
          </w:p>
        </w:tc>
        <w:tc>
          <w:tcPr>
            <w:tcW w:w="8962" w:type="dxa"/>
            <w:gridSpan w:val="17"/>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color w:val="auto"/>
                <w:sz w:val="21"/>
                <w:szCs w:val="21"/>
              </w:rPr>
            </w:pPr>
            <w:r>
              <w:rPr>
                <w:color w:val="auto"/>
                <w:sz w:val="21"/>
                <w:szCs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5" w:type="dxa"/>
            <w:vAlign w:val="center"/>
          </w:tcPr>
          <w:p>
            <w:pPr>
              <w:adjustRightInd/>
              <w:snapToGrid/>
              <w:spacing w:line="240" w:lineRule="exact"/>
              <w:ind w:firstLine="0" w:firstLineChars="0"/>
              <w:jc w:val="center"/>
              <w:rPr>
                <w:color w:val="auto"/>
                <w:sz w:val="21"/>
                <w:szCs w:val="21"/>
              </w:rPr>
            </w:pPr>
            <w:r>
              <w:rPr>
                <w:color w:val="auto"/>
                <w:sz w:val="21"/>
                <w:szCs w:val="21"/>
              </w:rPr>
              <w:t>储运</w:t>
            </w:r>
          </w:p>
        </w:tc>
        <w:tc>
          <w:tcPr>
            <w:tcW w:w="8962" w:type="dxa"/>
            <w:gridSpan w:val="17"/>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color w:val="auto"/>
                <w:sz w:val="21"/>
                <w:szCs w:val="21"/>
              </w:rPr>
            </w:pPr>
            <w:r>
              <w:rPr>
                <w:color w:val="auto"/>
                <w:sz w:val="21"/>
                <w:szCs w:val="21"/>
              </w:rPr>
              <w:t>储存于阴凉、通风的库房。远离火种、热源。应与氧化剂、卤素分开存放，切忌混储。采用防爆型照明、通风设施。禁止使用易产生火花的机械设备和工具。储区应备有泄漏应急处理设备和合适的收容材料。</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color w:val="auto"/>
                <w:sz w:val="21"/>
                <w:szCs w:val="21"/>
              </w:rPr>
            </w:pPr>
            <w:r>
              <w:rPr>
                <w:color w:val="auto"/>
                <w:sz w:val="21"/>
                <w:szCs w:val="21"/>
              </w:rPr>
              <w:t>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w:t>
            </w:r>
          </w:p>
        </w:tc>
      </w:tr>
    </w:tbl>
    <w:p>
      <w:pPr>
        <w:ind w:firstLine="0" w:firstLineChars="0"/>
        <w:jc w:val="center"/>
        <w:rPr>
          <w:rFonts w:ascii="宋体" w:hAnsi="宋体" w:cs="宋体"/>
          <w:b/>
          <w:color w:val="auto"/>
          <w:sz w:val="24"/>
        </w:rPr>
      </w:pPr>
      <w:r>
        <w:rPr>
          <w:rFonts w:hint="eastAsia"/>
          <w:b/>
          <w:snapToGrid w:val="0"/>
          <w:color w:val="auto"/>
          <w:kern w:val="0"/>
          <w:sz w:val="24"/>
        </w:rPr>
        <w:t>F</w:t>
      </w:r>
      <w:r>
        <w:rPr>
          <w:rFonts w:hint="eastAsia" w:ascii="宋体" w:hAnsi="宋体" w:cs="宋体"/>
          <w:b/>
          <w:color w:val="auto"/>
          <w:sz w:val="24"/>
        </w:rPr>
        <w:t>表2.4-</w:t>
      </w:r>
      <w:r>
        <w:rPr>
          <w:rFonts w:ascii="宋体" w:hAnsi="宋体" w:cs="宋体"/>
          <w:b/>
          <w:color w:val="auto"/>
          <w:sz w:val="24"/>
        </w:rPr>
        <w:t>6</w:t>
      </w:r>
      <w:r>
        <w:rPr>
          <w:rFonts w:hint="eastAsia" w:ascii="宋体" w:hAnsi="宋体" w:cs="宋体"/>
          <w:b/>
          <w:color w:val="auto"/>
          <w:sz w:val="24"/>
        </w:rPr>
        <w:t xml:space="preserve">  过氧化氢的理化性质及危险特性</w:t>
      </w:r>
    </w:p>
    <w:tbl>
      <w:tblPr>
        <w:tblStyle w:val="38"/>
        <w:tblW w:w="5000" w:type="pct"/>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autofit"/>
        <w:tblCellMar>
          <w:top w:w="0" w:type="dxa"/>
          <w:left w:w="108" w:type="dxa"/>
          <w:bottom w:w="0" w:type="dxa"/>
          <w:right w:w="108" w:type="dxa"/>
        </w:tblCellMar>
      </w:tblPr>
      <w:tblGrid>
        <w:gridCol w:w="564"/>
        <w:gridCol w:w="1557"/>
        <w:gridCol w:w="1301"/>
        <w:gridCol w:w="907"/>
        <w:gridCol w:w="171"/>
        <w:gridCol w:w="1014"/>
        <w:gridCol w:w="1199"/>
        <w:gridCol w:w="178"/>
        <w:gridCol w:w="1102"/>
        <w:gridCol w:w="1295"/>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restart"/>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标识</w:t>
            </w:r>
          </w:p>
        </w:tc>
        <w:tc>
          <w:tcPr>
            <w:tcW w:w="6409" w:type="dxa"/>
            <w:gridSpan w:val="7"/>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中文名：</w:t>
            </w:r>
            <w:r>
              <w:rPr>
                <w:color w:val="auto"/>
                <w:sz w:val="21"/>
                <w:szCs w:val="21"/>
              </w:rPr>
              <w:t>过氧化氢［20%≤含量≤60%］</w:t>
            </w:r>
            <w:r>
              <w:rPr>
                <w:color w:val="auto"/>
                <w:spacing w:val="10"/>
                <w:sz w:val="21"/>
                <w:szCs w:val="21"/>
              </w:rPr>
              <w:t>；双氧水</w:t>
            </w:r>
          </w:p>
        </w:tc>
        <w:tc>
          <w:tcPr>
            <w:tcW w:w="2425"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危险货物编号：51001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6409" w:type="dxa"/>
            <w:gridSpan w:val="7"/>
            <w:tcBorders>
              <w:top w:val="single" w:color="auto" w:sz="6" w:space="0"/>
              <w:left w:val="single" w:color="auto" w:sz="6" w:space="0"/>
              <w:bottom w:val="single" w:color="auto" w:sz="6" w:space="0"/>
              <w:right w:val="single" w:color="auto" w:sz="6" w:space="0"/>
            </w:tcBorders>
            <w:vAlign w:val="center"/>
          </w:tcPr>
          <w:p>
            <w:pPr>
              <w:adjustRightInd/>
              <w:snapToGrid/>
              <w:spacing w:line="240" w:lineRule="exact"/>
              <w:ind w:firstLine="0" w:firstLineChars="0"/>
              <w:jc w:val="center"/>
              <w:rPr>
                <w:color w:val="auto"/>
                <w:spacing w:val="10"/>
                <w:sz w:val="21"/>
                <w:szCs w:val="21"/>
              </w:rPr>
            </w:pPr>
            <w:r>
              <w:rPr>
                <w:color w:val="auto"/>
                <w:spacing w:val="10"/>
                <w:sz w:val="21"/>
                <w:szCs w:val="21"/>
              </w:rPr>
              <w:t>英文名：Hydrogen peroxide,aqueous solution(with not less than 20％ but not more than 60％ hydrogen peroxide)</w:t>
            </w:r>
          </w:p>
        </w:tc>
        <w:tc>
          <w:tcPr>
            <w:tcW w:w="2425"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UN编号：2014</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2893"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分子式：H</w:t>
            </w:r>
            <w:r>
              <w:rPr>
                <w:color w:val="auto"/>
                <w:spacing w:val="10"/>
                <w:sz w:val="21"/>
                <w:szCs w:val="21"/>
                <w:vertAlign w:val="subscript"/>
              </w:rPr>
              <w:t>2</w:t>
            </w:r>
            <w:r>
              <w:rPr>
                <w:color w:val="auto"/>
                <w:spacing w:val="10"/>
                <w:sz w:val="21"/>
                <w:szCs w:val="21"/>
              </w:rPr>
              <w:t>O</w:t>
            </w:r>
            <w:r>
              <w:rPr>
                <w:color w:val="auto"/>
                <w:spacing w:val="10"/>
                <w:sz w:val="21"/>
                <w:szCs w:val="21"/>
                <w:vertAlign w:val="subscript"/>
              </w:rPr>
              <w:t>2</w:t>
            </w:r>
          </w:p>
        </w:tc>
        <w:tc>
          <w:tcPr>
            <w:tcW w:w="3516" w:type="dxa"/>
            <w:gridSpan w:val="5"/>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分子量：34.01</w:t>
            </w:r>
          </w:p>
        </w:tc>
        <w:tc>
          <w:tcPr>
            <w:tcW w:w="2425"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CAS号：7722-84-1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restart"/>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理化性质</w:t>
            </w: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外观与性状</w:t>
            </w:r>
          </w:p>
        </w:tc>
        <w:tc>
          <w:tcPr>
            <w:tcW w:w="7264" w:type="dxa"/>
            <w:gridSpan w:val="8"/>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无色透明液体，有微弱的特殊气味。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熔点（</w:t>
            </w:r>
            <w:r>
              <w:rPr>
                <w:rFonts w:hint="eastAsia" w:ascii="宋体" w:hAnsi="宋体" w:cs="宋体"/>
                <w:color w:val="auto"/>
                <w:spacing w:val="10"/>
                <w:sz w:val="21"/>
                <w:szCs w:val="21"/>
              </w:rPr>
              <w:t>℃</w:t>
            </w:r>
            <w:r>
              <w:rPr>
                <w:color w:val="auto"/>
                <w:spacing w:val="10"/>
                <w:sz w:val="21"/>
                <w:szCs w:val="21"/>
              </w:rPr>
              <w:t>）</w:t>
            </w:r>
          </w:p>
        </w:tc>
        <w:tc>
          <w:tcPr>
            <w:tcW w:w="2418" w:type="dxa"/>
            <w:gridSpan w:val="3"/>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b/>
                <w:color w:val="auto"/>
                <w:spacing w:val="10"/>
                <w:sz w:val="21"/>
                <w:szCs w:val="21"/>
              </w:rPr>
            </w:pPr>
            <w:r>
              <w:rPr>
                <w:color w:val="auto"/>
                <w:sz w:val="21"/>
                <w:szCs w:val="21"/>
              </w:rPr>
              <w:t>-2(无水)</w:t>
            </w:r>
          </w:p>
        </w:tc>
        <w:tc>
          <w:tcPr>
            <w:tcW w:w="2421" w:type="dxa"/>
            <w:gridSpan w:val="3"/>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相对密度(水=1)</w:t>
            </w:r>
          </w:p>
        </w:tc>
        <w:tc>
          <w:tcPr>
            <w:tcW w:w="2425"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1.46(无水)</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沸点（</w:t>
            </w:r>
            <w:r>
              <w:rPr>
                <w:rFonts w:hint="eastAsia" w:ascii="宋体" w:hAnsi="宋体" w:cs="宋体"/>
                <w:color w:val="auto"/>
                <w:spacing w:val="10"/>
                <w:sz w:val="21"/>
                <w:szCs w:val="21"/>
              </w:rPr>
              <w:t>℃</w:t>
            </w:r>
            <w:r>
              <w:rPr>
                <w:color w:val="auto"/>
                <w:spacing w:val="10"/>
                <w:sz w:val="21"/>
                <w:szCs w:val="21"/>
              </w:rPr>
              <w:t>）</w:t>
            </w:r>
          </w:p>
        </w:tc>
        <w:tc>
          <w:tcPr>
            <w:tcW w:w="2418" w:type="dxa"/>
            <w:gridSpan w:val="3"/>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158(无水)</w:t>
            </w:r>
          </w:p>
        </w:tc>
        <w:tc>
          <w:tcPr>
            <w:tcW w:w="2421" w:type="dxa"/>
            <w:gridSpan w:val="3"/>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left="-53" w:leftChars="-19" w:firstLine="0" w:firstLineChars="0"/>
              <w:jc w:val="center"/>
              <w:rPr>
                <w:color w:val="auto"/>
                <w:spacing w:val="10"/>
                <w:sz w:val="21"/>
                <w:szCs w:val="21"/>
              </w:rPr>
            </w:pPr>
            <w:r>
              <w:rPr>
                <w:color w:val="auto"/>
                <w:spacing w:val="10"/>
                <w:sz w:val="21"/>
                <w:szCs w:val="21"/>
              </w:rPr>
              <w:t>饱和蒸气压（kPa）</w:t>
            </w:r>
          </w:p>
        </w:tc>
        <w:tc>
          <w:tcPr>
            <w:tcW w:w="2425"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0.13(15.3</w:t>
            </w:r>
            <w:r>
              <w:rPr>
                <w:rFonts w:hint="eastAsia" w:ascii="宋体" w:hAnsi="宋体" w:cs="宋体"/>
                <w:color w:val="auto"/>
                <w:sz w:val="21"/>
                <w:szCs w:val="21"/>
              </w:rPr>
              <w:t>℃</w:t>
            </w:r>
            <w:r>
              <w:rPr>
                <w:color w:val="auto"/>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溶解性</w:t>
            </w:r>
          </w:p>
        </w:tc>
        <w:tc>
          <w:tcPr>
            <w:tcW w:w="7264" w:type="dxa"/>
            <w:gridSpan w:val="8"/>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溶于水、醇、醚，不溶于苯、石油醚。</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restart"/>
            <w:tcBorders>
              <w:top w:val="single" w:color="auto" w:sz="4" w:space="0"/>
              <w:left w:val="single" w:color="auto" w:sz="6" w:space="0"/>
              <w:bottom w:val="single" w:color="auto" w:sz="6" w:space="0"/>
              <w:right w:val="single" w:color="auto" w:sz="6" w:space="0"/>
            </w:tcBorders>
            <w:vAlign w:val="center"/>
          </w:tcPr>
          <w:p>
            <w:pPr>
              <w:adjustRightInd/>
              <w:snapToGrid/>
              <w:spacing w:line="240" w:lineRule="exact"/>
              <w:ind w:firstLine="0" w:firstLineChars="0"/>
              <w:jc w:val="center"/>
              <w:rPr>
                <w:color w:val="auto"/>
                <w:spacing w:val="10"/>
                <w:sz w:val="21"/>
                <w:szCs w:val="21"/>
              </w:rPr>
            </w:pPr>
            <w:r>
              <w:rPr>
                <w:color w:val="auto"/>
                <w:spacing w:val="10"/>
                <w:sz w:val="21"/>
                <w:szCs w:val="21"/>
              </w:rPr>
              <w:t>毒性及健康危害</w:t>
            </w: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侵入途径</w:t>
            </w:r>
          </w:p>
        </w:tc>
        <w:tc>
          <w:tcPr>
            <w:tcW w:w="7264" w:type="dxa"/>
            <w:gridSpan w:val="8"/>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毒性</w:t>
            </w:r>
          </w:p>
        </w:tc>
        <w:tc>
          <w:tcPr>
            <w:tcW w:w="7264" w:type="dxa"/>
            <w:gridSpan w:val="8"/>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928"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健康危害</w:t>
            </w:r>
          </w:p>
        </w:tc>
        <w:tc>
          <w:tcPr>
            <w:tcW w:w="7264" w:type="dxa"/>
            <w:gridSpan w:val="8"/>
            <w:tcBorders>
              <w:top w:val="single" w:color="auto" w:sz="6" w:space="0"/>
              <w:left w:val="single" w:color="auto" w:sz="6" w:space="0"/>
              <w:bottom w:val="single" w:color="auto" w:sz="6" w:space="0"/>
              <w:right w:val="single" w:color="auto" w:sz="6" w:space="0"/>
            </w:tcBorders>
            <w:vAlign w:val="center"/>
          </w:tcPr>
          <w:p>
            <w:pPr>
              <w:adjustRightInd/>
              <w:snapToGrid/>
              <w:spacing w:line="240" w:lineRule="exact"/>
              <w:ind w:firstLine="0" w:firstLineChars="0"/>
              <w:jc w:val="left"/>
              <w:rPr>
                <w:color w:val="auto"/>
                <w:spacing w:val="10"/>
                <w:sz w:val="21"/>
                <w:szCs w:val="21"/>
              </w:rPr>
            </w:pPr>
            <w:r>
              <w:rPr>
                <w:color w:val="auto"/>
                <w:sz w:val="21"/>
                <w:szCs w:val="21"/>
              </w:rPr>
              <w:t>吸入本品蒸气或雾对呼吸道有强烈刺激性。眼直接接触液体可致不可逆损伤甚至失明。口服中毒出现腹痛、胸口痛、呼吸困难、呕吐、一时性运动和感觉障碍、体温升高等。个别病例出现视力障碍、癫痫样痉挛、轻瘫。长期接触本品可致接触性皮炎。</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restart"/>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燃烧爆炸危险性</w:t>
            </w: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燃烧性</w:t>
            </w:r>
          </w:p>
        </w:tc>
        <w:tc>
          <w:tcPr>
            <w:tcW w:w="2245"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助燃</w:t>
            </w:r>
          </w:p>
        </w:tc>
        <w:tc>
          <w:tcPr>
            <w:tcW w:w="2412" w:type="dxa"/>
            <w:gridSpan w:val="3"/>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燃烧分解物</w:t>
            </w:r>
          </w:p>
        </w:tc>
        <w:tc>
          <w:tcPr>
            <w:tcW w:w="2607" w:type="dxa"/>
            <w:gridSpan w:val="3"/>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氧气、水。</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闪点(</w:t>
            </w:r>
            <w:r>
              <w:rPr>
                <w:rFonts w:hint="eastAsia" w:ascii="宋体" w:hAnsi="宋体" w:cs="宋体"/>
                <w:color w:val="auto"/>
                <w:spacing w:val="10"/>
                <w:sz w:val="21"/>
                <w:szCs w:val="21"/>
              </w:rPr>
              <w:t>℃</w:t>
            </w:r>
            <w:r>
              <w:rPr>
                <w:color w:val="auto"/>
                <w:spacing w:val="10"/>
                <w:sz w:val="21"/>
                <w:szCs w:val="21"/>
              </w:rPr>
              <w:t>)</w:t>
            </w:r>
          </w:p>
        </w:tc>
        <w:tc>
          <w:tcPr>
            <w:tcW w:w="2245"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w:t>
            </w:r>
          </w:p>
        </w:tc>
        <w:tc>
          <w:tcPr>
            <w:tcW w:w="2412" w:type="dxa"/>
            <w:gridSpan w:val="3"/>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爆炸上限%（v%）：</w:t>
            </w:r>
          </w:p>
        </w:tc>
        <w:tc>
          <w:tcPr>
            <w:tcW w:w="2607" w:type="dxa"/>
            <w:gridSpan w:val="3"/>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自燃温度(</w:t>
            </w:r>
            <w:r>
              <w:rPr>
                <w:rFonts w:hint="eastAsia" w:ascii="宋体" w:hAnsi="宋体" w:cs="宋体"/>
                <w:color w:val="auto"/>
                <w:spacing w:val="10"/>
                <w:sz w:val="21"/>
                <w:szCs w:val="21"/>
              </w:rPr>
              <w:t>℃</w:t>
            </w:r>
            <w:r>
              <w:rPr>
                <w:color w:val="auto"/>
                <w:spacing w:val="10"/>
                <w:sz w:val="21"/>
                <w:szCs w:val="21"/>
              </w:rPr>
              <w:t>)</w:t>
            </w:r>
          </w:p>
        </w:tc>
        <w:tc>
          <w:tcPr>
            <w:tcW w:w="2245"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w:t>
            </w:r>
          </w:p>
        </w:tc>
        <w:tc>
          <w:tcPr>
            <w:tcW w:w="2412" w:type="dxa"/>
            <w:gridSpan w:val="3"/>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爆炸下限%（v%）：</w:t>
            </w:r>
          </w:p>
        </w:tc>
        <w:tc>
          <w:tcPr>
            <w:tcW w:w="2607" w:type="dxa"/>
            <w:gridSpan w:val="3"/>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8"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危险特性</w:t>
            </w:r>
          </w:p>
        </w:tc>
        <w:tc>
          <w:tcPr>
            <w:tcW w:w="7264" w:type="dxa"/>
            <w:gridSpan w:val="8"/>
            <w:tcBorders>
              <w:top w:val="single" w:color="auto" w:sz="6" w:space="0"/>
              <w:left w:val="single" w:color="auto" w:sz="6" w:space="0"/>
              <w:bottom w:val="single" w:color="auto" w:sz="6" w:space="0"/>
              <w:right w:val="single" w:color="auto" w:sz="6" w:space="0"/>
            </w:tcBorders>
            <w:vAlign w:val="center"/>
          </w:tcPr>
          <w:p>
            <w:pPr>
              <w:adjustRightInd/>
              <w:snapToGrid/>
              <w:spacing w:line="240" w:lineRule="exact"/>
              <w:ind w:firstLine="0" w:firstLineChars="0"/>
              <w:jc w:val="left"/>
              <w:rPr>
                <w:color w:val="auto"/>
                <w:spacing w:val="-4"/>
                <w:sz w:val="21"/>
                <w:szCs w:val="21"/>
              </w:rPr>
            </w:pPr>
            <w:r>
              <w:rPr>
                <w:color w:val="auto"/>
                <w:spacing w:val="-4"/>
                <w:sz w:val="21"/>
                <w:szCs w:val="21"/>
              </w:rPr>
              <w:t>爆炸性强氧化剂。过氧化氢本身不燃，但能与可燃物反应放出大量热量和氧气而引起着火爆炸。过氧化氢在pH值为3.5～4.5时最稳定，在碱性溶液中极易分解，在遇强光，特别是短波射线照射时也能发生分解。当加热到 100</w:t>
            </w:r>
            <w:r>
              <w:rPr>
                <w:rFonts w:hint="eastAsia" w:ascii="宋体" w:hAnsi="宋体" w:cs="宋体"/>
                <w:color w:val="auto"/>
                <w:spacing w:val="-4"/>
                <w:sz w:val="21"/>
                <w:szCs w:val="21"/>
              </w:rPr>
              <w:t>℃</w:t>
            </w:r>
            <w:r>
              <w:rPr>
                <w:color w:val="auto"/>
                <w:spacing w:val="-4"/>
                <w:sz w:val="21"/>
                <w:szCs w:val="21"/>
              </w:rPr>
              <w:t>以上时，开始急剧分解。它与许多有机物如糖、淀粉、醇类、石油产品等形成爆炸性混合物，在撞击、受热或电火花作用下能发生爆炸。过氧化氢与许多无机化合物或杂质接触后会迅速分解而导致爆炸，放出大量的热量、氧和水蒸气。大多数重金属（如铁、铜、银、铅、汞、锌、钴、镍、铬、锰等）及其氧化物和盐类都是活性催化剂，尘土、香烟灰、碳粉、铁锈等也能加速分解。浓度超过74％的过氧化氢，在具有适当的点火源或温度的密闭容器中，能产生气相爆炸。</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1"/>
                <w:sz w:val="21"/>
                <w:szCs w:val="21"/>
              </w:rPr>
              <w:t>建规火险分级</w:t>
            </w:r>
          </w:p>
        </w:tc>
        <w:tc>
          <w:tcPr>
            <w:tcW w:w="2245"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甲</w:t>
            </w:r>
          </w:p>
        </w:tc>
        <w:tc>
          <w:tcPr>
            <w:tcW w:w="1204"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稳定性</w:t>
            </w:r>
          </w:p>
        </w:tc>
        <w:tc>
          <w:tcPr>
            <w:tcW w:w="1208"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稳定</w:t>
            </w:r>
          </w:p>
        </w:tc>
        <w:tc>
          <w:tcPr>
            <w:tcW w:w="1301" w:type="dxa"/>
            <w:gridSpan w:val="2"/>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聚合危害</w:t>
            </w:r>
          </w:p>
        </w:tc>
        <w:tc>
          <w:tcPr>
            <w:tcW w:w="1306"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不聚合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color w:val="auto"/>
                <w:spacing w:val="10"/>
                <w:sz w:val="21"/>
                <w:szCs w:val="21"/>
              </w:rPr>
            </w:pPr>
            <w:r>
              <w:rPr>
                <w:color w:val="auto"/>
                <w:spacing w:val="10"/>
                <w:sz w:val="21"/>
                <w:szCs w:val="21"/>
              </w:rPr>
              <w:t>禁忌物</w:t>
            </w:r>
          </w:p>
        </w:tc>
        <w:tc>
          <w:tcPr>
            <w:tcW w:w="7264" w:type="dxa"/>
            <w:gridSpan w:val="8"/>
            <w:tcBorders>
              <w:top w:val="single" w:color="auto" w:sz="6" w:space="0"/>
              <w:left w:val="single" w:color="auto" w:sz="6" w:space="0"/>
              <w:bottom w:val="single" w:color="auto" w:sz="6" w:space="0"/>
              <w:right w:val="single" w:color="auto" w:sz="6" w:space="0"/>
            </w:tcBorders>
            <w:vAlign w:val="center"/>
          </w:tcPr>
          <w:p>
            <w:pPr>
              <w:adjustRightInd/>
              <w:snapToGrid/>
              <w:spacing w:line="200" w:lineRule="atLeast"/>
              <w:ind w:firstLine="0" w:firstLineChars="0"/>
              <w:jc w:val="center"/>
              <w:rPr>
                <w:b/>
                <w:color w:val="auto"/>
                <w:spacing w:val="10"/>
                <w:sz w:val="21"/>
                <w:szCs w:val="21"/>
              </w:rPr>
            </w:pPr>
            <w:r>
              <w:rPr>
                <w:color w:val="auto"/>
                <w:sz w:val="21"/>
                <w:szCs w:val="21"/>
              </w:rPr>
              <w:t>易燃或可燃物、强还原剂、铜、铁、铁盐、锌、活性金属粉末。</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vMerge w:val="continue"/>
            <w:tcBorders>
              <w:top w:val="single" w:color="auto" w:sz="6" w:space="0"/>
              <w:left w:val="single" w:color="auto" w:sz="6" w:space="0"/>
              <w:bottom w:val="single" w:color="auto" w:sz="6" w:space="0"/>
              <w:right w:val="single" w:color="auto" w:sz="6" w:space="0"/>
            </w:tcBorders>
            <w:vAlign w:val="center"/>
          </w:tcPr>
          <w:p>
            <w:pPr>
              <w:widowControl/>
              <w:adjustRightInd/>
              <w:snapToGrid/>
              <w:spacing w:line="200" w:lineRule="atLeast"/>
              <w:ind w:firstLine="0" w:firstLineChars="0"/>
              <w:jc w:val="center"/>
              <w:rPr>
                <w:color w:val="auto"/>
                <w:spacing w:val="10"/>
                <w:sz w:val="21"/>
                <w:szCs w:val="21"/>
              </w:rPr>
            </w:pPr>
          </w:p>
        </w:tc>
        <w:tc>
          <w:tcPr>
            <w:tcW w:w="1570" w:type="dxa"/>
            <w:tcBorders>
              <w:top w:val="single" w:color="auto" w:sz="6" w:space="0"/>
              <w:left w:val="single" w:color="auto" w:sz="6" w:space="0"/>
              <w:bottom w:val="single" w:color="auto" w:sz="6" w:space="0"/>
              <w:right w:val="single" w:color="auto" w:sz="6" w:space="0"/>
            </w:tcBorders>
            <w:vAlign w:val="center"/>
          </w:tcPr>
          <w:p>
            <w:pPr>
              <w:adjustRightInd/>
              <w:snapToGrid/>
              <w:spacing w:line="240" w:lineRule="exact"/>
              <w:ind w:firstLine="0" w:firstLineChars="0"/>
              <w:jc w:val="center"/>
              <w:rPr>
                <w:color w:val="auto"/>
                <w:spacing w:val="10"/>
                <w:sz w:val="21"/>
                <w:szCs w:val="21"/>
              </w:rPr>
            </w:pPr>
            <w:r>
              <w:rPr>
                <w:color w:val="auto"/>
                <w:spacing w:val="10"/>
                <w:sz w:val="21"/>
                <w:szCs w:val="21"/>
              </w:rPr>
              <w:t>灭火方法</w:t>
            </w:r>
          </w:p>
        </w:tc>
        <w:tc>
          <w:tcPr>
            <w:tcW w:w="7264" w:type="dxa"/>
            <w:gridSpan w:val="8"/>
            <w:tcBorders>
              <w:top w:val="single" w:color="auto" w:sz="6" w:space="0"/>
              <w:left w:val="single" w:color="auto" w:sz="6" w:space="0"/>
              <w:bottom w:val="single" w:color="auto" w:sz="6" w:space="0"/>
              <w:right w:val="single" w:color="auto" w:sz="6" w:space="0"/>
            </w:tcBorders>
            <w:vAlign w:val="center"/>
          </w:tcPr>
          <w:p>
            <w:pPr>
              <w:adjustRightInd/>
              <w:snapToGrid/>
              <w:spacing w:line="240" w:lineRule="exact"/>
              <w:ind w:firstLine="0" w:firstLineChars="0"/>
              <w:jc w:val="center"/>
              <w:rPr>
                <w:color w:val="auto"/>
                <w:spacing w:val="-6"/>
                <w:sz w:val="21"/>
                <w:szCs w:val="21"/>
              </w:rPr>
            </w:pPr>
            <w:r>
              <w:rPr>
                <w:color w:val="auto"/>
                <w:spacing w:val="-6"/>
                <w:kern w:val="0"/>
                <w:sz w:val="21"/>
                <w:szCs w:val="21"/>
              </w:rPr>
              <w:t>消防人员必须穿全身防火防毒服，在上风向灭火。尽可能将容器从火场移至空旷处。喷水保持火场容器冷却，直至灭火结束。处在火场中的容器若已变色或从安全泄压装置中产生声音，必须马上撤离。灭火剂：水、雾状水、干粉、砂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5" w:hRule="atLeast"/>
          <w:jc w:val="center"/>
        </w:trPr>
        <w:tc>
          <w:tcPr>
            <w:tcW w:w="567" w:type="dxa"/>
            <w:tcBorders>
              <w:top w:val="single" w:color="auto" w:sz="6" w:space="0"/>
              <w:left w:val="single" w:color="auto" w:sz="6" w:space="0"/>
              <w:bottom w:val="single" w:color="auto" w:sz="6" w:space="0"/>
              <w:right w:val="single" w:color="auto" w:sz="6" w:space="0"/>
            </w:tcBorders>
            <w:vAlign w:val="center"/>
          </w:tcPr>
          <w:p>
            <w:pPr>
              <w:spacing w:line="240" w:lineRule="exact"/>
              <w:ind w:firstLine="0" w:firstLineChars="0"/>
              <w:jc w:val="center"/>
              <w:textAlignment w:val="top"/>
              <w:rPr>
                <w:color w:val="auto"/>
                <w:spacing w:val="10"/>
                <w:sz w:val="21"/>
                <w:szCs w:val="21"/>
              </w:rPr>
            </w:pPr>
            <w:r>
              <w:rPr>
                <w:color w:val="auto"/>
                <w:sz w:val="21"/>
                <w:szCs w:val="21"/>
              </w:rPr>
              <w:t>急救措施</w:t>
            </w:r>
          </w:p>
        </w:tc>
        <w:tc>
          <w:tcPr>
            <w:tcW w:w="8834" w:type="dxa"/>
            <w:gridSpan w:val="9"/>
            <w:tcBorders>
              <w:top w:val="single" w:color="auto" w:sz="6" w:space="0"/>
              <w:left w:val="single" w:color="auto" w:sz="6" w:space="0"/>
              <w:bottom w:val="single" w:color="auto" w:sz="6" w:space="0"/>
              <w:right w:val="single" w:color="auto" w:sz="6" w:space="0"/>
            </w:tcBorders>
            <w:vAlign w:val="center"/>
          </w:tcPr>
          <w:p>
            <w:pPr>
              <w:spacing w:line="240" w:lineRule="exact"/>
              <w:ind w:firstLine="0" w:firstLineChars="0"/>
              <w:jc w:val="left"/>
              <w:rPr>
                <w:color w:val="auto"/>
                <w:spacing w:val="10"/>
                <w:sz w:val="21"/>
                <w:szCs w:val="21"/>
              </w:rPr>
            </w:pPr>
            <w:r>
              <w:rPr>
                <w:rFonts w:hint="eastAsia" w:ascii="宋体" w:hAnsi="宋体" w:cs="宋体"/>
                <w:color w:val="auto"/>
                <w:sz w:val="21"/>
                <w:szCs w:val="21"/>
              </w:rPr>
              <w:t>①</w:t>
            </w:r>
            <w:r>
              <w:rPr>
                <w:color w:val="auto"/>
                <w:sz w:val="21"/>
                <w:szCs w:val="21"/>
              </w:rPr>
              <w:t>皮肤接触：脱去污染的衣着，用大量流动清水冲洗。</w:t>
            </w:r>
            <w:r>
              <w:rPr>
                <w:rFonts w:hint="eastAsia" w:ascii="宋体" w:hAnsi="宋体" w:cs="宋体"/>
                <w:color w:val="auto"/>
                <w:sz w:val="21"/>
                <w:szCs w:val="21"/>
              </w:rPr>
              <w:t>②</w:t>
            </w:r>
            <w:r>
              <w:rPr>
                <w:color w:val="auto"/>
                <w:sz w:val="21"/>
                <w:szCs w:val="21"/>
              </w:rPr>
              <w:t>眼睛接触：立即提起眼睑，用大量流动清水或生理盐水彻底冲洗至少15分钟。就医。</w:t>
            </w:r>
            <w:r>
              <w:rPr>
                <w:rFonts w:hint="eastAsia" w:ascii="宋体" w:hAnsi="宋体" w:cs="宋体"/>
                <w:color w:val="auto"/>
                <w:sz w:val="21"/>
                <w:szCs w:val="21"/>
              </w:rPr>
              <w:t>③</w:t>
            </w:r>
            <w:r>
              <w:rPr>
                <w:color w:val="auto"/>
                <w:sz w:val="21"/>
                <w:szCs w:val="21"/>
              </w:rPr>
              <w:t>吸入：迅速脱离现场至空气新鲜处。保持呼吸道通畅。如呼吸困难，给输氧。如呼吸停止，立即进行人工呼吸。就医。</w:t>
            </w:r>
            <w:r>
              <w:rPr>
                <w:rFonts w:hint="eastAsia" w:ascii="宋体" w:hAnsi="宋体" w:cs="宋体"/>
                <w:color w:val="auto"/>
                <w:sz w:val="21"/>
                <w:szCs w:val="21"/>
              </w:rPr>
              <w:t>④</w:t>
            </w:r>
            <w:r>
              <w:rPr>
                <w:color w:val="auto"/>
                <w:sz w:val="21"/>
                <w:szCs w:val="21"/>
              </w:rPr>
              <w:t>食入：饮足量温水，催吐。就医。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3" w:hRule="atLeast"/>
          <w:jc w:val="center"/>
        </w:trPr>
        <w:tc>
          <w:tcPr>
            <w:tcW w:w="567" w:type="dxa"/>
            <w:tcBorders>
              <w:top w:val="single" w:color="auto" w:sz="6" w:space="0"/>
              <w:left w:val="single" w:color="auto" w:sz="6" w:space="0"/>
              <w:bottom w:val="single" w:color="auto" w:sz="6" w:space="0"/>
              <w:right w:val="single" w:color="auto" w:sz="6" w:space="0"/>
            </w:tcBorders>
            <w:vAlign w:val="center"/>
          </w:tcPr>
          <w:p>
            <w:pPr>
              <w:spacing w:line="200" w:lineRule="atLeast"/>
              <w:ind w:firstLine="0" w:firstLineChars="0"/>
              <w:jc w:val="center"/>
              <w:textAlignment w:val="top"/>
              <w:rPr>
                <w:color w:val="auto"/>
                <w:sz w:val="21"/>
                <w:szCs w:val="21"/>
              </w:rPr>
            </w:pPr>
            <w:r>
              <w:rPr>
                <w:color w:val="auto"/>
                <w:kern w:val="0"/>
                <w:sz w:val="21"/>
                <w:szCs w:val="21"/>
              </w:rPr>
              <w:t>泄漏处置</w:t>
            </w:r>
          </w:p>
        </w:tc>
        <w:tc>
          <w:tcPr>
            <w:tcW w:w="8834" w:type="dxa"/>
            <w:gridSpan w:val="9"/>
            <w:tcBorders>
              <w:top w:val="single" w:color="auto" w:sz="6" w:space="0"/>
              <w:left w:val="single" w:color="auto" w:sz="6" w:space="0"/>
              <w:bottom w:val="single" w:color="auto" w:sz="6" w:space="0"/>
              <w:right w:val="single" w:color="auto" w:sz="6" w:space="0"/>
            </w:tcBorders>
            <w:vAlign w:val="center"/>
          </w:tcPr>
          <w:p>
            <w:pPr>
              <w:spacing w:line="240" w:lineRule="exact"/>
              <w:ind w:firstLine="0" w:firstLineChars="0"/>
              <w:jc w:val="left"/>
              <w:rPr>
                <w:b/>
                <w:color w:val="auto"/>
                <w:sz w:val="21"/>
                <w:szCs w:val="21"/>
              </w:rPr>
            </w:pPr>
            <w:r>
              <w:rPr>
                <w:color w:val="auto"/>
                <w:sz w:val="21"/>
                <w:szCs w:val="21"/>
              </w:rPr>
              <w:t>迅速撤离泄漏污染区人员至安全区，并进行隔离，严格限制出入。建议应急处理人员戴自给正压式呼吸器，穿防毒服。尽可能切断泄漏源。防止流入下水道、排洪沟等限制性空间。小量泄漏：用砂土、蛭石或其它惰性材料吸收。也可以用大量水冲洗，洗水稀释后放入废水系统。大量泄漏：构筑围堤或挖坑收容。喷雾状水冷却和稀释蒸汽、保护现场人员、把泄漏物稀释成不燃物。用泵转移至槽车或专用收集器内，回收或运至废物处理场所处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21" w:hRule="atLeast"/>
          <w:jc w:val="center"/>
        </w:trPr>
        <w:tc>
          <w:tcPr>
            <w:tcW w:w="567" w:type="dxa"/>
            <w:tcBorders>
              <w:top w:val="single" w:color="auto" w:sz="6" w:space="0"/>
              <w:left w:val="single" w:color="auto" w:sz="6" w:space="0"/>
              <w:bottom w:val="single" w:color="auto" w:sz="6" w:space="0"/>
              <w:right w:val="single" w:color="auto" w:sz="6" w:space="0"/>
            </w:tcBorders>
            <w:vAlign w:val="center"/>
          </w:tcPr>
          <w:p>
            <w:pPr>
              <w:spacing w:line="200" w:lineRule="atLeast"/>
              <w:ind w:firstLine="0" w:firstLineChars="0"/>
              <w:jc w:val="center"/>
              <w:textAlignment w:val="top"/>
              <w:rPr>
                <w:color w:val="auto"/>
                <w:kern w:val="0"/>
                <w:sz w:val="21"/>
                <w:szCs w:val="21"/>
              </w:rPr>
            </w:pPr>
            <w:r>
              <w:rPr>
                <w:color w:val="auto"/>
                <w:kern w:val="0"/>
                <w:sz w:val="21"/>
                <w:szCs w:val="21"/>
              </w:rPr>
              <w:t>储运注意事项</w:t>
            </w:r>
          </w:p>
        </w:tc>
        <w:tc>
          <w:tcPr>
            <w:tcW w:w="8834" w:type="dxa"/>
            <w:gridSpan w:val="9"/>
            <w:tcBorders>
              <w:top w:val="single" w:color="auto" w:sz="6" w:space="0"/>
              <w:left w:val="single" w:color="auto" w:sz="6" w:space="0"/>
              <w:bottom w:val="single" w:color="auto" w:sz="6" w:space="0"/>
              <w:right w:val="single" w:color="auto" w:sz="6" w:space="0"/>
            </w:tcBorders>
            <w:vAlign w:val="center"/>
          </w:tcPr>
          <w:p>
            <w:pPr>
              <w:spacing w:line="240" w:lineRule="exact"/>
              <w:ind w:firstLine="0" w:firstLineChars="0"/>
              <w:jc w:val="left"/>
              <w:rPr>
                <w:color w:val="auto"/>
                <w:spacing w:val="-4"/>
                <w:sz w:val="21"/>
                <w:szCs w:val="21"/>
              </w:rPr>
            </w:pPr>
            <w:r>
              <w:rPr>
                <w:rFonts w:hint="eastAsia" w:ascii="宋体" w:hAnsi="宋体" w:cs="宋体"/>
                <w:color w:val="auto"/>
                <w:spacing w:val="-4"/>
                <w:sz w:val="21"/>
                <w:szCs w:val="21"/>
              </w:rPr>
              <w:t>①</w:t>
            </w:r>
            <w:r>
              <w:rPr>
                <w:color w:val="auto"/>
                <w:spacing w:val="-4"/>
                <w:sz w:val="21"/>
                <w:szCs w:val="21"/>
              </w:rPr>
              <w:t>储存注意事项：储存于阴凉、通风的库房。远离火种、热源。库温不宜超过30</w:t>
            </w:r>
            <w:r>
              <w:rPr>
                <w:rFonts w:hint="eastAsia" w:ascii="宋体" w:hAnsi="宋体" w:cs="宋体"/>
                <w:color w:val="auto"/>
                <w:spacing w:val="-4"/>
                <w:sz w:val="21"/>
                <w:szCs w:val="21"/>
              </w:rPr>
              <w:t>℃</w:t>
            </w:r>
            <w:r>
              <w:rPr>
                <w:color w:val="auto"/>
                <w:spacing w:val="-4"/>
                <w:sz w:val="21"/>
                <w:szCs w:val="21"/>
              </w:rPr>
              <w:t>。保持容器密封。应与易（可）燃物、还原剂、活性金属粉末等分开存放，切忌混储。储区应备有泄漏应急处理设备和合适的收容材料。</w:t>
            </w:r>
          </w:p>
          <w:p>
            <w:pPr>
              <w:spacing w:line="240" w:lineRule="exact"/>
              <w:ind w:firstLine="0" w:firstLineChars="0"/>
              <w:jc w:val="left"/>
              <w:rPr>
                <w:b/>
                <w:color w:val="auto"/>
                <w:sz w:val="21"/>
                <w:szCs w:val="21"/>
              </w:rPr>
            </w:pPr>
            <w:r>
              <w:rPr>
                <w:rFonts w:hint="eastAsia" w:ascii="宋体" w:hAnsi="宋体" w:cs="宋体"/>
                <w:color w:val="auto"/>
                <w:spacing w:val="-4"/>
                <w:sz w:val="21"/>
                <w:szCs w:val="21"/>
              </w:rPr>
              <w:t>②</w:t>
            </w:r>
            <w:r>
              <w:rPr>
                <w:color w:val="auto"/>
                <w:spacing w:val="-4"/>
                <w:sz w:val="21"/>
                <w:szCs w:val="21"/>
              </w:rPr>
              <w:t>运输注意事项：双氧水应添加足够的稳定剂。含量≥40% 的双氧水，运输时须经铁路局批准。双氧水限用全钢棚车按规定办理运输。试剂包装（含量＜40% ），可以按零担办理。设计的桶、罐、箱，须包装试验合格，并经铁路局批准；含量≤3%的双氧水，可按普通货物条件运输。铁路运输时应严格按照铁道部《危险货物运输规则》中的危险货物配装表进行配装。运输时单独装运，运输过程中要确保容器不泄漏、不倒塌、不坠落、不损坏。严禁与酸类、易燃物、有机物、还原剂、自燃物品、遇湿易燃物品等并车混运。运输时车速不宜过快，不得强行超车。公路运输时要按规定路线行驶。运输车辆装卸前后，均应彻底清扫、洗净，严禁混入有机物、易燃物等杂质。</w:t>
            </w:r>
          </w:p>
        </w:tc>
      </w:tr>
      <w:bookmarkEnd w:id="3438"/>
      <w:bookmarkEnd w:id="3439"/>
      <w:bookmarkEnd w:id="3440"/>
      <w:bookmarkEnd w:id="3441"/>
      <w:bookmarkEnd w:id="3442"/>
      <w:bookmarkEnd w:id="3443"/>
      <w:bookmarkEnd w:id="3444"/>
      <w:bookmarkEnd w:id="3445"/>
      <w:bookmarkEnd w:id="3446"/>
      <w:bookmarkEnd w:id="3447"/>
      <w:bookmarkEnd w:id="3448"/>
      <w:bookmarkEnd w:id="3454"/>
      <w:bookmarkEnd w:id="3455"/>
      <w:bookmarkEnd w:id="3456"/>
      <w:bookmarkEnd w:id="3457"/>
    </w:tbl>
    <w:p>
      <w:pPr>
        <w:pStyle w:val="16"/>
        <w:ind w:firstLine="0" w:firstLineChars="0"/>
        <w:rPr>
          <w:sz w:val="15"/>
          <w:szCs w:val="15"/>
        </w:rPr>
      </w:pPr>
      <w:bookmarkStart w:id="3458" w:name="_Toc118297988"/>
      <w:bookmarkStart w:id="3459" w:name="_Toc22850"/>
      <w:bookmarkStart w:id="3460" w:name="_Toc16351"/>
      <w:bookmarkStart w:id="3461" w:name="_Toc20284"/>
      <w:bookmarkStart w:id="3462" w:name="_Toc16454"/>
      <w:bookmarkStart w:id="3463" w:name="_Toc24275"/>
      <w:bookmarkStart w:id="3464" w:name="_Toc117866077"/>
      <w:bookmarkStart w:id="3465" w:name="_Toc15157"/>
      <w:bookmarkStart w:id="3466" w:name="_Toc21364"/>
      <w:bookmarkStart w:id="3467" w:name="_Toc118131130"/>
    </w:p>
    <w:p>
      <w:pPr>
        <w:pStyle w:val="4"/>
        <w:ind w:firstLine="482"/>
        <w:rPr>
          <w:sz w:val="24"/>
          <w:szCs w:val="24"/>
        </w:rPr>
      </w:pPr>
      <w:bookmarkStart w:id="3468" w:name="_Toc13243"/>
      <w:bookmarkStart w:id="3469" w:name="_Toc17615"/>
      <w:bookmarkStart w:id="3470" w:name="_Toc16964"/>
      <w:bookmarkStart w:id="3471" w:name="_Toc26422"/>
      <w:bookmarkStart w:id="3472" w:name="_Toc21315"/>
      <w:bookmarkStart w:id="3473" w:name="_Toc17703"/>
      <w:bookmarkStart w:id="3474" w:name="_Toc31952"/>
      <w:bookmarkStart w:id="3475" w:name="_Toc10160"/>
      <w:bookmarkStart w:id="3476" w:name="_Toc32633"/>
      <w:bookmarkStart w:id="3477" w:name="_Toc30600"/>
      <w:bookmarkStart w:id="3478" w:name="_Toc22464"/>
      <w:bookmarkStart w:id="3479" w:name="_Toc16583"/>
      <w:bookmarkStart w:id="3480" w:name="_Toc14052"/>
      <w:bookmarkStart w:id="3481" w:name="_Toc23285"/>
      <w:bookmarkStart w:id="3482" w:name="_Toc23835"/>
      <w:bookmarkStart w:id="3483" w:name="_Toc30740"/>
      <w:r>
        <w:rPr>
          <w:rFonts w:hint="eastAsia"/>
          <w:sz w:val="24"/>
          <w:szCs w:val="24"/>
        </w:rPr>
        <w:t>F2.4.3 主要危险、有害物质的存在部位</w:t>
      </w:r>
      <w:bookmarkEnd w:id="3458"/>
      <w:bookmarkEnd w:id="3459"/>
      <w:bookmarkEnd w:id="3460"/>
      <w:bookmarkEnd w:id="3461"/>
      <w:bookmarkEnd w:id="3462"/>
      <w:bookmarkEnd w:id="3463"/>
      <w:bookmarkEnd w:id="3464"/>
      <w:bookmarkEnd w:id="3465"/>
      <w:bookmarkEnd w:id="3466"/>
      <w:bookmarkEnd w:id="3467"/>
      <w:bookmarkEnd w:id="3468"/>
      <w:bookmarkEnd w:id="3469"/>
      <w:bookmarkEnd w:id="3470"/>
      <w:bookmarkEnd w:id="3471"/>
      <w:bookmarkEnd w:id="3472"/>
      <w:bookmarkEnd w:id="3473"/>
      <w:bookmarkEnd w:id="3474"/>
      <w:bookmarkEnd w:id="3475"/>
      <w:bookmarkEnd w:id="3476"/>
      <w:bookmarkEnd w:id="3477"/>
      <w:bookmarkEnd w:id="3478"/>
      <w:bookmarkEnd w:id="3479"/>
      <w:bookmarkEnd w:id="3480"/>
      <w:bookmarkEnd w:id="3481"/>
      <w:bookmarkEnd w:id="3482"/>
      <w:bookmarkEnd w:id="3483"/>
    </w:p>
    <w:bookmarkEnd w:id="3449"/>
    <w:bookmarkEnd w:id="3450"/>
    <w:bookmarkEnd w:id="3451"/>
    <w:bookmarkEnd w:id="3452"/>
    <w:bookmarkEnd w:id="3453"/>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2092"/>
        <w:gridCol w:w="6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blHeader/>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b/>
                <w:color w:val="auto"/>
                <w:sz w:val="21"/>
                <w:szCs w:val="21"/>
              </w:rPr>
            </w:pPr>
            <w:bookmarkStart w:id="3484" w:name="_Toc30394"/>
            <w:bookmarkStart w:id="3485" w:name="_Toc117866078"/>
            <w:bookmarkStart w:id="3486" w:name="_Toc31381"/>
            <w:bookmarkStart w:id="3487" w:name="_Toc15703"/>
            <w:bookmarkStart w:id="3488" w:name="_Toc29428"/>
            <w:bookmarkStart w:id="3489" w:name="_Toc14228"/>
            <w:bookmarkStart w:id="3490" w:name="_Toc20173"/>
            <w:bookmarkStart w:id="3491" w:name="_Toc118297989"/>
            <w:bookmarkStart w:id="3492" w:name="_Toc1731"/>
            <w:bookmarkStart w:id="3493" w:name="_Toc118131131"/>
            <w:bookmarkStart w:id="3494" w:name="_Toc11206"/>
            <w:bookmarkStart w:id="3495" w:name="_Toc128056506"/>
            <w:bookmarkStart w:id="3496" w:name="_Toc14001"/>
            <w:bookmarkStart w:id="3497" w:name="_Toc9129"/>
            <w:bookmarkStart w:id="3498" w:name="_Toc2074"/>
            <w:bookmarkStart w:id="3499" w:name="_Toc42724705"/>
            <w:bookmarkStart w:id="3500" w:name="_Toc128056496"/>
            <w:r>
              <w:rPr>
                <w:rFonts w:hint="eastAsia" w:ascii="宋体" w:hAnsi="宋体"/>
                <w:b/>
                <w:color w:val="auto"/>
                <w:sz w:val="21"/>
                <w:szCs w:val="21"/>
              </w:rPr>
              <w:t>序号</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b/>
                <w:color w:val="auto"/>
                <w:sz w:val="21"/>
                <w:szCs w:val="21"/>
              </w:rPr>
            </w:pPr>
            <w:r>
              <w:rPr>
                <w:rFonts w:hint="eastAsia" w:ascii="宋体" w:hAnsi="宋体"/>
                <w:b/>
                <w:color w:val="auto"/>
                <w:sz w:val="21"/>
                <w:szCs w:val="21"/>
              </w:rPr>
              <w:t>事故类别</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b/>
                <w:color w:val="auto"/>
                <w:sz w:val="21"/>
                <w:szCs w:val="21"/>
              </w:rPr>
            </w:pPr>
            <w:r>
              <w:rPr>
                <w:rFonts w:hint="eastAsia" w:ascii="宋体" w:hAnsi="宋体"/>
                <w:b/>
                <w:color w:val="auto"/>
                <w:sz w:val="21"/>
                <w:szCs w:val="21"/>
              </w:rPr>
              <w:t>存 在 部 位 或 场 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1</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中毒窒息</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沸腾炉平台、余热锅炉平台、旋风除尘器平台、电除尘器平台、净化工序、SO</w:t>
            </w:r>
            <w:r>
              <w:rPr>
                <w:rFonts w:hint="eastAsia" w:ascii="宋体" w:hAnsi="宋体"/>
                <w:color w:val="auto"/>
                <w:sz w:val="21"/>
                <w:szCs w:val="21"/>
                <w:vertAlign w:val="subscript"/>
              </w:rPr>
              <w:t>2</w:t>
            </w:r>
            <w:r>
              <w:rPr>
                <w:rFonts w:hint="eastAsia" w:ascii="宋体" w:hAnsi="宋体"/>
                <w:color w:val="auto"/>
                <w:sz w:val="21"/>
                <w:szCs w:val="21"/>
              </w:rPr>
              <w:t>风机房、转化工序、干吸工序、尾气工序、污水处理、有限空间、设备安装、检修过程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2</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化学灼伤、化学腐蚀</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净化工序、干吸工序、尾气工序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ascii="宋体" w:hAnsi="宋体"/>
                <w:color w:val="auto"/>
                <w:sz w:val="21"/>
                <w:szCs w:val="21"/>
              </w:rPr>
              <w:t>3</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灼烫</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沸腾炉、余热锅炉、转化器等设备的安装、检修过程；烟气管道等本体及周围；蒸汽管道、阀门接口处。文氏管、填料塔；尾吸塔、干吸塔、硫酸储罐以及相配套的管道、泵、装车区域。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ascii="宋体" w:hAnsi="宋体"/>
                <w:color w:val="auto"/>
                <w:sz w:val="21"/>
                <w:szCs w:val="21"/>
              </w:rPr>
              <w:t>4</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机械伤害</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风机、泵、皮带输送机等运转机械设备作业点、设备安装、检修过程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5</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电气伤害</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配电柜、各用电设备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6</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物体打击</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在设备安装、试车、检修和房屋检修过程中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7</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高处坠落</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沸腾炉平台、余热锅炉平台、旋风除尘器平台、电除尘器平台、净化工序、转化工序、干吸工序、尾气工序、设备安装、检修过程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8</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起重伤害</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发电机起重机作业点、设备安装、检修过程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9</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车辆伤害</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厂区道路、装车区域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ascii="宋体" w:hAnsi="宋体"/>
                <w:color w:val="auto"/>
                <w:sz w:val="21"/>
                <w:szCs w:val="21"/>
              </w:rPr>
              <w:t>10</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淹溺</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污水收集池、澄清池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ascii="宋体" w:hAnsi="宋体"/>
                <w:color w:val="auto"/>
                <w:sz w:val="21"/>
                <w:szCs w:val="21"/>
              </w:rPr>
              <w:t>11</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噪声</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整个厂区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ascii="宋体" w:hAnsi="宋体"/>
                <w:color w:val="auto"/>
                <w:sz w:val="21"/>
                <w:szCs w:val="21"/>
              </w:rPr>
              <w:t>12</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火灾、爆炸</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沸腾炉点火升温点、设备安装、检修过程、余热锅炉、蒸汽管道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393"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1</w:t>
            </w:r>
            <w:r>
              <w:rPr>
                <w:rFonts w:ascii="宋体" w:hAnsi="宋体"/>
                <w:color w:val="auto"/>
                <w:sz w:val="21"/>
                <w:szCs w:val="21"/>
              </w:rPr>
              <w:t>3</w:t>
            </w:r>
          </w:p>
        </w:tc>
        <w:tc>
          <w:tcPr>
            <w:tcW w:w="1126"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粉尘伤害</w:t>
            </w:r>
          </w:p>
        </w:tc>
        <w:tc>
          <w:tcPr>
            <w:tcW w:w="3480" w:type="pct"/>
            <w:vAlign w:val="center"/>
          </w:tcPr>
          <w:p>
            <w:pPr>
              <w:keepNext w:val="0"/>
              <w:keepLines w:val="0"/>
              <w:pageBreakBefore w:val="0"/>
              <w:widowControl w:val="0"/>
              <w:kinsoku/>
              <w:wordWrap/>
              <w:overflowPunct/>
              <w:topLinePunct/>
              <w:autoSpaceDE/>
              <w:autoSpaceDN/>
              <w:bidi w:val="0"/>
              <w:adjustRightInd w:val="0"/>
              <w:snapToGrid w:val="0"/>
              <w:spacing w:line="240" w:lineRule="exact"/>
              <w:ind w:firstLine="0" w:firstLineChars="0"/>
              <w:jc w:val="center"/>
              <w:textAlignment w:val="auto"/>
              <w:rPr>
                <w:rFonts w:ascii="宋体" w:hAnsi="宋体"/>
                <w:color w:val="auto"/>
                <w:sz w:val="21"/>
                <w:szCs w:val="21"/>
              </w:rPr>
            </w:pPr>
            <w:r>
              <w:rPr>
                <w:rFonts w:hint="eastAsia" w:ascii="宋体" w:hAnsi="宋体"/>
                <w:color w:val="auto"/>
                <w:sz w:val="21"/>
                <w:szCs w:val="21"/>
              </w:rPr>
              <w:t>原料堆场、渣库</w:t>
            </w:r>
          </w:p>
        </w:tc>
      </w:tr>
    </w:tbl>
    <w:p>
      <w:pPr>
        <w:pStyle w:val="3"/>
        <w:keepNext w:val="0"/>
        <w:keepLines w:val="0"/>
        <w:pageBreakBefore w:val="0"/>
        <w:widowControl w:val="0"/>
        <w:kinsoku/>
        <w:wordWrap/>
        <w:overflowPunct/>
        <w:topLinePunct w:val="0"/>
        <w:autoSpaceDE/>
        <w:autoSpaceDN/>
        <w:bidi w:val="0"/>
        <w:adjustRightInd w:val="0"/>
        <w:snapToGrid w:val="0"/>
        <w:ind w:left="0" w:leftChars="0" w:firstLine="562" w:firstLineChars="200"/>
        <w:textAlignment w:val="auto"/>
        <w:rPr>
          <w:rFonts w:ascii="黑体" w:hAnsi="黑体" w:eastAsia="黑体" w:cs="黑体"/>
        </w:rPr>
      </w:pPr>
      <w:bookmarkStart w:id="3501" w:name="_Toc3433"/>
      <w:bookmarkStart w:id="3502" w:name="_Toc16971"/>
      <w:bookmarkStart w:id="3503" w:name="_Toc31615"/>
      <w:bookmarkStart w:id="3504" w:name="_Toc12612"/>
      <w:bookmarkStart w:id="3505" w:name="_Toc21841"/>
      <w:bookmarkStart w:id="3506" w:name="_Toc22348"/>
      <w:bookmarkStart w:id="3507" w:name="_Toc11397"/>
      <w:bookmarkStart w:id="3508" w:name="_Toc8142"/>
      <w:bookmarkStart w:id="3509" w:name="_Toc20769"/>
      <w:bookmarkStart w:id="3510" w:name="_Toc26940"/>
      <w:bookmarkStart w:id="3511" w:name="_Toc16293"/>
      <w:bookmarkStart w:id="3512" w:name="_Toc16804"/>
      <w:bookmarkStart w:id="3513" w:name="_Toc16477"/>
      <w:bookmarkStart w:id="3514" w:name="_Toc11110"/>
      <w:bookmarkStart w:id="3515" w:name="_Toc19954"/>
      <w:bookmarkStart w:id="3516" w:name="_Toc8549"/>
      <w:bookmarkStart w:id="3517" w:name="_Toc19644"/>
      <w:bookmarkStart w:id="3518" w:name="_Toc27164"/>
      <w:bookmarkStart w:id="3519" w:name="_Toc13158"/>
      <w:bookmarkStart w:id="3520" w:name="_Toc5062"/>
      <w:bookmarkStart w:id="3521" w:name="_Toc11917"/>
      <w:bookmarkStart w:id="3522" w:name="_Toc14874"/>
      <w:bookmarkStart w:id="3523" w:name="_Toc20335"/>
      <w:bookmarkStart w:id="3524" w:name="_Toc7014"/>
      <w:bookmarkStart w:id="3525" w:name="_Toc6629"/>
      <w:r>
        <w:rPr>
          <w:rFonts w:hint="eastAsia" w:ascii="黑体" w:hAnsi="黑体" w:eastAsia="黑体" w:cs="黑体"/>
        </w:rPr>
        <w:t>F2.5 主要危险和有害因素分析</w:t>
      </w:r>
      <w:bookmarkEnd w:id="3484"/>
      <w:bookmarkEnd w:id="3485"/>
      <w:bookmarkEnd w:id="3486"/>
      <w:bookmarkEnd w:id="3487"/>
      <w:bookmarkEnd w:id="3488"/>
      <w:bookmarkEnd w:id="3489"/>
      <w:bookmarkEnd w:id="3490"/>
      <w:bookmarkEnd w:id="3491"/>
      <w:bookmarkEnd w:id="3492"/>
      <w:bookmarkEnd w:id="3493"/>
      <w:bookmarkEnd w:id="3494"/>
      <w:bookmarkEnd w:id="3501"/>
      <w:bookmarkEnd w:id="3502"/>
      <w:bookmarkEnd w:id="3503"/>
      <w:bookmarkEnd w:id="3504"/>
      <w:bookmarkEnd w:id="3505"/>
      <w:bookmarkEnd w:id="3506"/>
      <w:bookmarkEnd w:id="3507"/>
      <w:bookmarkEnd w:id="3508"/>
      <w:bookmarkEnd w:id="3509"/>
      <w:bookmarkEnd w:id="3510"/>
      <w:bookmarkEnd w:id="3511"/>
      <w:bookmarkEnd w:id="3512"/>
      <w:bookmarkEnd w:id="3513"/>
      <w:bookmarkEnd w:id="3514"/>
      <w:bookmarkEnd w:id="3515"/>
      <w:bookmarkEnd w:id="3516"/>
      <w:bookmarkEnd w:id="3517"/>
      <w:bookmarkEnd w:id="3518"/>
      <w:bookmarkEnd w:id="3519"/>
      <w:bookmarkEnd w:id="3520"/>
      <w:bookmarkEnd w:id="3521"/>
      <w:bookmarkEnd w:id="3522"/>
      <w:bookmarkEnd w:id="3523"/>
      <w:bookmarkEnd w:id="3524"/>
      <w:bookmarkEnd w:id="3525"/>
    </w:p>
    <w:p>
      <w:pPr>
        <w:pStyle w:val="4"/>
        <w:ind w:firstLine="562"/>
      </w:pPr>
      <w:bookmarkStart w:id="3526" w:name="_Toc8621"/>
      <w:bookmarkStart w:id="3527" w:name="_Toc25762"/>
      <w:bookmarkStart w:id="3528" w:name="_Toc20602"/>
      <w:bookmarkStart w:id="3529" w:name="_Toc25091"/>
      <w:bookmarkStart w:id="3530" w:name="_Toc15686"/>
      <w:bookmarkStart w:id="3531" w:name="_Toc18360"/>
      <w:bookmarkStart w:id="3532" w:name="_Toc8161"/>
      <w:bookmarkStart w:id="3533" w:name="_Toc7093"/>
      <w:bookmarkStart w:id="3534" w:name="_Toc19804"/>
      <w:bookmarkStart w:id="3535" w:name="_Toc16905"/>
      <w:bookmarkStart w:id="3536" w:name="_Toc8074"/>
      <w:bookmarkStart w:id="3537" w:name="_Toc31398"/>
      <w:bookmarkStart w:id="3538" w:name="_Toc28976"/>
      <w:bookmarkStart w:id="3539" w:name="_Toc13894"/>
      <w:bookmarkStart w:id="3540" w:name="_Toc2254"/>
      <w:bookmarkStart w:id="3541" w:name="_Toc15176"/>
      <w:bookmarkStart w:id="3542" w:name="_Toc13266"/>
      <w:bookmarkStart w:id="3543" w:name="_Toc28315"/>
      <w:bookmarkStart w:id="3544" w:name="_Toc19291"/>
      <w:bookmarkStart w:id="3545" w:name="_Toc19572"/>
      <w:bookmarkStart w:id="3546" w:name="_Toc10855"/>
      <w:bookmarkStart w:id="3547" w:name="_Toc27475"/>
      <w:r>
        <w:rPr>
          <w:rFonts w:hint="eastAsia"/>
        </w:rPr>
        <w:t>F2.5.1 厂址及总平面布置危险性分析</w:t>
      </w:r>
      <w:bookmarkEnd w:id="3495"/>
      <w:bookmarkEnd w:id="3496"/>
      <w:bookmarkEnd w:id="3497"/>
      <w:bookmarkEnd w:id="3498"/>
      <w:bookmarkEnd w:id="3526"/>
      <w:bookmarkEnd w:id="3527"/>
      <w:bookmarkEnd w:id="3528"/>
      <w:bookmarkEnd w:id="3529"/>
      <w:bookmarkEnd w:id="3530"/>
      <w:bookmarkEnd w:id="3531"/>
      <w:bookmarkEnd w:id="3532"/>
      <w:bookmarkEnd w:id="3533"/>
      <w:bookmarkEnd w:id="3534"/>
      <w:bookmarkEnd w:id="3535"/>
      <w:bookmarkEnd w:id="3536"/>
      <w:bookmarkEnd w:id="3537"/>
      <w:bookmarkEnd w:id="3538"/>
      <w:bookmarkEnd w:id="3539"/>
      <w:bookmarkEnd w:id="3540"/>
      <w:bookmarkEnd w:id="3541"/>
      <w:bookmarkEnd w:id="3542"/>
      <w:bookmarkEnd w:id="3543"/>
      <w:bookmarkEnd w:id="3544"/>
      <w:bookmarkEnd w:id="3545"/>
      <w:bookmarkEnd w:id="3546"/>
      <w:bookmarkEnd w:id="3547"/>
    </w:p>
    <w:p>
      <w:pPr>
        <w:pStyle w:val="5"/>
        <w:ind w:firstLine="562"/>
      </w:pPr>
      <w:bookmarkStart w:id="3548" w:name="_Toc224"/>
      <w:bookmarkStart w:id="3549" w:name="_Toc19555"/>
      <w:bookmarkStart w:id="3550" w:name="_Toc23150"/>
      <w:bookmarkStart w:id="3551" w:name="_Toc128056507"/>
      <w:r>
        <w:rPr>
          <w:rFonts w:hint="eastAsia"/>
        </w:rPr>
        <w:t>F2.5</w:t>
      </w:r>
      <w:r>
        <w:t>.1</w:t>
      </w:r>
      <w:r>
        <w:rPr>
          <w:rFonts w:hint="eastAsia"/>
        </w:rPr>
        <w:t>.1 厂址危险性分析</w:t>
      </w:r>
      <w:bookmarkEnd w:id="3548"/>
      <w:bookmarkEnd w:id="3549"/>
      <w:bookmarkEnd w:id="3550"/>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（1）工程地质方面的危险性分析</w:t>
      </w:r>
    </w:p>
    <w:p>
      <w:pPr>
        <w:keepNext w:val="0"/>
        <w:keepLines w:val="0"/>
        <w:pageBreakBefore w:val="0"/>
        <w:kinsoku/>
        <w:wordWrap/>
        <w:overflowPunct/>
        <w:autoSpaceDE/>
        <w:autoSpaceDN/>
        <w:bidi w:val="0"/>
        <w:adjustRightInd w:val="0"/>
        <w:snapToGrid w:val="0"/>
        <w:ind w:firstLine="560"/>
        <w:rPr>
          <w:color w:val="000000" w:themeColor="text1"/>
        </w:rPr>
      </w:pPr>
      <w:r>
        <w:rPr>
          <w:rFonts w:hint="eastAsia"/>
          <w:color w:val="000000" w:themeColor="text1"/>
        </w:rPr>
        <w:t>1）地质条件</w:t>
      </w:r>
      <w:bookmarkEnd w:id="3551"/>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地质灾害主要由地形地貌、地层岩性，地质构造、地下水、地震、暴雨等因素引发。同时，开挖渠道、机械振动等人类的工程活动可导致地质灾害的发生。工程地质条件不良可导致地面裂缝、地面沉降、地面塌陷等多种类型地质灾害，增加场地改造成本，甚至影响建构筑物安全。</w:t>
      </w:r>
    </w:p>
    <w:p>
      <w:pPr>
        <w:keepNext w:val="0"/>
        <w:keepLines w:val="0"/>
        <w:pageBreakBefore w:val="0"/>
        <w:kinsoku/>
        <w:wordWrap/>
        <w:overflowPunct/>
        <w:autoSpaceDE/>
        <w:autoSpaceDN/>
        <w:bidi w:val="0"/>
        <w:adjustRightInd w:val="0"/>
        <w:snapToGrid w:val="0"/>
        <w:ind w:firstLine="560"/>
        <w:rPr>
          <w:color w:val="000000" w:themeColor="text1"/>
          <w:spacing w:val="8"/>
          <w:szCs w:val="28"/>
        </w:rPr>
      </w:pPr>
      <w:r>
        <w:rPr>
          <w:rFonts w:hint="eastAsia" w:ascii="宋体" w:hAnsi="宋体"/>
          <w:color w:val="000000" w:themeColor="text1"/>
          <w:szCs w:val="28"/>
        </w:rPr>
        <w:t>根据评价人员现场踏勘并结合跃进化工多年运行情况，</w:t>
      </w:r>
      <w:r>
        <w:rPr>
          <w:rFonts w:hint="eastAsia"/>
          <w:color w:val="000000" w:themeColor="text1"/>
          <w:spacing w:val="8"/>
          <w:szCs w:val="28"/>
        </w:rPr>
        <w:t>同时</w:t>
      </w:r>
      <w:r>
        <w:rPr>
          <w:rFonts w:hint="eastAsia" w:ascii="宋体" w:hAnsi="宋体"/>
          <w:color w:val="000000" w:themeColor="text1"/>
          <w:szCs w:val="28"/>
        </w:rPr>
        <w:t>结合上次现状评价报告，正常情况下工程地质条件对项目影响程度在可接受范围内。</w:t>
      </w:r>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2）水文地质的危害</w:t>
      </w:r>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跃进化工周边南面紧邻顺濞河，根据建厂时地勘报告显示，跃进化工建筑基础位于地下水位以上，地下水对地基基础无影响。</w:t>
      </w:r>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3）地震危害</w:t>
      </w:r>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地震是一种自然灾害，是不可抗拒的，甚至是毁灭性的因素。其对人造成伤亡或对建筑物及设备造成突发损害的因素；有害因素直接或间接影响人的身体健康，导致疾病或对建筑物和设备、环境造成损害的因素。由于地质构造、岩浆活动等地质异常活动现象，易产生地震自然灾害。</w:t>
      </w:r>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项目场地区域抗震设防烈度为8度，地震易破坏建筑物基础，造成建筑物坍塌，对人员、设备设施造成危害，项目建构筑物按当地地震烈度设防，正常情况下的风险在可接受范围内。</w:t>
      </w:r>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（2）气象条件方面的危险性分析</w:t>
      </w:r>
    </w:p>
    <w:p>
      <w:pPr>
        <w:keepNext w:val="0"/>
        <w:keepLines w:val="0"/>
        <w:pageBreakBefore w:val="0"/>
        <w:kinsoku/>
        <w:wordWrap/>
        <w:overflowPunct/>
        <w:autoSpaceDE/>
        <w:autoSpaceDN/>
        <w:bidi w:val="0"/>
        <w:adjustRightInd w:val="0"/>
        <w:snapToGrid w:val="0"/>
        <w:ind w:firstLine="560"/>
        <w:jc w:val="left"/>
        <w:rPr>
          <w:rFonts w:ascii="宋体" w:hAnsi="宋体"/>
          <w:color w:val="auto"/>
          <w:szCs w:val="28"/>
        </w:rPr>
      </w:pPr>
      <w:r>
        <w:rPr>
          <w:rFonts w:hint="eastAsia" w:ascii="宋体" w:hAnsi="宋体"/>
          <w:color w:val="000000" w:themeColor="text1"/>
          <w:szCs w:val="28"/>
        </w:rPr>
        <w:t>1）高温天气：</w:t>
      </w:r>
      <w:r>
        <w:rPr>
          <w:rFonts w:hint="eastAsia" w:ascii="宋体" w:hAnsi="宋体"/>
          <w:color w:val="auto"/>
          <w:szCs w:val="28"/>
        </w:rPr>
        <w:t>高温天气对人体健康的主要影响是产生中暑及诱发心、脑血管疾病导致死亡。项目在运行过程中，夏季高温天气，作业人员如长时间曝露在日光下，或高温设备周围，有发生中暑的危险。低温环境会让人体温降低，使人的操作能力明显降低，注意力不集中，作业失误率增高。</w:t>
      </w:r>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2）大雾：大雾天气可能会因为能见度低，导致出入厂区的车辆驾驶人员视线不好，导致车辆发生撞击、伤人事故。</w:t>
      </w:r>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3）大风：大风可能会造成高处未佩戴安全防护用品的人员发生高处坠落事故；或导致高处堆放的零散物件坠落，对地面的人员造成物体打击伤害；还可能导致扬尘，造成现场灰尘弥漫，视线不清，从而引发机械伤害、车辆伤害、触电伤害等事故的发生，引起财产损失和人员伤亡。</w:t>
      </w:r>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4）暴雨：暴雨是主要气象灾害之一。长时间的暴雨容易产生积水或径流淹没低洼地段，造成洪涝灾害。设备可能受潮、生产车间、配电室漏雨，地面积水导致电气设备、线路、开关装置短路，发生漏电伤人事故。暴雨可能厂内排水沟疏通不畅，下暴雨时雨水不能有效排出厂外，有可能冲蚀厂区建构筑物基础，造成厂房垮塌等事故。</w:t>
      </w:r>
    </w:p>
    <w:p>
      <w:pPr>
        <w:keepNext w:val="0"/>
        <w:keepLines w:val="0"/>
        <w:pageBreakBefore w:val="0"/>
        <w:kinsoku/>
        <w:wordWrap/>
        <w:overflowPunct/>
        <w:autoSpaceDE/>
        <w:autoSpaceDN/>
        <w:bidi w:val="0"/>
        <w:adjustRightInd w:val="0"/>
        <w:snapToGrid w:val="0"/>
        <w:ind w:firstLine="560"/>
        <w:jc w:val="left"/>
        <w:rPr>
          <w:rFonts w:ascii="宋体" w:hAnsi="宋体"/>
          <w:color w:val="000000" w:themeColor="text1"/>
          <w:szCs w:val="28"/>
        </w:rPr>
      </w:pPr>
      <w:r>
        <w:rPr>
          <w:rFonts w:hint="eastAsia" w:ascii="宋体" w:hAnsi="宋体"/>
          <w:color w:val="000000" w:themeColor="text1"/>
          <w:szCs w:val="28"/>
        </w:rPr>
        <w:t>5）雷击：雷电事故有可能造成对高耸的建筑物和电气设备造成破坏。若企业没有委托有防雷检测资质的单位进行检测，或未严格按照防雷检测报告中的整改建议进行认真整改，有可能发生雷击事故。</w:t>
      </w:r>
    </w:p>
    <w:p>
      <w:pPr>
        <w:keepNext w:val="0"/>
        <w:keepLines w:val="0"/>
        <w:pageBreakBefore w:val="0"/>
        <w:kinsoku/>
        <w:wordWrap/>
        <w:overflowPunct/>
        <w:autoSpaceDE/>
        <w:autoSpaceDN/>
        <w:bidi w:val="0"/>
        <w:adjustRightInd w:val="0"/>
        <w:snapToGrid w:val="0"/>
        <w:ind w:firstLine="560"/>
        <w:jc w:val="left"/>
        <w:rPr>
          <w:rFonts w:hint="eastAsia" w:ascii="宋体" w:hAnsi="宋体"/>
          <w:color w:val="000000" w:themeColor="text1"/>
          <w:szCs w:val="28"/>
        </w:rPr>
      </w:pPr>
      <w:r>
        <w:rPr>
          <w:rFonts w:hint="eastAsia" w:ascii="宋体" w:hAnsi="宋体"/>
          <w:color w:val="000000" w:themeColor="text1"/>
          <w:szCs w:val="28"/>
        </w:rPr>
        <w:t>自然危害因素是客观存在的，其产生不可抗拒，但项目通过采取按照规范设计建构筑物的抗震设防烈度、安装防雷设施、完善排水设施，上述自然危害因素可以预防和减轻。跃进化工防雷设施由有资质的单位定期进行检测，因此，正常情况下，上述因素对项目的影响在可接受范围内。</w:t>
      </w:r>
      <w:bookmarkStart w:id="3552" w:name="_Toc128056509"/>
    </w:p>
    <w:p>
      <w:pPr>
        <w:keepNext w:val="0"/>
        <w:keepLines w:val="0"/>
        <w:pageBreakBefore w:val="0"/>
        <w:numPr>
          <w:ilvl w:val="0"/>
          <w:numId w:val="0"/>
        </w:numPr>
        <w:kinsoku/>
        <w:wordWrap/>
        <w:overflowPunct/>
        <w:autoSpaceDE/>
        <w:autoSpaceDN/>
        <w:bidi w:val="0"/>
        <w:adjustRightInd w:val="0"/>
        <w:snapToGrid w:val="0"/>
        <w:ind w:firstLine="560" w:firstLineChars="200"/>
        <w:jc w:val="left"/>
        <w:rPr>
          <w:rFonts w:hint="eastAsia"/>
          <w:color w:val="000000" w:themeColor="text1"/>
        </w:rPr>
      </w:pPr>
      <w:r>
        <w:rPr>
          <w:rFonts w:hint="eastAsia" w:ascii="Times New Roman" w:hAnsi="Times New Roman" w:eastAsia="宋体" w:cs="Times New Roman"/>
          <w:color w:val="000000" w:themeColor="text1"/>
          <w:kern w:val="2"/>
          <w:sz w:val="28"/>
          <w:szCs w:val="24"/>
          <w:lang w:val="en-US" w:eastAsia="zh-CN" w:bidi="ar-SA"/>
        </w:rPr>
        <w:t>（3）</w:t>
      </w:r>
      <w:r>
        <w:rPr>
          <w:rFonts w:hint="eastAsia"/>
          <w:color w:val="000000" w:themeColor="text1"/>
        </w:rPr>
        <w:t>与周边环境相互影响分析</w:t>
      </w:r>
      <w:bookmarkEnd w:id="3552"/>
    </w:p>
    <w:p>
      <w:pPr>
        <w:keepNext w:val="0"/>
        <w:keepLines w:val="0"/>
        <w:pageBreakBefore w:val="0"/>
        <w:numPr>
          <w:ilvl w:val="0"/>
          <w:numId w:val="0"/>
        </w:numPr>
        <w:kinsoku/>
        <w:wordWrap/>
        <w:overflowPunct/>
        <w:autoSpaceDE/>
        <w:autoSpaceDN/>
        <w:bidi w:val="0"/>
        <w:adjustRightInd w:val="0"/>
        <w:snapToGrid w:val="0"/>
        <w:ind w:firstLine="560" w:firstLineChars="200"/>
        <w:jc w:val="left"/>
        <w:rPr>
          <w:rFonts w:ascii="宋体" w:hAnsi="宋体"/>
          <w:color w:val="auto"/>
          <w:szCs w:val="28"/>
          <w:u w:color="000000"/>
        </w:rPr>
      </w:pPr>
      <w:r>
        <w:rPr>
          <w:rFonts w:hint="eastAsia" w:ascii="宋体" w:hAnsi="宋体"/>
          <w:color w:val="auto"/>
          <w:szCs w:val="28"/>
          <w:u w:color="000000"/>
        </w:rPr>
        <w:t>跃进化工工厂设备设施沿顺濞河北岸河谷东北西南向布置，地基高于河床2m。厂址北面为3</w:t>
      </w:r>
      <w:r>
        <w:rPr>
          <w:rFonts w:ascii="宋体" w:hAnsi="宋体"/>
          <w:color w:val="auto"/>
          <w:szCs w:val="28"/>
          <w:u w:color="000000"/>
        </w:rPr>
        <w:t>20</w:t>
      </w:r>
      <w:r>
        <w:rPr>
          <w:rFonts w:hint="eastAsia" w:ascii="宋体" w:hAnsi="宋体"/>
          <w:color w:val="auto"/>
          <w:szCs w:val="28"/>
          <w:u w:color="000000"/>
        </w:rPr>
        <w:t>国道及山地，山地有农田、树木；东面为杭瑞高速公路及山林。常年主导风向西南风，下风向2km内主要是山林，无农作物，有2~3户民居：上风向2km内均是山林。厂区附近1km内无工矿企业、人口稠密区，没有自然保护区、水源保护区、古树名木、国家保护珍稀动植物，也没有文物保护单位、公共设施、水厂、车站、码头、军事禁区等。</w:t>
      </w:r>
    </w:p>
    <w:p>
      <w:pPr>
        <w:widowControl/>
        <w:topLinePunct/>
        <w:spacing w:beforeLines="50"/>
        <w:ind w:firstLine="560"/>
        <w:textAlignment w:val="baseline"/>
        <w:rPr>
          <w:color w:val="auto"/>
        </w:rPr>
      </w:pPr>
      <w:r>
        <w:rPr>
          <w:rFonts w:hint="eastAsia"/>
          <w:color w:val="auto"/>
        </w:rPr>
        <w:t>根据《危险化学品生产装置和储存设施外部安全防护距离确定方法》（GB/T37243-2019）中规定：</w:t>
      </w:r>
    </w:p>
    <w:p>
      <w:pPr>
        <w:ind w:firstLine="560"/>
        <w:rPr>
          <w:color w:val="auto"/>
        </w:rPr>
      </w:pPr>
      <w:r>
        <w:rPr>
          <w:rFonts w:hint="eastAsia"/>
          <w:color w:val="auto"/>
        </w:rPr>
        <w:t>“4.2 涉及爆炸物的危险化学品生产装置和储存设施应采用事故后果法确定外部安全防护距离。”</w:t>
      </w:r>
    </w:p>
    <w:p>
      <w:pPr>
        <w:ind w:firstLine="560"/>
        <w:rPr>
          <w:color w:val="auto"/>
        </w:rPr>
      </w:pPr>
      <w:r>
        <w:rPr>
          <w:rFonts w:hint="eastAsia"/>
          <w:color w:val="auto"/>
        </w:rPr>
        <w:t>“4.3 涉及有毒气体或易燃气体，且其设计最大量与GB18218中规定的临界量比值之和大于或等于1的危险化学品生产装置和储存设施应采用定量风险评价方法确定外部安全防护距离。当企业存在上述装置和设施时，应将企业内部所有的危险化学品生产装置和储存设施作为一个整体进行定量风险评估，确定外部安全防护距离。”</w:t>
      </w:r>
    </w:p>
    <w:p>
      <w:pPr>
        <w:ind w:firstLine="560"/>
        <w:rPr>
          <w:color w:val="auto"/>
        </w:rPr>
      </w:pPr>
      <w:r>
        <w:rPr>
          <w:rFonts w:hint="eastAsia"/>
          <w:color w:val="auto"/>
        </w:rPr>
        <w:t>“4.4 本标准4.2及4.3规定以外的危险化学品生产装置和储存设施的外部安全防护距离应满足相关标准规范的距离要求。”</w:t>
      </w:r>
    </w:p>
    <w:p>
      <w:pPr>
        <w:pStyle w:val="62"/>
        <w:topLinePunct/>
        <w:ind w:firstLine="560"/>
        <w:rPr>
          <w:rFonts w:ascii="宋体" w:hAnsi="宋体"/>
          <w:color w:val="auto"/>
          <w:szCs w:val="28"/>
        </w:rPr>
      </w:pPr>
      <w:r>
        <w:rPr>
          <w:rFonts w:hint="eastAsia"/>
          <w:color w:val="auto"/>
          <w:kern w:val="0"/>
          <w:szCs w:val="28"/>
        </w:rPr>
        <w:t>硫酸、二氧化硫、三氧化硫、</w:t>
      </w:r>
      <w:r>
        <w:rPr>
          <w:rFonts w:hint="eastAsia" w:hAnsi="宋体" w:cs="宋体"/>
          <w:szCs w:val="28"/>
        </w:rPr>
        <w:t>双氧水</w:t>
      </w:r>
      <w:r>
        <w:rPr>
          <w:rFonts w:hint="eastAsia"/>
          <w:color w:val="auto"/>
          <w:kern w:val="0"/>
          <w:szCs w:val="28"/>
        </w:rPr>
        <w:t>、五氧化二钒及柴油</w:t>
      </w:r>
      <w:r>
        <w:rPr>
          <w:rFonts w:hint="eastAsia"/>
          <w:color w:val="auto"/>
        </w:rPr>
        <w:t>不属于爆炸物、有毒气体，也</w:t>
      </w:r>
      <w:r>
        <w:rPr>
          <w:rFonts w:hint="eastAsia" w:ascii="宋体" w:hAnsi="宋体"/>
          <w:snapToGrid w:val="0"/>
          <w:color w:val="000000" w:themeColor="text1"/>
          <w:kern w:val="0"/>
          <w:szCs w:val="28"/>
        </w:rPr>
        <w:t>不</w:t>
      </w:r>
      <w:r>
        <w:rPr>
          <w:rFonts w:hint="eastAsia"/>
          <w:color w:val="auto"/>
        </w:rPr>
        <w:t>涉及有毒气体或易燃气体，并且跃进化工不构成重大危险源。故执行“4.4即本标准4.2及4.3规定以外的危险化学品生产装置和储存设施的外部安全防护距离应满足</w:t>
      </w:r>
      <w:r>
        <w:rPr>
          <w:rFonts w:hint="eastAsia"/>
          <w:color w:val="000000" w:themeColor="text1"/>
          <w:lang w:val="zh-CN"/>
        </w:rPr>
        <w:t>《建筑设计防火规范（2018年版）》（GB50016-2014）</w:t>
      </w:r>
      <w:r>
        <w:rPr>
          <w:rFonts w:hint="eastAsia"/>
          <w:color w:val="auto"/>
        </w:rPr>
        <w:t>的距离要求。</w:t>
      </w:r>
    </w:p>
    <w:p>
      <w:pPr>
        <w:ind w:firstLine="560"/>
        <w:jc w:val="left"/>
        <w:rPr>
          <w:rFonts w:ascii="宋体" w:hAnsi="宋体"/>
          <w:color w:val="000000" w:themeColor="text1"/>
          <w:szCs w:val="28"/>
        </w:rPr>
      </w:pPr>
      <w:r>
        <w:rPr>
          <w:rFonts w:hint="eastAsia" w:ascii="宋体" w:hAnsi="宋体"/>
          <w:color w:val="000000" w:themeColor="text1"/>
          <w:szCs w:val="28"/>
        </w:rPr>
        <w:t>跃进化工与周边单位防火间距符合</w:t>
      </w:r>
      <w:r>
        <w:rPr>
          <w:rFonts w:hint="eastAsia"/>
          <w:color w:val="000000" w:themeColor="text1"/>
          <w:lang w:val="zh-CN"/>
        </w:rPr>
        <w:t>《建筑设计防火规范（2018年版）》（GB50016-2014）</w:t>
      </w:r>
      <w:r>
        <w:rPr>
          <w:rFonts w:hint="eastAsia"/>
          <w:color w:val="000000" w:themeColor="text1"/>
        </w:rPr>
        <w:t>及</w:t>
      </w:r>
      <w:r>
        <w:rPr>
          <w:rFonts w:hint="eastAsia"/>
          <w:color w:val="auto"/>
        </w:rPr>
        <w:t>《危险化学品生产装置和储存设施外部安全防护距离确定方法》（GB/T37243-2019）</w:t>
      </w:r>
      <w:r>
        <w:rPr>
          <w:rFonts w:hint="eastAsia" w:ascii="宋体" w:hAnsi="宋体"/>
          <w:color w:val="000000" w:themeColor="text1"/>
          <w:szCs w:val="28"/>
        </w:rPr>
        <w:t>的要求。</w:t>
      </w:r>
    </w:p>
    <w:p>
      <w:pPr>
        <w:pStyle w:val="5"/>
        <w:ind w:firstLine="562"/>
      </w:pPr>
      <w:bookmarkStart w:id="3553" w:name="_Toc14040"/>
      <w:bookmarkStart w:id="3554" w:name="_Toc5790"/>
      <w:bookmarkStart w:id="3555" w:name="_Toc2351"/>
      <w:r>
        <w:rPr>
          <w:rFonts w:hint="eastAsia"/>
        </w:rPr>
        <w:t>F2</w:t>
      </w:r>
      <w:r>
        <w:t>.</w:t>
      </w:r>
      <w:r>
        <w:rPr>
          <w:rFonts w:hint="eastAsia"/>
        </w:rPr>
        <w:t>5</w:t>
      </w:r>
      <w:r>
        <w:t>.</w:t>
      </w:r>
      <w:r>
        <w:rPr>
          <w:rFonts w:hint="eastAsia"/>
        </w:rPr>
        <w:t>1.</w:t>
      </w:r>
      <w:r>
        <w:t>2</w:t>
      </w:r>
      <w:r>
        <w:rPr>
          <w:rFonts w:hint="eastAsia"/>
        </w:rPr>
        <w:t xml:space="preserve"> 总平面布置危险和有害因素分析</w:t>
      </w:r>
      <w:bookmarkEnd w:id="3553"/>
      <w:bookmarkEnd w:id="3554"/>
      <w:bookmarkEnd w:id="3555"/>
    </w:p>
    <w:p>
      <w:pPr>
        <w:ind w:firstLine="560"/>
        <w:jc w:val="left"/>
        <w:rPr>
          <w:rFonts w:ascii="宋体" w:hAnsi="宋体"/>
          <w:color w:val="000000" w:themeColor="text1"/>
          <w:szCs w:val="28"/>
        </w:rPr>
      </w:pPr>
      <w:r>
        <w:rPr>
          <w:rFonts w:hint="eastAsia" w:ascii="宋体" w:hAnsi="宋体"/>
          <w:color w:val="000000" w:themeColor="text1"/>
          <w:szCs w:val="28"/>
        </w:rPr>
        <w:t>总平面布置可能对项目造成危害的主要是防火间距、风向、道路、采光、通风、竖向布置等方面。总平面布置不合理主要可能导致火灾、中毒窒息、车辆伤害、机械伤害、触电等危险。引发事故的原因主要有：</w:t>
      </w:r>
    </w:p>
    <w:p>
      <w:pPr>
        <w:ind w:firstLine="560"/>
        <w:rPr>
          <w:rFonts w:ascii="宋体" w:hAnsi="宋体"/>
          <w:color w:val="000000" w:themeColor="text1"/>
          <w:szCs w:val="28"/>
        </w:rPr>
      </w:pPr>
      <w:r>
        <w:rPr>
          <w:rFonts w:hint="eastAsia" w:ascii="宋体" w:hAnsi="宋体"/>
          <w:color w:val="000000" w:themeColor="text1"/>
          <w:szCs w:val="28"/>
        </w:rPr>
        <w:t>（1）由于厂区道路空间限制，违章作业、管理不善、无安全警示标识或安全警戒线等可能会造成车辆伤害。</w:t>
      </w:r>
    </w:p>
    <w:p>
      <w:pPr>
        <w:ind w:firstLine="560"/>
        <w:rPr>
          <w:rFonts w:ascii="宋体" w:hAnsi="宋体"/>
          <w:color w:val="000000" w:themeColor="text1"/>
          <w:szCs w:val="28"/>
        </w:rPr>
      </w:pPr>
      <w:r>
        <w:rPr>
          <w:rFonts w:hint="eastAsia"/>
          <w:color w:val="000000" w:themeColor="text1"/>
        </w:rPr>
        <w:t>（</w:t>
      </w:r>
      <w:r>
        <w:rPr>
          <w:color w:val="000000" w:themeColor="text1"/>
        </w:rPr>
        <w:t>2）</w:t>
      </w:r>
      <w:r>
        <w:rPr>
          <w:rFonts w:hint="eastAsia" w:ascii="宋体" w:hAnsi="宋体"/>
          <w:color w:val="000000" w:themeColor="text1"/>
          <w:szCs w:val="28"/>
        </w:rPr>
        <w:t>在事故收集池、消防水池等处，由于光线不足；没有安全警示标识；标识不清；未设置防护栏杆或防护栏杆损坏、防护栏杆强度或高度不满足规范要求等，作业人员易误入其中可能会造成淹溺危险。</w:t>
      </w:r>
    </w:p>
    <w:p>
      <w:pPr>
        <w:ind w:firstLine="560"/>
        <w:rPr>
          <w:rFonts w:ascii="宋体" w:hAnsi="宋体"/>
          <w:color w:val="000000" w:themeColor="text1"/>
          <w:szCs w:val="28"/>
        </w:rPr>
      </w:pPr>
      <w:r>
        <w:rPr>
          <w:rFonts w:hint="eastAsia"/>
          <w:color w:val="000000" w:themeColor="text1"/>
        </w:rPr>
        <w:t>（</w:t>
      </w:r>
      <w:r>
        <w:rPr>
          <w:color w:val="000000" w:themeColor="text1"/>
        </w:rPr>
        <w:t>3</w:t>
      </w:r>
      <w:r>
        <w:rPr>
          <w:rFonts w:hint="eastAsia"/>
          <w:color w:val="000000" w:themeColor="text1"/>
        </w:rPr>
        <w:t>）</w:t>
      </w:r>
      <w:r>
        <w:rPr>
          <w:rFonts w:hint="eastAsia" w:ascii="宋体" w:hAnsi="宋体"/>
          <w:color w:val="000000" w:themeColor="text1"/>
          <w:szCs w:val="28"/>
        </w:rPr>
        <w:t>若生产厂房、配电室室内采光、照明不足，视线不清，可能导致误操作，引发火灾等二次事故的发生。</w:t>
      </w:r>
    </w:p>
    <w:p>
      <w:pPr>
        <w:ind w:firstLine="560"/>
        <w:jc w:val="left"/>
        <w:rPr>
          <w:rFonts w:ascii="宋体" w:hAnsi="宋体"/>
          <w:color w:val="000000" w:themeColor="text1"/>
          <w:szCs w:val="28"/>
        </w:rPr>
      </w:pPr>
      <w:r>
        <w:rPr>
          <w:rFonts w:hint="eastAsia" w:ascii="宋体" w:hAnsi="宋体"/>
          <w:color w:val="000000" w:themeColor="text1"/>
          <w:szCs w:val="28"/>
        </w:rPr>
        <w:t>（4）其他可能导致事故的原因。</w:t>
      </w:r>
    </w:p>
    <w:p>
      <w:pPr>
        <w:pStyle w:val="4"/>
        <w:ind w:firstLine="562"/>
      </w:pPr>
      <w:bookmarkStart w:id="3556" w:name="_Toc3511"/>
      <w:bookmarkStart w:id="3557" w:name="_Toc7795"/>
      <w:bookmarkStart w:id="3558" w:name="_Toc19356"/>
      <w:bookmarkStart w:id="3559" w:name="_Toc14363"/>
      <w:bookmarkStart w:id="3560" w:name="_Toc3652"/>
      <w:bookmarkStart w:id="3561" w:name="_Toc11237"/>
      <w:bookmarkStart w:id="3562" w:name="_Toc29379"/>
      <w:bookmarkStart w:id="3563" w:name="_Toc3201"/>
      <w:bookmarkStart w:id="3564" w:name="_Toc23666"/>
      <w:bookmarkStart w:id="3565" w:name="_Toc147"/>
      <w:bookmarkStart w:id="3566" w:name="_Toc29667"/>
      <w:bookmarkStart w:id="3567" w:name="_Toc16311"/>
      <w:bookmarkStart w:id="3568" w:name="_Toc19285"/>
      <w:bookmarkStart w:id="3569" w:name="_Toc3344"/>
      <w:bookmarkStart w:id="3570" w:name="_Toc16674"/>
      <w:bookmarkStart w:id="3571" w:name="_Toc15320"/>
      <w:bookmarkStart w:id="3572" w:name="_Toc19693"/>
      <w:bookmarkStart w:id="3573" w:name="_Toc21592"/>
      <w:bookmarkStart w:id="3574" w:name="_Toc13439"/>
      <w:bookmarkStart w:id="3575" w:name="_Toc16490"/>
      <w:bookmarkStart w:id="3576" w:name="_Toc23132"/>
      <w:bookmarkStart w:id="3577" w:name="_Toc13790"/>
      <w:bookmarkStart w:id="3578" w:name="_Toc7675"/>
      <w:bookmarkStart w:id="3579" w:name="_Toc8154"/>
      <w:bookmarkStart w:id="3580" w:name="_Toc11717"/>
      <w:r>
        <w:rPr>
          <w:rFonts w:hint="eastAsia"/>
        </w:rPr>
        <w:t>F2.5.2 生产工艺及设备设施危险性分析</w:t>
      </w:r>
      <w:bookmarkEnd w:id="3556"/>
      <w:bookmarkEnd w:id="3557"/>
      <w:bookmarkEnd w:id="3558"/>
      <w:bookmarkEnd w:id="3559"/>
      <w:bookmarkEnd w:id="3560"/>
      <w:bookmarkEnd w:id="3561"/>
      <w:bookmarkEnd w:id="3562"/>
      <w:bookmarkEnd w:id="3563"/>
      <w:bookmarkEnd w:id="3564"/>
      <w:bookmarkEnd w:id="3565"/>
      <w:bookmarkEnd w:id="3566"/>
      <w:bookmarkEnd w:id="3567"/>
      <w:bookmarkEnd w:id="3568"/>
      <w:bookmarkEnd w:id="3569"/>
      <w:bookmarkEnd w:id="3570"/>
      <w:bookmarkEnd w:id="3571"/>
      <w:bookmarkEnd w:id="3572"/>
      <w:bookmarkEnd w:id="3573"/>
      <w:bookmarkEnd w:id="3574"/>
      <w:bookmarkEnd w:id="3575"/>
      <w:bookmarkEnd w:id="3576"/>
      <w:bookmarkEnd w:id="3577"/>
      <w:bookmarkEnd w:id="3578"/>
      <w:bookmarkEnd w:id="3579"/>
      <w:bookmarkEnd w:id="3580"/>
    </w:p>
    <w:p>
      <w:pPr>
        <w:pStyle w:val="5"/>
        <w:ind w:firstLine="562"/>
      </w:pPr>
      <w:bookmarkStart w:id="3581" w:name="_Toc23235"/>
      <w:bookmarkStart w:id="3582" w:name="_Toc26719"/>
      <w:bookmarkStart w:id="3583" w:name="_Toc7378"/>
      <w:bookmarkStart w:id="3584" w:name="_Toc42724719"/>
      <w:r>
        <w:rPr>
          <w:rFonts w:hint="eastAsia"/>
        </w:rPr>
        <w:t xml:space="preserve">F2.5.2.1 </w:t>
      </w:r>
      <w:bookmarkEnd w:id="3581"/>
      <w:bookmarkEnd w:id="3582"/>
      <w:bookmarkEnd w:id="3583"/>
      <w:r>
        <w:rPr>
          <w:rFonts w:hint="eastAsia"/>
          <w:szCs w:val="20"/>
        </w:rPr>
        <w:t>硫酸生产过程危险性分析</w:t>
      </w:r>
    </w:p>
    <w:p>
      <w:pPr>
        <w:ind w:firstLine="560"/>
        <w:rPr>
          <w:color w:val="auto"/>
        </w:rPr>
      </w:pPr>
      <w:r>
        <w:rPr>
          <w:rFonts w:hint="eastAsia" w:ascii="宋体" w:hAnsi="宋体"/>
          <w:color w:val="auto"/>
        </w:rPr>
        <w:t>装置生产过程分</w:t>
      </w:r>
      <w:r>
        <w:rPr>
          <w:rFonts w:hint="eastAsia"/>
          <w:color w:val="auto"/>
        </w:rPr>
        <w:t>原料储存、焙烧、净化、转化、干吸、尾气吸收、污水处理</w:t>
      </w:r>
      <w:r>
        <w:rPr>
          <w:rFonts w:hint="eastAsia" w:ascii="宋体" w:hAnsi="宋体"/>
          <w:color w:val="auto"/>
        </w:rPr>
        <w:t>七个基本过程，</w:t>
      </w:r>
      <w:r>
        <w:rPr>
          <w:rFonts w:hint="eastAsia" w:ascii="宋体" w:hAnsi="宋体"/>
          <w:color w:val="auto"/>
          <w:szCs w:val="28"/>
        </w:rPr>
        <w:t>生产工艺过程主要可能存在的危险、有害因素如下：</w:t>
      </w:r>
    </w:p>
    <w:p>
      <w:pPr>
        <w:topLinePunct/>
        <w:ind w:left="284" w:firstLine="0" w:firstLineChars="0"/>
        <w:rPr>
          <w:rFonts w:ascii="宋体" w:hAnsi="宋体"/>
          <w:color w:val="auto"/>
        </w:rPr>
      </w:pPr>
      <w:r>
        <w:rPr>
          <w:rFonts w:hint="eastAsia" w:ascii="宋体" w:hAnsi="宋体"/>
          <w:color w:val="auto"/>
          <w:szCs w:val="28"/>
        </w:rPr>
        <w:t>（1）中毒窒息</w:t>
      </w:r>
    </w:p>
    <w:p>
      <w:pPr>
        <w:topLinePunct/>
        <w:ind w:firstLine="560"/>
        <w:rPr>
          <w:rFonts w:ascii="宋体" w:hAnsi="宋体" w:cs="宋体"/>
          <w:color w:val="auto"/>
          <w:szCs w:val="28"/>
        </w:rPr>
      </w:pPr>
      <w:r>
        <w:rPr>
          <w:rFonts w:hint="eastAsia" w:ascii="宋体" w:hAnsi="宋体" w:cs="宋体"/>
          <w:color w:val="auto"/>
          <w:szCs w:val="28"/>
        </w:rPr>
        <w:t>1）硫酸生产的中间产物二氧化硫、三氧化硫属酸性腐蚀品，具有刺激性，存在二氧化硫及三氧化硫的设备（如转化炉、干吸塔）和输送管道，在密封不严时发易发生泄漏、操作人员无防护或防护不当的情况下，很可能引起中毒。</w:t>
      </w:r>
    </w:p>
    <w:p>
      <w:pPr>
        <w:topLinePunct/>
        <w:ind w:firstLine="560"/>
        <w:rPr>
          <w:rFonts w:ascii="宋体" w:hAnsi="宋体" w:cs="宋体"/>
          <w:color w:val="auto"/>
          <w:szCs w:val="28"/>
        </w:rPr>
      </w:pPr>
      <w:r>
        <w:rPr>
          <w:rFonts w:hint="eastAsia" w:ascii="宋体" w:hAnsi="宋体" w:cs="宋体"/>
          <w:color w:val="auto"/>
          <w:szCs w:val="28"/>
        </w:rPr>
        <w:t>2）二氧化硫转化为三氧化硫过程中使用了五氧化二钒作为催化剂，五氧化二钒属于毒害品，在检修过程中更换催化剂，若未正确使用防护用品或操作则可能引起中毒。</w:t>
      </w:r>
    </w:p>
    <w:p>
      <w:pPr>
        <w:topLinePunct/>
        <w:ind w:firstLine="560"/>
        <w:rPr>
          <w:rFonts w:ascii="宋体" w:hAnsi="宋体" w:cs="宋体"/>
          <w:color w:val="auto"/>
          <w:szCs w:val="28"/>
        </w:rPr>
      </w:pPr>
      <w:r>
        <w:rPr>
          <w:rFonts w:hint="eastAsia" w:ascii="宋体" w:hAnsi="宋体" w:cs="宋体"/>
          <w:color w:val="auto"/>
          <w:szCs w:val="28"/>
        </w:rPr>
        <w:t>3）硫铁矿仓库发生火灾时所产生的二氧化硫等有毒气体可能引起周边操作人员的中毒、窒息。</w:t>
      </w:r>
    </w:p>
    <w:p>
      <w:pPr>
        <w:topLinePunct/>
        <w:ind w:firstLine="560"/>
        <w:rPr>
          <w:rFonts w:ascii="宋体" w:hAnsi="宋体" w:cs="宋体"/>
          <w:color w:val="auto"/>
          <w:szCs w:val="28"/>
        </w:rPr>
      </w:pPr>
      <w:r>
        <w:rPr>
          <w:rFonts w:hint="eastAsia" w:ascii="宋体" w:hAnsi="宋体" w:cs="宋体"/>
          <w:color w:val="auto"/>
          <w:szCs w:val="28"/>
        </w:rPr>
        <w:t>4）凡进入硫酸储罐、干吸塔等受限空间内进行检修、清理和从事其他工作，假如氧含量降到13%～16%，人会突然晕倒；降到13%以下，会死亡。受限空间不能用纯氧换气，因为氧是助燃物质，作业时有火星，会着火，引发事故伤人，受限空间内作业，与电气设施接触频繁，如果照明灯具、电动工具漏电，有可能导致人员触电事故。另外，由于在受限空间内部作业，人员活动不便，在作业时遇到安全隐患，身体移动受到一定的限制，不能及时脱离现场，大大增加了人员伤亡的比率。</w:t>
      </w:r>
    </w:p>
    <w:p>
      <w:pPr>
        <w:topLinePunct/>
        <w:ind w:firstLine="560"/>
        <w:rPr>
          <w:rFonts w:ascii="宋体" w:hAnsi="宋体"/>
          <w:color w:val="auto"/>
        </w:rPr>
      </w:pPr>
      <w:r>
        <w:rPr>
          <w:rFonts w:hint="eastAsia" w:ascii="宋体" w:hAnsi="宋体"/>
          <w:color w:val="auto"/>
          <w:szCs w:val="28"/>
        </w:rPr>
        <w:t>（2）化学灼伤、腐蚀、</w:t>
      </w:r>
    </w:p>
    <w:p>
      <w:pPr>
        <w:pStyle w:val="36"/>
        <w:topLinePunct/>
        <w:ind w:firstLine="560"/>
        <w:rPr>
          <w:rFonts w:ascii="宋体" w:hAnsi="宋体"/>
          <w:color w:val="auto"/>
        </w:rPr>
      </w:pPr>
      <w:r>
        <w:rPr>
          <w:rFonts w:hint="eastAsia" w:ascii="宋体" w:hAnsi="宋体"/>
          <w:bCs/>
          <w:snapToGrid w:val="0"/>
          <w:color w:val="auto"/>
          <w:kern w:val="0"/>
          <w:szCs w:val="28"/>
        </w:rPr>
        <w:t>1）本装置工艺过程中有大量腐蚀性化学品：硫酸存在，稀硫酸与金属设备和管道接触会造成管道、容器、设备和连接部件的损坏，轻则造成跑、冒、滴、漏，导致人员化学灼伤，重则由于设备强度降低发生破裂，造成设备内危险物质大量泄漏，导致更大的事故发生，或造成仪器仪表失灵，导致系统失控而造成重大事故。</w:t>
      </w:r>
    </w:p>
    <w:p>
      <w:pPr>
        <w:pStyle w:val="36"/>
        <w:topLinePunct/>
        <w:ind w:firstLine="560"/>
        <w:rPr>
          <w:rFonts w:ascii="宋体" w:hAnsi="宋体"/>
          <w:color w:val="auto"/>
        </w:rPr>
      </w:pPr>
      <w:r>
        <w:rPr>
          <w:rFonts w:hint="eastAsia" w:ascii="宋体" w:hAnsi="宋体"/>
          <w:color w:val="auto"/>
        </w:rPr>
        <w:t>2）硫酸属8.1类酸性腐蚀品在生产、运输、储存、使用过程中均会接触到硫酸，生产过程中中间产物二氧化硫、三氧化硫均具有腐蚀性，若设备、容器、管道故障发生泄漏，硫酸发生喷溅、滴漏，操件员未正确穿戴防护用品则可能引起化学灼伤。</w:t>
      </w:r>
    </w:p>
    <w:p>
      <w:pPr>
        <w:ind w:firstLine="560"/>
        <w:rPr>
          <w:rFonts w:ascii="宋体" w:hAnsi="宋体"/>
          <w:bCs/>
          <w:snapToGrid w:val="0"/>
          <w:color w:val="auto"/>
          <w:kern w:val="0"/>
          <w:szCs w:val="28"/>
        </w:rPr>
      </w:pPr>
      <w:r>
        <w:rPr>
          <w:rFonts w:hint="eastAsia" w:ascii="宋体" w:hAnsi="宋体"/>
          <w:bCs/>
          <w:snapToGrid w:val="0"/>
          <w:color w:val="auto"/>
          <w:kern w:val="0"/>
          <w:szCs w:val="28"/>
        </w:rPr>
        <w:t>3)硫酸引起的化学腐蚀还会对平台、基础、构架等造成损坏，严重时可发生平台倒塌事故。如果腐蚀发生在设备内部时，肉眼不能看见，由于壁厚测定漏项，造成设备或管道破裂，导致事故的发生。</w:t>
      </w:r>
    </w:p>
    <w:p>
      <w:pPr>
        <w:ind w:firstLine="560"/>
        <w:rPr>
          <w:rFonts w:ascii="宋体" w:hAnsi="宋体"/>
          <w:bCs/>
          <w:snapToGrid w:val="0"/>
          <w:color w:val="auto"/>
          <w:kern w:val="0"/>
          <w:szCs w:val="28"/>
        </w:rPr>
      </w:pPr>
      <w:r>
        <w:rPr>
          <w:rFonts w:hint="eastAsia" w:ascii="宋体" w:hAnsi="宋体"/>
          <w:bCs/>
          <w:snapToGrid w:val="0"/>
          <w:color w:val="auto"/>
          <w:kern w:val="0"/>
          <w:szCs w:val="28"/>
        </w:rPr>
        <w:t>4）硫酸为酸性腐蚀品，如接触人体皮肤可造成化学性灼伤；另外，三氧化硫和二氧化硫气体如泄漏可能引起呼吸道灼伤，尾气吸收工序操作人员未佩戴劳动防护用品接触纯碱或纯碱水溶液也有可能引起作业人员化学腐蚀和灼伤</w:t>
      </w:r>
      <w:r>
        <w:rPr>
          <w:rFonts w:ascii="宋体" w:hAnsi="宋体"/>
          <w:bCs/>
          <w:snapToGrid w:val="0"/>
          <w:color w:val="auto"/>
          <w:kern w:val="0"/>
          <w:szCs w:val="28"/>
        </w:rPr>
        <w:t>。</w:t>
      </w:r>
    </w:p>
    <w:p>
      <w:pPr>
        <w:topLinePunct/>
        <w:ind w:firstLine="560"/>
        <w:rPr>
          <w:rFonts w:ascii="宋体" w:hAnsi="宋体"/>
          <w:color w:val="auto"/>
        </w:rPr>
      </w:pPr>
      <w:r>
        <w:rPr>
          <w:rFonts w:hint="eastAsia" w:ascii="宋体" w:hAnsi="宋体"/>
          <w:color w:val="auto"/>
        </w:rPr>
        <w:t>5）硫酸生产过程，均为无机化学反应过程，具有高温和副反应多的特点，其反应生成的炉气成分复杂，特别是炉气中含有酸性气体成分和氧化铁渣，在高温、高速下对设备、容器、管道、阀门、管件等具有化学腐蚀及冲蚀作用，从而降低设备、容器、管道、阀门、管件的安全使用能和使用寿命。</w:t>
      </w:r>
    </w:p>
    <w:p>
      <w:pPr>
        <w:topLinePunct/>
        <w:ind w:firstLine="560"/>
        <w:rPr>
          <w:rFonts w:ascii="宋体" w:hAnsi="宋体"/>
          <w:color w:val="auto"/>
        </w:rPr>
      </w:pPr>
      <w:r>
        <w:rPr>
          <w:rFonts w:hint="eastAsia" w:ascii="宋体" w:hAnsi="宋体"/>
          <w:color w:val="auto"/>
          <w:szCs w:val="28"/>
        </w:rPr>
        <w:t>（3）灼烫</w:t>
      </w:r>
    </w:p>
    <w:p>
      <w:pPr>
        <w:topLinePunct/>
        <w:ind w:firstLine="560"/>
        <w:rPr>
          <w:rFonts w:ascii="宋体" w:hAnsi="宋体" w:cs="宋体"/>
          <w:color w:val="auto"/>
          <w:szCs w:val="28"/>
        </w:rPr>
      </w:pPr>
      <w:r>
        <w:rPr>
          <w:rFonts w:hint="eastAsia" w:ascii="宋体" w:hAnsi="宋体" w:cs="宋体"/>
          <w:color w:val="auto"/>
          <w:szCs w:val="28"/>
        </w:rPr>
        <w:t>本装置涉及的转化器、余热锅炉本体及周围；烟气管道本体及周围；蒸汽管道、阀门接口处；长时间运转的机械部件、设备检修过程等，以及烟气管道等本体及周围都存在高温环境，可能引起人员高温灼</w:t>
      </w:r>
      <w:r>
        <w:rPr>
          <w:rFonts w:hint="eastAsia" w:ascii="宋体" w:hAnsi="宋体"/>
          <w:color w:val="auto"/>
          <w:szCs w:val="28"/>
        </w:rPr>
        <w:t>烫</w:t>
      </w:r>
      <w:r>
        <w:rPr>
          <w:rFonts w:hint="eastAsia" w:ascii="宋体" w:hAnsi="宋体" w:cs="宋体"/>
          <w:color w:val="auto"/>
          <w:szCs w:val="28"/>
        </w:rPr>
        <w:t>。</w:t>
      </w:r>
    </w:p>
    <w:p>
      <w:pPr>
        <w:topLinePunct/>
        <w:ind w:firstLine="560"/>
        <w:rPr>
          <w:rFonts w:ascii="宋体" w:hAnsi="宋体" w:cs="宋体"/>
          <w:color w:val="auto"/>
          <w:szCs w:val="28"/>
        </w:rPr>
      </w:pPr>
      <w:r>
        <w:rPr>
          <w:rFonts w:hint="eastAsia" w:ascii="宋体" w:hAnsi="宋体" w:cs="宋体"/>
          <w:color w:val="auto"/>
          <w:szCs w:val="28"/>
        </w:rPr>
        <w:t>可能引发事故的原因主要有：</w:t>
      </w:r>
    </w:p>
    <w:p>
      <w:pPr>
        <w:pStyle w:val="36"/>
        <w:topLinePunct/>
        <w:ind w:left="560" w:firstLine="0" w:firstLineChars="0"/>
        <w:rPr>
          <w:rFonts w:ascii="宋体" w:hAnsi="宋体" w:cs="宋体"/>
          <w:color w:val="auto"/>
          <w:szCs w:val="28"/>
        </w:rPr>
      </w:pPr>
      <w:r>
        <w:rPr>
          <w:rFonts w:hint="eastAsia" w:ascii="宋体" w:hAnsi="宋体" w:cs="宋体"/>
          <w:color w:val="auto"/>
          <w:szCs w:val="28"/>
        </w:rPr>
        <w:t>1）保温层破损，高温设备、管道等物体裸露。</w:t>
      </w:r>
    </w:p>
    <w:p>
      <w:pPr>
        <w:pStyle w:val="36"/>
        <w:topLinePunct/>
        <w:ind w:left="920" w:hanging="360" w:firstLineChars="0"/>
        <w:rPr>
          <w:rFonts w:ascii="宋体" w:hAnsi="宋体" w:cs="宋体"/>
          <w:color w:val="auto"/>
          <w:szCs w:val="28"/>
        </w:rPr>
      </w:pPr>
      <w:r>
        <w:rPr>
          <w:rFonts w:hint="eastAsia" w:ascii="宋体" w:hAnsi="宋体" w:cs="宋体"/>
          <w:color w:val="auto"/>
          <w:szCs w:val="28"/>
        </w:rPr>
        <w:t>2）设备、管道、管件损坏，高温物料泄漏。</w:t>
      </w:r>
    </w:p>
    <w:p>
      <w:pPr>
        <w:topLinePunct/>
        <w:ind w:firstLine="560"/>
        <w:rPr>
          <w:rFonts w:ascii="宋体" w:hAnsi="宋体" w:cs="宋体"/>
          <w:color w:val="auto"/>
          <w:szCs w:val="28"/>
        </w:rPr>
      </w:pPr>
      <w:r>
        <w:rPr>
          <w:rFonts w:hint="eastAsia" w:ascii="宋体" w:hAnsi="宋体" w:cs="宋体"/>
          <w:color w:val="auto"/>
          <w:szCs w:val="28"/>
        </w:rPr>
        <w:t>3）检修过程进行电焊作业时，未佩戴劳动防护用品，电焊渣飞溅到人身上造成灼烫。</w:t>
      </w:r>
    </w:p>
    <w:p>
      <w:pPr>
        <w:pStyle w:val="36"/>
        <w:topLinePunct/>
        <w:ind w:left="920" w:hanging="360" w:firstLineChars="0"/>
        <w:rPr>
          <w:rFonts w:ascii="宋体" w:hAnsi="宋体" w:cs="宋体"/>
          <w:color w:val="auto"/>
          <w:szCs w:val="28"/>
        </w:rPr>
      </w:pPr>
      <w:r>
        <w:rPr>
          <w:rFonts w:hint="eastAsia" w:ascii="宋体" w:hAnsi="宋体" w:cs="宋体"/>
          <w:color w:val="auto"/>
          <w:szCs w:val="28"/>
        </w:rPr>
        <w:t>4）安全资金投入不足、安全教育培训不够、个体防护不到位等。</w:t>
      </w:r>
    </w:p>
    <w:p>
      <w:pPr>
        <w:topLinePunct/>
        <w:ind w:firstLine="560"/>
        <w:rPr>
          <w:rFonts w:ascii="宋体" w:hAnsi="宋体" w:cs="宋体"/>
          <w:color w:val="auto"/>
          <w:szCs w:val="28"/>
        </w:rPr>
      </w:pPr>
      <w:r>
        <w:rPr>
          <w:rFonts w:hint="eastAsia" w:ascii="宋体" w:hAnsi="宋体" w:cs="宋体"/>
          <w:color w:val="auto"/>
          <w:szCs w:val="28"/>
        </w:rPr>
        <w:t>5）其他可能导致事故的原因。</w:t>
      </w:r>
    </w:p>
    <w:p>
      <w:pPr>
        <w:topLinePunct/>
        <w:ind w:firstLine="560" w:firstLineChars="0"/>
        <w:rPr>
          <w:rFonts w:ascii="宋体" w:hAnsi="宋体"/>
          <w:color w:val="auto"/>
        </w:rPr>
      </w:pPr>
      <w:r>
        <w:rPr>
          <w:rFonts w:hint="eastAsia" w:ascii="宋体" w:hAnsi="宋体"/>
          <w:color w:val="auto"/>
        </w:rPr>
        <w:t>生产过程中转化器、换热器等设备处于高温状态，操作人员则可能发生高温烫伤。</w:t>
      </w:r>
    </w:p>
    <w:p>
      <w:pPr>
        <w:topLinePunct/>
        <w:ind w:firstLine="560" w:firstLineChars="0"/>
        <w:rPr>
          <w:rFonts w:ascii="宋体" w:hAnsi="宋体"/>
          <w:color w:val="auto"/>
        </w:rPr>
      </w:pPr>
      <w:r>
        <w:rPr>
          <w:rFonts w:hint="eastAsia" w:ascii="宋体" w:hAnsi="宋体"/>
          <w:color w:val="auto"/>
          <w:szCs w:val="28"/>
        </w:rPr>
        <w:t>（4）机械伤害</w:t>
      </w:r>
    </w:p>
    <w:p>
      <w:pPr>
        <w:topLinePunct/>
        <w:ind w:firstLine="560"/>
        <w:rPr>
          <w:rFonts w:ascii="宋体" w:hAnsi="宋体" w:cs="宋体"/>
          <w:color w:val="auto"/>
          <w:szCs w:val="28"/>
        </w:rPr>
      </w:pPr>
      <w:r>
        <w:rPr>
          <w:rFonts w:hint="eastAsia" w:ascii="宋体" w:hAnsi="宋体" w:cs="宋体"/>
          <w:color w:val="auto"/>
          <w:szCs w:val="28"/>
        </w:rPr>
        <w:t>机械伤害是机械设备与工具所引起的夹、绞、辗、碰、割、戳、切等伤害。生产过程中使用的各类机械设备的传动轴、皮带轮、联轴器及其它传动部件均可能对操作人员造成意外伤害。若不遵守安全操作规程、安全防护措施不到位或防护存在缺陷、电源开关布局不合理，紧急情况下不能立即停车、检修时不按规定采取停车、断电、挂牌、任意进入机械运行危险区(借道、拣物等)、作业现场存在隐患、设备有缺陷、安全教育不到位，安全意识淡薄（如女工的长发未按规定盘起等），制度不健全或未建立相关制度等原因，都有可能造成机械伤害的危险。</w:t>
      </w:r>
    </w:p>
    <w:p>
      <w:pPr>
        <w:topLinePunct/>
        <w:ind w:firstLine="560"/>
        <w:rPr>
          <w:rFonts w:ascii="宋体" w:hAnsi="宋体" w:cs="宋体"/>
          <w:color w:val="auto"/>
          <w:szCs w:val="28"/>
        </w:rPr>
      </w:pPr>
      <w:r>
        <w:rPr>
          <w:rFonts w:hint="eastAsia" w:ascii="宋体" w:hAnsi="宋体" w:cs="宋体"/>
          <w:color w:val="auto"/>
          <w:szCs w:val="28"/>
        </w:rPr>
        <w:t>本装置使用到的风机、泵等设备均有可能发生机械伤害事故。</w:t>
      </w:r>
    </w:p>
    <w:p>
      <w:pPr>
        <w:topLinePunct/>
        <w:ind w:firstLine="560"/>
        <w:rPr>
          <w:rFonts w:ascii="宋体" w:hAnsi="宋体"/>
          <w:color w:val="auto"/>
        </w:rPr>
      </w:pPr>
      <w:r>
        <w:rPr>
          <w:rFonts w:hint="eastAsia" w:ascii="宋体" w:hAnsi="宋体"/>
          <w:color w:val="auto"/>
          <w:szCs w:val="28"/>
        </w:rPr>
        <w:t>（5）电气伤害、</w:t>
      </w:r>
    </w:p>
    <w:p>
      <w:pPr>
        <w:topLinePunct/>
        <w:ind w:firstLine="560"/>
        <w:rPr>
          <w:rFonts w:ascii="宋体" w:hAnsi="宋体" w:cs="宋体"/>
          <w:color w:val="auto"/>
          <w:szCs w:val="28"/>
        </w:rPr>
      </w:pPr>
      <w:r>
        <w:rPr>
          <w:rFonts w:hint="eastAsia" w:ascii="宋体" w:hAnsi="宋体" w:cs="宋体"/>
          <w:color w:val="auto"/>
          <w:szCs w:val="28"/>
        </w:rPr>
        <w:t>1）在带电设备附近作业、接近带电体或直接触及正在运行的带电设备、误操作、盲目送电、线路发生短路或误操作引起短路、电气线路接线错误、电气设备安装不符合安全要求、接地不良或失效、装设地线不验电、雷击、静电放电等等，都存在出现电气伤害的危险。</w:t>
      </w:r>
    </w:p>
    <w:p>
      <w:pPr>
        <w:topLinePunct/>
        <w:ind w:firstLine="560"/>
        <w:rPr>
          <w:rFonts w:ascii="宋体" w:hAnsi="宋体" w:cs="宋体"/>
          <w:color w:val="auto"/>
          <w:szCs w:val="28"/>
        </w:rPr>
      </w:pPr>
      <w:r>
        <w:rPr>
          <w:rFonts w:hint="eastAsia" w:ascii="宋体" w:hAnsi="宋体" w:cs="宋体"/>
          <w:color w:val="auto"/>
          <w:szCs w:val="28"/>
        </w:rPr>
        <w:t>2）电气线路易产生腐蚀、老化等问题。在防触电措施不到位的情况下，人体触及正常运行的带电体或故障下的意外带电体；人体所处区域地面带电而承受到跨步电压；带负荷拉闸、误操作引起短路等，可能导致触电事故。</w:t>
      </w:r>
    </w:p>
    <w:p>
      <w:pPr>
        <w:topLinePunct/>
        <w:ind w:firstLine="560"/>
        <w:rPr>
          <w:rFonts w:ascii="宋体" w:hAnsi="宋体" w:cs="宋体"/>
          <w:color w:val="auto"/>
          <w:szCs w:val="28"/>
        </w:rPr>
      </w:pPr>
      <w:r>
        <w:rPr>
          <w:rFonts w:hint="eastAsia" w:ascii="宋体" w:hAnsi="宋体" w:cs="宋体"/>
          <w:color w:val="auto"/>
          <w:szCs w:val="28"/>
        </w:rPr>
        <w:t>3）动力、照明等电气设施和线路的防护性能在腐蚀性环境条件下，可能遭到损害或降低，易引发人员触电事故。</w:t>
      </w:r>
    </w:p>
    <w:p>
      <w:pPr>
        <w:topLinePunct/>
        <w:ind w:firstLine="560"/>
        <w:rPr>
          <w:rFonts w:ascii="宋体" w:hAnsi="宋体" w:cs="宋体"/>
          <w:color w:val="auto"/>
          <w:szCs w:val="28"/>
        </w:rPr>
      </w:pPr>
      <w:r>
        <w:rPr>
          <w:rFonts w:hint="eastAsia" w:ascii="宋体" w:hAnsi="宋体" w:cs="宋体"/>
          <w:color w:val="auto"/>
          <w:szCs w:val="28"/>
        </w:rPr>
        <w:t>4）在多雨、潮湿、高温季节，由于电气设备和线路的绝缘性不好，引起漏电也可能造成人员触电事故。</w:t>
      </w:r>
    </w:p>
    <w:p>
      <w:pPr>
        <w:topLinePunct/>
        <w:ind w:firstLine="560"/>
        <w:rPr>
          <w:rFonts w:ascii="宋体" w:hAnsi="宋体" w:cs="宋体"/>
          <w:color w:val="auto"/>
          <w:szCs w:val="28"/>
        </w:rPr>
      </w:pPr>
      <w:r>
        <w:rPr>
          <w:rFonts w:hint="eastAsia" w:ascii="宋体" w:hAnsi="宋体" w:cs="宋体"/>
          <w:color w:val="auto"/>
          <w:szCs w:val="28"/>
        </w:rPr>
        <w:t>5）在进行电气检修作业过程中，由于电气设备或其安全装置的缺陷，作业人员如未采取有效防护或防护措施不当，或未严格按照安全检修操作规程进行作业，都会造成人员触电事故。</w:t>
      </w:r>
    </w:p>
    <w:p>
      <w:pPr>
        <w:topLinePunct/>
        <w:ind w:firstLine="560"/>
        <w:rPr>
          <w:rFonts w:ascii="宋体" w:hAnsi="宋体" w:cs="宋体"/>
          <w:color w:val="auto"/>
          <w:szCs w:val="28"/>
        </w:rPr>
      </w:pPr>
      <w:r>
        <w:rPr>
          <w:rFonts w:hint="eastAsia" w:ascii="宋体" w:hAnsi="宋体" w:cs="宋体"/>
          <w:color w:val="auto"/>
          <w:szCs w:val="28"/>
        </w:rPr>
        <w:t>6）电气设备安装不合理，多数存在装置性违章现象。如配电盘裸露；导线间交叉跨越距离不符合规程要求；线路敷设不规范，设备电源线绝缘磨损，接头裸露、松动，电线绝缘损坏、老化、裸露，人体多汗潮湿或用湿手操作电器等等，易发生触电事故。</w:t>
      </w:r>
    </w:p>
    <w:p>
      <w:pPr>
        <w:topLinePunct/>
        <w:ind w:firstLine="560"/>
        <w:rPr>
          <w:rFonts w:ascii="宋体" w:hAnsi="宋体" w:cs="宋体"/>
          <w:color w:val="auto"/>
          <w:szCs w:val="28"/>
        </w:rPr>
      </w:pPr>
      <w:r>
        <w:rPr>
          <w:rFonts w:hint="eastAsia" w:ascii="宋体" w:hAnsi="宋体" w:cs="宋体"/>
          <w:color w:val="auto"/>
          <w:szCs w:val="28"/>
        </w:rPr>
        <w:t>7）对电气设备维护不及时，设备带病运行。如剩余电流动作保护器失灵，强行送电；绝缘导线破损露芯；电动机受潮，绝缘降低、致使外壳带电；这些都是导致触电事故的诱因，电器设备设施检修作业中未按规程使用安全防护用具，如绝缘手套、绝缘鞋、绝缘钳(棒)以及必要的仪表等，也可能导致触电事故。</w:t>
      </w:r>
    </w:p>
    <w:p>
      <w:pPr>
        <w:topLinePunct/>
        <w:ind w:firstLine="560"/>
        <w:rPr>
          <w:rFonts w:ascii="宋体" w:hAnsi="宋体" w:cs="宋体"/>
          <w:color w:val="auto"/>
          <w:szCs w:val="28"/>
        </w:rPr>
      </w:pPr>
      <w:r>
        <w:rPr>
          <w:rFonts w:hint="eastAsia" w:ascii="宋体" w:hAnsi="宋体" w:cs="宋体"/>
          <w:color w:val="auto"/>
          <w:szCs w:val="28"/>
        </w:rPr>
        <w:t>8）作业过程中，未制定工作票制度，工作中没有监护或监护失误，未严格遵守作业规程进行带电作业，在配电室和各用电场所存在触电危险等。</w:t>
      </w:r>
    </w:p>
    <w:p>
      <w:pPr>
        <w:topLinePunct/>
        <w:ind w:firstLine="560"/>
        <w:rPr>
          <w:rFonts w:ascii="宋体" w:hAnsi="宋体"/>
          <w:color w:val="auto"/>
        </w:rPr>
      </w:pPr>
      <w:r>
        <w:rPr>
          <w:rFonts w:hint="eastAsia" w:ascii="宋体" w:hAnsi="宋体"/>
          <w:color w:val="auto"/>
          <w:szCs w:val="28"/>
        </w:rPr>
        <w:t>（6）物体打击、</w:t>
      </w:r>
    </w:p>
    <w:p>
      <w:pPr>
        <w:topLinePunct/>
        <w:ind w:firstLine="560"/>
        <w:rPr>
          <w:rFonts w:ascii="宋体" w:hAnsi="宋体" w:cs="宋体"/>
          <w:color w:val="auto"/>
          <w:szCs w:val="28"/>
        </w:rPr>
      </w:pPr>
      <w:r>
        <w:rPr>
          <w:rFonts w:hint="eastAsia" w:ascii="宋体" w:hAnsi="宋体" w:cs="宋体"/>
          <w:color w:val="auto"/>
          <w:szCs w:val="28"/>
        </w:rPr>
        <w:t>物体打击是物体在外力或重力作用下，打击人体会造成人身伤害事故。</w:t>
      </w:r>
    </w:p>
    <w:p>
      <w:pPr>
        <w:topLinePunct/>
        <w:ind w:firstLine="560"/>
        <w:rPr>
          <w:rFonts w:ascii="宋体" w:hAnsi="宋体" w:cs="宋体"/>
          <w:color w:val="auto"/>
          <w:szCs w:val="28"/>
        </w:rPr>
      </w:pPr>
      <w:r>
        <w:rPr>
          <w:rFonts w:hint="eastAsia" w:ascii="宋体" w:hAnsi="宋体" w:cs="宋体"/>
          <w:color w:val="auto"/>
          <w:szCs w:val="28"/>
        </w:rPr>
        <w:t>1）设备、房屋等金属建筑构件时间过长被腐蚀后，破坏设备的强度、结构，可能导致破碎伤人；</w:t>
      </w:r>
    </w:p>
    <w:p>
      <w:pPr>
        <w:topLinePunct/>
        <w:ind w:firstLine="560"/>
        <w:rPr>
          <w:rFonts w:ascii="宋体" w:hAnsi="宋体" w:cs="宋体"/>
          <w:color w:val="auto"/>
          <w:szCs w:val="28"/>
        </w:rPr>
      </w:pPr>
      <w:r>
        <w:rPr>
          <w:rFonts w:hint="eastAsia" w:ascii="宋体" w:hAnsi="宋体" w:cs="宋体"/>
          <w:color w:val="auto"/>
          <w:szCs w:val="28"/>
        </w:rPr>
        <w:t>2）在设备安装、试车、检修和房屋检修过程中，存在平面和立面的高处作业和交叉施工，可能造成高处坠物伤人；</w:t>
      </w:r>
    </w:p>
    <w:p>
      <w:pPr>
        <w:topLinePunct/>
        <w:ind w:firstLine="560"/>
        <w:rPr>
          <w:rFonts w:ascii="宋体" w:hAnsi="宋体" w:cs="宋体"/>
          <w:color w:val="auto"/>
          <w:szCs w:val="28"/>
        </w:rPr>
      </w:pPr>
      <w:r>
        <w:rPr>
          <w:rFonts w:hint="eastAsia" w:ascii="宋体" w:hAnsi="宋体" w:cs="宋体"/>
          <w:color w:val="auto"/>
          <w:szCs w:val="28"/>
        </w:rPr>
        <w:t>3）高处的固定物体不牢、放置不当，行车，因腐蚀或大风造成断裂，检修时使用工具飞出击打到人体上；</w:t>
      </w:r>
    </w:p>
    <w:p>
      <w:pPr>
        <w:pStyle w:val="36"/>
        <w:topLinePunct/>
        <w:ind w:firstLine="560"/>
        <w:rPr>
          <w:rFonts w:ascii="宋体" w:hAnsi="宋体" w:cs="宋体"/>
          <w:color w:val="auto"/>
          <w:szCs w:val="28"/>
        </w:rPr>
      </w:pPr>
      <w:r>
        <w:rPr>
          <w:rFonts w:hint="eastAsia" w:ascii="宋体" w:hAnsi="宋体" w:cs="宋体"/>
          <w:color w:val="auto"/>
          <w:szCs w:val="28"/>
        </w:rPr>
        <w:t>4）在余热锅炉操作平台、吸收平台等进行作业时，材料使用、放置不当，造成高空落物等，易发生物体打击事故。</w:t>
      </w:r>
    </w:p>
    <w:p>
      <w:pPr>
        <w:topLinePunct/>
        <w:ind w:firstLine="560"/>
        <w:rPr>
          <w:rFonts w:ascii="宋体" w:hAnsi="宋体"/>
          <w:color w:val="auto"/>
        </w:rPr>
      </w:pPr>
      <w:r>
        <w:rPr>
          <w:rFonts w:hint="eastAsia" w:ascii="宋体" w:hAnsi="宋体"/>
          <w:color w:val="auto"/>
          <w:szCs w:val="28"/>
        </w:rPr>
        <w:t>（7）高处坠落</w:t>
      </w:r>
    </w:p>
    <w:p>
      <w:pPr>
        <w:topLinePunct/>
        <w:ind w:firstLine="560"/>
        <w:rPr>
          <w:rFonts w:ascii="宋体" w:hAnsi="宋体" w:cs="宋体"/>
          <w:color w:val="auto"/>
          <w:szCs w:val="28"/>
        </w:rPr>
      </w:pPr>
      <w:r>
        <w:rPr>
          <w:rFonts w:hint="eastAsia" w:ascii="宋体" w:hAnsi="宋体" w:cs="宋体"/>
          <w:color w:val="auto"/>
          <w:szCs w:val="28"/>
        </w:rPr>
        <w:t>高处坠落是指在高处作业中发生坠落造成的伤亡事故。</w:t>
      </w:r>
    </w:p>
    <w:p>
      <w:pPr>
        <w:topLinePunct/>
        <w:ind w:firstLine="560"/>
        <w:rPr>
          <w:rFonts w:ascii="宋体" w:hAnsi="宋体" w:cs="宋体"/>
          <w:color w:val="auto"/>
          <w:szCs w:val="28"/>
        </w:rPr>
      </w:pPr>
      <w:r>
        <w:rPr>
          <w:rFonts w:hint="eastAsia" w:ascii="宋体" w:hAnsi="宋体" w:cs="宋体"/>
          <w:color w:val="auto"/>
          <w:szCs w:val="28"/>
        </w:rPr>
        <w:t>1）作业人员在设备及房屋维修过程中，经常需要登高，容易造成高处坠落伤害事故。</w:t>
      </w:r>
    </w:p>
    <w:p>
      <w:pPr>
        <w:topLinePunct/>
        <w:ind w:firstLine="560"/>
        <w:rPr>
          <w:rFonts w:ascii="宋体" w:hAnsi="宋体" w:cs="宋体"/>
          <w:color w:val="auto"/>
          <w:szCs w:val="28"/>
        </w:rPr>
      </w:pPr>
      <w:r>
        <w:rPr>
          <w:rFonts w:hint="eastAsia" w:ascii="宋体" w:hAnsi="宋体" w:cs="宋体"/>
          <w:color w:val="auto"/>
          <w:szCs w:val="28"/>
        </w:rPr>
        <w:t>2）装置中槽、罐、塔体等高大设备、设施，如未配置便于作业人员操作、检查和维修的扶梯、平台、护栏、系挂装置等附属设施，或因腐蚀等原因，破损严重。或者这些设施不符合有关的设计规范，或者这些设施因疏于管理检修，已经破损，将可能导致高处坠落事故的发生。</w:t>
      </w:r>
    </w:p>
    <w:p>
      <w:pPr>
        <w:pStyle w:val="36"/>
        <w:topLinePunct/>
        <w:ind w:firstLine="560"/>
        <w:rPr>
          <w:rFonts w:ascii="宋体" w:hAnsi="宋体" w:cs="宋体"/>
          <w:color w:val="auto"/>
          <w:szCs w:val="28"/>
        </w:rPr>
      </w:pPr>
      <w:r>
        <w:rPr>
          <w:rFonts w:hint="eastAsia" w:ascii="宋体" w:hAnsi="宋体" w:cs="宋体"/>
          <w:color w:val="auto"/>
          <w:szCs w:val="28"/>
        </w:rPr>
        <w:t>3）高处作业未使用防护用品，思想麻痹、身体、精神状态不良等发生高处坠落事故。</w:t>
      </w:r>
    </w:p>
    <w:p>
      <w:pPr>
        <w:pStyle w:val="36"/>
        <w:topLinePunct/>
        <w:ind w:firstLine="560"/>
        <w:rPr>
          <w:rFonts w:ascii="宋体" w:hAnsi="宋体"/>
          <w:color w:val="auto"/>
        </w:rPr>
      </w:pPr>
      <w:r>
        <w:rPr>
          <w:rFonts w:hint="eastAsia" w:ascii="宋体" w:hAnsi="宋体"/>
          <w:color w:val="auto"/>
        </w:rPr>
        <w:t>4）硫酸生产线上的设备，如沸腾炉操作平台、转化塔、干吸塔、硫酸储罐等高度均在5m以上，在操作、检修、采样分析作业中均为高处作业，若无防护或防护栏杆锈蚀，则可能发生高处坠落。</w:t>
      </w:r>
    </w:p>
    <w:p>
      <w:pPr>
        <w:topLinePunct/>
        <w:ind w:firstLine="560"/>
        <w:rPr>
          <w:rFonts w:ascii="宋体" w:hAnsi="宋体" w:cs="宋体"/>
          <w:color w:val="auto"/>
          <w:szCs w:val="28"/>
        </w:rPr>
      </w:pPr>
      <w:r>
        <w:rPr>
          <w:rFonts w:hint="eastAsia" w:ascii="宋体" w:hAnsi="宋体" w:cs="宋体"/>
          <w:color w:val="auto"/>
          <w:szCs w:val="28"/>
        </w:rPr>
        <w:t>（8）起重伤害</w:t>
      </w:r>
    </w:p>
    <w:p>
      <w:pPr>
        <w:topLinePunct/>
        <w:ind w:firstLine="560"/>
        <w:rPr>
          <w:rFonts w:ascii="宋体" w:hAnsi="宋体" w:cs="宋体"/>
          <w:color w:val="auto"/>
          <w:szCs w:val="28"/>
        </w:rPr>
      </w:pPr>
      <w:r>
        <w:rPr>
          <w:rFonts w:hint="eastAsia" w:ascii="宋体" w:hAnsi="宋体" w:cs="宋体"/>
          <w:color w:val="auto"/>
          <w:szCs w:val="28"/>
        </w:rPr>
        <w:t>本项目于发电机房设置有一台用于发电机检修的行车，在安装、检修中使用的行车，可能出现脱钩、钢丝绳折断、安全防护装置缺乏或失灵、吊物坠落、碰撞致伤、人员触电、指挥信号不明或乱指挥、吊物下面站人、工件紧固不牢、光线阴暗看不清物体、起重设备带病运转、开车前未发开车信号、人为事故因素等，均存在起重伤害的危险。</w:t>
      </w:r>
    </w:p>
    <w:p>
      <w:pPr>
        <w:topLinePunct/>
        <w:ind w:firstLine="560"/>
        <w:rPr>
          <w:rFonts w:ascii="宋体" w:hAnsi="宋体" w:cs="宋体"/>
          <w:color w:val="auto"/>
          <w:szCs w:val="28"/>
        </w:rPr>
      </w:pPr>
      <w:r>
        <w:rPr>
          <w:rFonts w:hint="eastAsia" w:ascii="宋体" w:hAnsi="宋体" w:cs="宋体"/>
          <w:color w:val="auto"/>
          <w:szCs w:val="28"/>
        </w:rPr>
        <w:t>（9）车辆伤害</w:t>
      </w:r>
    </w:p>
    <w:p>
      <w:pPr>
        <w:topLinePunct/>
        <w:ind w:firstLine="560"/>
        <w:rPr>
          <w:rFonts w:ascii="宋体" w:hAnsi="宋体" w:cs="宋体"/>
          <w:color w:val="auto"/>
          <w:szCs w:val="28"/>
        </w:rPr>
      </w:pPr>
      <w:r>
        <w:rPr>
          <w:rFonts w:hint="eastAsia" w:ascii="宋体" w:hAnsi="宋体" w:cs="宋体"/>
          <w:color w:val="auto"/>
          <w:szCs w:val="28"/>
        </w:rPr>
        <w:t>车辆伤害事故的原因是多方面的，但主要是涉及人(驾驶员、行人、装卸工)、车(机动车与非机动车)、道路环境这三个综合因素。</w:t>
      </w:r>
    </w:p>
    <w:p>
      <w:pPr>
        <w:topLinePunct/>
        <w:ind w:firstLine="560"/>
        <w:rPr>
          <w:rFonts w:ascii="宋体" w:hAnsi="宋体" w:cs="宋体"/>
          <w:color w:val="auto"/>
          <w:szCs w:val="28"/>
        </w:rPr>
      </w:pPr>
      <w:r>
        <w:rPr>
          <w:rFonts w:hint="eastAsia" w:ascii="宋体" w:hAnsi="宋体" w:cs="宋体"/>
          <w:color w:val="auto"/>
          <w:szCs w:val="28"/>
        </w:rPr>
        <w:t>在原料仓库、硫酸库进行装卸作业时由于驾驶人员违章驾车、驾驶人员疏忽大意、车况不良、厂区道路条件差、管理规章制度或操作规程不健全及交通信号、标志、设施缺陷等因素，存在发生车辆伤害事故的可能。</w:t>
      </w:r>
    </w:p>
    <w:p>
      <w:pPr>
        <w:topLinePunct/>
        <w:ind w:firstLine="560"/>
        <w:rPr>
          <w:rFonts w:ascii="宋体" w:hAnsi="宋体" w:cs="宋体"/>
          <w:color w:val="auto"/>
          <w:szCs w:val="28"/>
        </w:rPr>
      </w:pPr>
      <w:r>
        <w:rPr>
          <w:rFonts w:hint="eastAsia" w:ascii="宋体" w:hAnsi="宋体" w:cs="宋体"/>
          <w:color w:val="auto"/>
          <w:szCs w:val="28"/>
        </w:rPr>
        <w:t>（10）淹溺</w:t>
      </w:r>
    </w:p>
    <w:p>
      <w:pPr>
        <w:topLinePunct/>
        <w:ind w:firstLine="560"/>
        <w:rPr>
          <w:rFonts w:ascii="宋体" w:hAnsi="宋体" w:cs="宋体"/>
          <w:color w:val="auto"/>
          <w:szCs w:val="28"/>
        </w:rPr>
      </w:pPr>
      <w:r>
        <w:rPr>
          <w:rFonts w:hint="eastAsia" w:ascii="宋体" w:hAnsi="宋体" w:cs="宋体"/>
          <w:color w:val="auto"/>
          <w:szCs w:val="28"/>
        </w:rPr>
        <w:t>1）在污水收集池、污水澄清池、罐区澄清池等处，如无防护栏、盖板，或防护栏、盖板安装不规范，人员操作失误，容易掉入池内引发淹溺事故。</w:t>
      </w:r>
    </w:p>
    <w:p>
      <w:pPr>
        <w:topLinePunct/>
        <w:ind w:firstLine="560"/>
        <w:rPr>
          <w:rFonts w:ascii="宋体" w:hAnsi="宋体"/>
          <w:color w:val="auto"/>
        </w:rPr>
      </w:pPr>
      <w:r>
        <w:rPr>
          <w:rFonts w:hint="eastAsia" w:ascii="宋体" w:hAnsi="宋体"/>
          <w:color w:val="auto"/>
        </w:rPr>
        <w:t>2）水池若无防护栏杆或防护栏杆锈蚀，操作人员不小心滑入水池则可能发生淹溺事故。</w:t>
      </w:r>
    </w:p>
    <w:p>
      <w:pPr>
        <w:topLinePunct/>
        <w:ind w:firstLine="560"/>
        <w:rPr>
          <w:rFonts w:ascii="宋体" w:hAnsi="宋体" w:cs="宋体"/>
          <w:color w:val="auto"/>
          <w:szCs w:val="28"/>
        </w:rPr>
      </w:pPr>
      <w:r>
        <w:rPr>
          <w:rFonts w:hint="eastAsia" w:ascii="宋体" w:hAnsi="宋体" w:cs="宋体"/>
          <w:color w:val="auto"/>
          <w:szCs w:val="28"/>
        </w:rPr>
        <w:t>（11）噪声</w:t>
      </w:r>
    </w:p>
    <w:p>
      <w:pPr>
        <w:topLinePunct/>
        <w:ind w:firstLine="560"/>
        <w:rPr>
          <w:rFonts w:ascii="宋体" w:hAnsi="宋体" w:cs="宋体"/>
          <w:color w:val="auto"/>
          <w:szCs w:val="28"/>
        </w:rPr>
      </w:pPr>
      <w:r>
        <w:rPr>
          <w:rFonts w:hint="eastAsia" w:ascii="宋体" w:hAnsi="宋体" w:cs="宋体"/>
          <w:color w:val="auto"/>
          <w:szCs w:val="28"/>
        </w:rPr>
        <w:t>生产过程中动设备产生的振动、机械设备转动（如泵）等产生的噪声对人体均可产生不良影响，如损伤耳膜、听力下降，严重时引起耳聋。</w:t>
      </w:r>
      <w:r>
        <w:rPr>
          <w:rFonts w:hint="eastAsia" w:ascii="宋体" w:hAnsi="宋体"/>
          <w:color w:val="auto"/>
        </w:rPr>
        <w:t>该项目生产过程噪声声源于风机、离心机运行噪声，若未采取防噪声措施，可能引起职业性耳聋等多种疾病。</w:t>
      </w:r>
    </w:p>
    <w:p>
      <w:pPr>
        <w:topLinePunct/>
        <w:ind w:firstLine="560"/>
        <w:rPr>
          <w:rFonts w:ascii="宋体" w:hAnsi="宋体"/>
          <w:color w:val="auto"/>
        </w:rPr>
      </w:pPr>
      <w:r>
        <w:rPr>
          <w:rFonts w:hint="eastAsia" w:ascii="宋体" w:hAnsi="宋体"/>
          <w:color w:val="auto"/>
          <w:szCs w:val="28"/>
        </w:rPr>
        <w:t>（12）火灾、爆炸、</w:t>
      </w:r>
    </w:p>
    <w:p>
      <w:pPr>
        <w:pStyle w:val="36"/>
        <w:topLinePunct/>
        <w:ind w:firstLine="560"/>
        <w:rPr>
          <w:rFonts w:ascii="宋体" w:hAnsi="宋体"/>
          <w:color w:val="auto"/>
        </w:rPr>
      </w:pPr>
      <w:r>
        <w:rPr>
          <w:rFonts w:hint="eastAsia" w:ascii="宋体" w:hAnsi="宋体"/>
          <w:color w:val="auto"/>
        </w:rPr>
        <w:t>1）装有二氧化硫的设备，若无安全附件，遇高热时容器内压增大，有开裂、爆炸的危险。</w:t>
      </w:r>
    </w:p>
    <w:p>
      <w:pPr>
        <w:topLinePunct/>
        <w:ind w:firstLine="560"/>
        <w:rPr>
          <w:rFonts w:ascii="宋体" w:hAnsi="宋体"/>
          <w:color w:val="auto"/>
        </w:rPr>
      </w:pPr>
      <w:r>
        <w:rPr>
          <w:rFonts w:hint="eastAsia" w:ascii="宋体" w:hAnsi="宋体"/>
          <w:color w:val="auto"/>
        </w:rPr>
        <w:t>2）硫酸储罐检修时，用水稀释罐体内残留的浓硫酸，当浓硫酸的浓度降到76%以下后，与硫酸储罐及相连管道中的铁发生反应生成氢气；若动火作业前未对罐体内部的气体进行检测，而盲目进行作业，一旦氢气浓度达到爆炸下限就会发生爆炸事故。</w:t>
      </w:r>
    </w:p>
    <w:p>
      <w:pPr>
        <w:topLinePunct/>
        <w:ind w:firstLine="560"/>
        <w:rPr>
          <w:rFonts w:ascii="宋体" w:hAnsi="宋体"/>
          <w:color w:val="auto"/>
        </w:rPr>
      </w:pPr>
      <w:r>
        <w:rPr>
          <w:rFonts w:hint="eastAsia" w:ascii="宋体" w:hAnsi="宋体"/>
          <w:color w:val="auto"/>
        </w:rPr>
        <w:t>3）硫酸储罐在检修过程中，残留气体（包括氢气）未进行置换、清洗、浓度量，违规动火可能引起储罐爆炸。</w:t>
      </w:r>
    </w:p>
    <w:p>
      <w:pPr>
        <w:topLinePunct/>
        <w:ind w:firstLine="560"/>
        <w:rPr>
          <w:rFonts w:ascii="宋体" w:hAnsi="宋体"/>
          <w:color w:val="auto"/>
        </w:rPr>
      </w:pPr>
      <w:r>
        <w:rPr>
          <w:rFonts w:hint="eastAsia" w:ascii="宋体" w:hAnsi="宋体"/>
          <w:color w:val="auto"/>
        </w:rPr>
        <w:t>4）硫铁矿仓库若通风不良，粉尘积聚，遇明火、雷击可引起粉尘爆炸。</w:t>
      </w:r>
    </w:p>
    <w:p>
      <w:pPr>
        <w:topLinePunct/>
        <w:ind w:firstLine="560"/>
        <w:rPr>
          <w:rFonts w:ascii="宋体" w:hAnsi="宋体"/>
          <w:color w:val="auto"/>
        </w:rPr>
      </w:pPr>
      <w:r>
        <w:rPr>
          <w:rFonts w:hint="eastAsia" w:ascii="宋体" w:hAnsi="宋体"/>
          <w:color w:val="auto"/>
        </w:rPr>
        <w:t>5）废热锅炉因设计、制造、安装未按相关规程进行或操作不当，未定期进行检测，安全附件失效，则会造成缺水事故、满水事故、汽水共腾事故、炉管爆破事故、过热器爆破事故。</w:t>
      </w:r>
    </w:p>
    <w:p>
      <w:pPr>
        <w:topLinePunct/>
        <w:ind w:firstLine="560"/>
        <w:rPr>
          <w:rFonts w:ascii="宋体" w:hAnsi="宋体"/>
          <w:color w:val="auto"/>
        </w:rPr>
      </w:pPr>
      <w:r>
        <w:rPr>
          <w:rFonts w:hint="eastAsia" w:ascii="宋体" w:hAnsi="宋体"/>
          <w:color w:val="auto"/>
        </w:rPr>
        <w:t>6）施工过程焊接时，使用乙快气瓶、氧气瓶，若违反操作规程，则可能发生压力容器爆炸。</w:t>
      </w:r>
    </w:p>
    <w:p>
      <w:pPr>
        <w:topLinePunct/>
        <w:ind w:firstLine="560"/>
        <w:rPr>
          <w:rFonts w:ascii="宋体" w:hAnsi="宋体"/>
          <w:color w:val="auto"/>
        </w:rPr>
      </w:pPr>
      <w:r>
        <w:rPr>
          <w:rFonts w:hint="eastAsia" w:ascii="宋体" w:hAnsi="宋体"/>
          <w:color w:val="auto"/>
        </w:rPr>
        <w:t>7）若硫铁矿中含高铁杂质，或沸腾炉等瓷砖脱落，设备裸露，有可能生成硫化亚铁、硫化亚铁在一定温度及空气流量含油污等情况极易发自燃。</w:t>
      </w:r>
    </w:p>
    <w:p>
      <w:pPr>
        <w:topLinePunct/>
        <w:ind w:firstLine="560"/>
        <w:rPr>
          <w:rFonts w:ascii="宋体" w:hAnsi="宋体"/>
          <w:color w:val="auto"/>
        </w:rPr>
      </w:pPr>
      <w:r>
        <w:rPr>
          <w:rFonts w:hint="eastAsia" w:ascii="宋体" w:hAnsi="宋体"/>
          <w:color w:val="auto"/>
          <w:szCs w:val="28"/>
        </w:rPr>
        <w:t>（13）粉尘伤害</w:t>
      </w:r>
    </w:p>
    <w:p>
      <w:pPr>
        <w:topLinePunct/>
        <w:ind w:firstLine="560"/>
        <w:rPr>
          <w:rFonts w:ascii="宋体" w:hAnsi="宋体" w:cs="宋体"/>
          <w:color w:val="auto"/>
          <w:szCs w:val="28"/>
        </w:rPr>
      </w:pPr>
      <w:r>
        <w:rPr>
          <w:rFonts w:hint="eastAsia" w:ascii="宋体" w:hAnsi="宋体" w:cs="宋体"/>
          <w:color w:val="auto"/>
          <w:szCs w:val="28"/>
        </w:rPr>
        <w:t>1）硫酸生产过硫铁矿在储存、送料等可能发生扬尘现象，若防护不当，粉尘对操作工人可能造成粉尘伤害。</w:t>
      </w:r>
    </w:p>
    <w:p>
      <w:pPr>
        <w:topLinePunct/>
        <w:ind w:firstLine="560"/>
        <w:rPr>
          <w:rFonts w:ascii="宋体" w:hAnsi="宋体" w:cs="宋体"/>
          <w:color w:val="auto"/>
          <w:szCs w:val="28"/>
        </w:rPr>
      </w:pPr>
      <w:r>
        <w:rPr>
          <w:rFonts w:hint="eastAsia" w:ascii="宋体" w:hAnsi="宋体"/>
          <w:color w:val="auto"/>
        </w:rPr>
        <w:t>2）硫酸生产过程中，硫铁矿在储存送料等可能发生扬尘现象，若防护不当粉尘对操作工人可能造成粉尘伤害。</w:t>
      </w:r>
    </w:p>
    <w:p>
      <w:pPr>
        <w:topLinePunct/>
        <w:ind w:firstLine="560"/>
        <w:rPr>
          <w:rFonts w:ascii="宋体" w:hAnsi="宋体" w:cs="宋体"/>
          <w:color w:val="auto"/>
          <w:szCs w:val="28"/>
        </w:rPr>
      </w:pPr>
      <w:r>
        <w:rPr>
          <w:rFonts w:hint="eastAsia" w:ascii="宋体" w:hAnsi="宋体" w:cs="宋体"/>
          <w:color w:val="auto"/>
          <w:szCs w:val="28"/>
        </w:rPr>
        <w:t>（14）其他危险因素</w:t>
      </w:r>
    </w:p>
    <w:p>
      <w:pPr>
        <w:topLinePunct/>
        <w:ind w:firstLine="560"/>
        <w:rPr>
          <w:rFonts w:ascii="宋体" w:hAnsi="宋体"/>
          <w:color w:val="auto"/>
        </w:rPr>
      </w:pPr>
      <w:r>
        <w:rPr>
          <w:rFonts w:hint="eastAsia" w:ascii="宋体" w:hAnsi="宋体" w:cs="宋体"/>
          <w:color w:val="auto"/>
          <w:szCs w:val="28"/>
        </w:rPr>
        <w:t>除存在以上危险、有害因素外，各个场所构筑物还存在构筑物倒塌等危险因素，厂房设计、施工不当或受自然因素影响会有发生倒塌的可能性</w:t>
      </w:r>
      <w:r>
        <w:rPr>
          <w:rFonts w:hint="eastAsia" w:ascii="宋体" w:hAnsi="宋体"/>
          <w:color w:val="auto"/>
        </w:rPr>
        <w:t>。</w:t>
      </w:r>
    </w:p>
    <w:p>
      <w:pPr>
        <w:pStyle w:val="5"/>
        <w:keepNext w:val="0"/>
        <w:ind w:firstLine="562"/>
      </w:pPr>
      <w:r>
        <w:rPr>
          <w:rFonts w:hint="eastAsia"/>
        </w:rPr>
        <w:t>F2.5.2.3主要设备设施危险性分析</w:t>
      </w:r>
    </w:p>
    <w:p>
      <w:pPr>
        <w:pStyle w:val="62"/>
        <w:topLinePunct/>
        <w:ind w:firstLine="560"/>
        <w:rPr>
          <w:rFonts w:ascii="宋体" w:hAnsi="宋体"/>
          <w:color w:val="auto"/>
          <w:szCs w:val="28"/>
        </w:rPr>
      </w:pPr>
      <w:r>
        <w:rPr>
          <w:rFonts w:hint="eastAsia" w:ascii="宋体" w:hAnsi="宋体"/>
          <w:color w:val="auto"/>
          <w:szCs w:val="28"/>
        </w:rPr>
        <w:t>（1）各种设备的选择和安装若没有选择有资质的厂家和单位所生产的合格产品，安装的设备若不符合国家规定的各项技术指标，会埋下隐患，在生产使用过程中容易发生安全事故。</w:t>
      </w:r>
    </w:p>
    <w:p>
      <w:pPr>
        <w:pStyle w:val="62"/>
        <w:topLinePunct/>
        <w:ind w:firstLine="560"/>
        <w:rPr>
          <w:rFonts w:ascii="宋体" w:hAnsi="宋体"/>
          <w:color w:val="auto"/>
          <w:szCs w:val="28"/>
        </w:rPr>
      </w:pPr>
      <w:r>
        <w:rPr>
          <w:rFonts w:hint="eastAsia" w:ascii="宋体" w:hAnsi="宋体"/>
          <w:color w:val="auto"/>
          <w:szCs w:val="28"/>
        </w:rPr>
        <w:t>（2）若所选用的锅炉或尾气吸收装置的各种附件或安全防护装置失灵（如安全阀、压力表、液位计、温度计等）或配置不到位，在运行过程中，一旦工艺操作指标出现偏差或人员操作失误，可能引起超压爆炸事故，同时造成有毒气体泄漏，引起人员中毒等事故。</w:t>
      </w:r>
    </w:p>
    <w:p>
      <w:pPr>
        <w:pStyle w:val="62"/>
        <w:topLinePunct/>
        <w:ind w:firstLine="560"/>
        <w:rPr>
          <w:rFonts w:ascii="宋体" w:hAnsi="宋体"/>
          <w:color w:val="auto"/>
          <w:szCs w:val="28"/>
        </w:rPr>
      </w:pPr>
      <w:r>
        <w:rPr>
          <w:rFonts w:hint="eastAsia" w:ascii="宋体" w:hAnsi="宋体"/>
          <w:color w:val="auto"/>
          <w:szCs w:val="28"/>
        </w:rPr>
        <w:t>（3）若转动设备（如：泵、抽风机）的运转部分的润滑部位缺油，会造成设备损坏及停车，停车还可能造成物料泄漏、堵塞等，引起人员伤亡事故。</w:t>
      </w:r>
    </w:p>
    <w:p>
      <w:pPr>
        <w:pStyle w:val="62"/>
        <w:topLinePunct/>
        <w:ind w:firstLine="560"/>
        <w:rPr>
          <w:rFonts w:ascii="宋体" w:hAnsi="宋体"/>
          <w:color w:val="auto"/>
          <w:szCs w:val="28"/>
        </w:rPr>
      </w:pPr>
      <w:r>
        <w:rPr>
          <w:rFonts w:hint="eastAsia" w:ascii="宋体" w:hAnsi="宋体"/>
          <w:color w:val="auto"/>
          <w:szCs w:val="28"/>
        </w:rPr>
        <w:t>（4）若各种转动设备裸露在外的轴、连轴节、键和固定螺钉没有安装防护罩或防护罩损坏或检修拆下防护罩，事后未恢复，由于设备高速运转，在操作过程中，可能造成操作人员人身伤害。</w:t>
      </w:r>
    </w:p>
    <w:p>
      <w:pPr>
        <w:pStyle w:val="62"/>
        <w:topLinePunct/>
        <w:ind w:firstLine="560"/>
        <w:rPr>
          <w:rFonts w:ascii="宋体" w:hAnsi="宋体"/>
          <w:color w:val="auto"/>
          <w:szCs w:val="28"/>
        </w:rPr>
      </w:pPr>
      <w:r>
        <w:rPr>
          <w:rFonts w:hint="eastAsia" w:ascii="宋体" w:hAnsi="宋体"/>
          <w:color w:val="auto"/>
          <w:szCs w:val="28"/>
        </w:rPr>
        <w:t>（5）若各种转动设备在运转过程中产生振动,长时间振动可能出现基础或地脚螺栓松动,若在巡回检查中没有及时发现,机械设备会出现剧烈振动，发生机械伤害事故。</w:t>
      </w:r>
    </w:p>
    <w:p>
      <w:pPr>
        <w:pStyle w:val="62"/>
        <w:topLinePunct/>
        <w:ind w:firstLine="560"/>
        <w:rPr>
          <w:rFonts w:ascii="宋体" w:hAnsi="宋体"/>
          <w:color w:val="auto"/>
          <w:szCs w:val="28"/>
        </w:rPr>
      </w:pPr>
      <w:r>
        <w:rPr>
          <w:rFonts w:hint="eastAsia" w:ascii="宋体" w:hAnsi="宋体"/>
          <w:color w:val="auto"/>
          <w:szCs w:val="28"/>
        </w:rPr>
        <w:t>（</w:t>
      </w:r>
      <w:r>
        <w:rPr>
          <w:rFonts w:ascii="宋体" w:hAnsi="宋体"/>
          <w:color w:val="auto"/>
          <w:szCs w:val="28"/>
        </w:rPr>
        <w:t>6</w:t>
      </w:r>
      <w:r>
        <w:rPr>
          <w:rFonts w:hint="eastAsia" w:ascii="宋体" w:hAnsi="宋体"/>
          <w:color w:val="auto"/>
          <w:szCs w:val="28"/>
        </w:rPr>
        <w:t>）硫酸贮槽等设备设施，若未采用防泄漏措施，或者设备设施未进行定期检维修，导致贮槽、管道及其阀门等存在缺陷，可能引起物料泄漏。</w:t>
      </w:r>
    </w:p>
    <w:p>
      <w:pPr>
        <w:pStyle w:val="62"/>
        <w:topLinePunct/>
        <w:ind w:firstLine="560"/>
        <w:rPr>
          <w:rFonts w:ascii="宋体" w:hAnsi="宋体"/>
          <w:color w:val="auto"/>
          <w:szCs w:val="28"/>
        </w:rPr>
      </w:pPr>
      <w:r>
        <w:rPr>
          <w:rFonts w:hint="eastAsia" w:ascii="宋体" w:hAnsi="宋体"/>
          <w:color w:val="auto"/>
          <w:szCs w:val="28"/>
        </w:rPr>
        <w:t>（</w:t>
      </w:r>
      <w:r>
        <w:rPr>
          <w:rFonts w:ascii="宋体" w:hAnsi="宋体"/>
          <w:color w:val="auto"/>
          <w:szCs w:val="28"/>
        </w:rPr>
        <w:t>7</w:t>
      </w:r>
      <w:r>
        <w:rPr>
          <w:rFonts w:hint="eastAsia" w:ascii="宋体" w:hAnsi="宋体"/>
          <w:color w:val="auto"/>
          <w:szCs w:val="28"/>
        </w:rPr>
        <w:t>）若各种工艺设备与管道及阀门的连接处出现密封不严、设备的安装、操作和维护的方法不正确，均可能引起物料外泄，造成人员中毒、窒息、烫伤等事故。</w:t>
      </w:r>
    </w:p>
    <w:p>
      <w:pPr>
        <w:pStyle w:val="62"/>
        <w:topLinePunct/>
        <w:ind w:firstLine="560"/>
        <w:rPr>
          <w:rFonts w:ascii="宋体" w:hAnsi="宋体"/>
          <w:color w:val="auto"/>
          <w:szCs w:val="28"/>
        </w:rPr>
      </w:pPr>
      <w:r>
        <w:rPr>
          <w:rFonts w:hint="eastAsia" w:ascii="宋体" w:hAnsi="宋体"/>
          <w:color w:val="auto"/>
          <w:szCs w:val="28"/>
        </w:rPr>
        <w:t>（8）若锅炉使用的安全附件等存在故障，或者安全附件未定期进行检定、校验，导致锅炉超压运行，可能发生锅炉爆炸事故。</w:t>
      </w:r>
    </w:p>
    <w:p>
      <w:pPr>
        <w:pStyle w:val="62"/>
        <w:topLinePunct/>
        <w:ind w:firstLine="560"/>
        <w:rPr>
          <w:rFonts w:ascii="宋体" w:hAnsi="宋体"/>
          <w:color w:val="auto"/>
          <w:szCs w:val="28"/>
        </w:rPr>
      </w:pPr>
      <w:r>
        <w:rPr>
          <w:rFonts w:hint="eastAsia" w:ascii="宋体" w:hAnsi="宋体"/>
          <w:color w:val="auto"/>
          <w:szCs w:val="28"/>
        </w:rPr>
        <w:t>（9）若事故水池等未设置隔离栏杆、警示标语、安全告知，作业人员意外跌落，可发生淹溺、中毒、灼伤等事故。</w:t>
      </w:r>
    </w:p>
    <w:p>
      <w:pPr>
        <w:topLinePunct/>
        <w:ind w:firstLine="560"/>
        <w:rPr>
          <w:rFonts w:ascii="宋体" w:hAnsi="宋体"/>
          <w:snapToGrid w:val="0"/>
          <w:color w:val="000000" w:themeColor="text1"/>
          <w:kern w:val="0"/>
          <w:sz w:val="24"/>
        </w:rPr>
      </w:pPr>
      <w:r>
        <w:rPr>
          <w:rFonts w:hint="eastAsia" w:ascii="宋体" w:hAnsi="宋体"/>
          <w:color w:val="auto"/>
          <w:szCs w:val="28"/>
        </w:rPr>
        <w:t>（10）</w:t>
      </w:r>
      <w:r>
        <w:rPr>
          <w:rFonts w:hint="eastAsia" w:ascii="宋体" w:hAnsi="宋体" w:cs="宋体"/>
          <w:color w:val="auto"/>
          <w:szCs w:val="28"/>
        </w:rPr>
        <w:t>在生产过程中使用的电气设备（包括泵、风机等）的电气线路破损或未穿钢管；作业环境潮湿；电气线路设计、安装、质量缺陷；作业人员缺乏安全知识；作业人员未执行操作规程等可能会引发触电危险。</w:t>
      </w:r>
      <w:bookmarkEnd w:id="3584"/>
    </w:p>
    <w:p>
      <w:pPr>
        <w:pStyle w:val="4"/>
        <w:ind w:firstLine="562"/>
      </w:pPr>
      <w:bookmarkStart w:id="3585" w:name="_Toc25134"/>
      <w:bookmarkStart w:id="3586" w:name="_Toc2553"/>
      <w:bookmarkStart w:id="3587" w:name="_Toc30672"/>
      <w:bookmarkStart w:id="3588" w:name="_Toc28056"/>
      <w:bookmarkStart w:id="3589" w:name="_Toc8595"/>
      <w:bookmarkStart w:id="3590" w:name="_Toc15284"/>
      <w:bookmarkStart w:id="3591" w:name="_Toc13076"/>
      <w:bookmarkStart w:id="3592" w:name="_Toc9596"/>
      <w:bookmarkStart w:id="3593" w:name="_Toc21362"/>
      <w:bookmarkStart w:id="3594" w:name="_Toc21738"/>
      <w:bookmarkStart w:id="3595" w:name="_Toc11728"/>
      <w:bookmarkStart w:id="3596" w:name="_Toc30604"/>
      <w:bookmarkStart w:id="3597" w:name="_Toc22432"/>
      <w:bookmarkStart w:id="3598" w:name="_Toc2896"/>
      <w:bookmarkStart w:id="3599" w:name="_Toc26440"/>
      <w:bookmarkStart w:id="3600" w:name="_Toc29820"/>
      <w:bookmarkStart w:id="3601" w:name="_Toc128056498"/>
      <w:bookmarkStart w:id="3602" w:name="_Toc6713"/>
      <w:bookmarkStart w:id="3603" w:name="_Toc18254"/>
      <w:bookmarkStart w:id="3604" w:name="_Toc24349"/>
      <w:bookmarkStart w:id="3605" w:name="_Toc21296"/>
      <w:bookmarkStart w:id="3606" w:name="_Toc15982"/>
      <w:bookmarkStart w:id="3607" w:name="_Toc12000"/>
      <w:bookmarkStart w:id="3608" w:name="_Toc42724716"/>
      <w:bookmarkStart w:id="3609" w:name="_Toc19410"/>
      <w:bookmarkStart w:id="3610" w:name="_Toc16514"/>
      <w:bookmarkStart w:id="3611" w:name="_Toc31793"/>
      <w:bookmarkStart w:id="3612" w:name="_Toc518768156"/>
      <w:bookmarkStart w:id="3613" w:name="_Toc6459"/>
      <w:bookmarkStart w:id="3614" w:name="_Toc128056501"/>
      <w:bookmarkStart w:id="3615" w:name="_Toc3840"/>
      <w:bookmarkStart w:id="3616" w:name="_Toc2504"/>
      <w:r>
        <w:rPr>
          <w:rFonts w:hint="eastAsia"/>
        </w:rPr>
        <w:t>F2.5.3 公用工程及辅助设施危险性分析</w:t>
      </w:r>
      <w:bookmarkEnd w:id="3585"/>
      <w:bookmarkEnd w:id="3586"/>
      <w:bookmarkEnd w:id="3587"/>
      <w:bookmarkEnd w:id="3588"/>
      <w:bookmarkEnd w:id="3589"/>
      <w:bookmarkEnd w:id="3590"/>
      <w:bookmarkEnd w:id="3591"/>
      <w:bookmarkEnd w:id="3592"/>
      <w:bookmarkEnd w:id="3593"/>
      <w:bookmarkEnd w:id="3594"/>
      <w:bookmarkEnd w:id="3595"/>
      <w:bookmarkEnd w:id="3596"/>
      <w:bookmarkEnd w:id="3597"/>
      <w:bookmarkEnd w:id="3598"/>
      <w:bookmarkEnd w:id="3599"/>
      <w:bookmarkEnd w:id="3600"/>
      <w:bookmarkEnd w:id="3601"/>
      <w:bookmarkEnd w:id="3602"/>
      <w:bookmarkEnd w:id="3603"/>
      <w:bookmarkEnd w:id="3604"/>
      <w:bookmarkEnd w:id="3605"/>
      <w:bookmarkEnd w:id="3606"/>
      <w:bookmarkEnd w:id="3607"/>
      <w:bookmarkEnd w:id="3608"/>
      <w:bookmarkEnd w:id="3609"/>
      <w:bookmarkEnd w:id="3610"/>
      <w:bookmarkEnd w:id="3611"/>
      <w:bookmarkEnd w:id="3612"/>
      <w:bookmarkStart w:id="3617" w:name="_Toc42724717"/>
    </w:p>
    <w:p>
      <w:pPr>
        <w:pStyle w:val="5"/>
        <w:ind w:firstLine="562"/>
      </w:pPr>
      <w:bookmarkStart w:id="3618" w:name="_Toc9719"/>
      <w:bookmarkStart w:id="3619" w:name="_Toc25964"/>
      <w:bookmarkStart w:id="3620" w:name="_Toc1480"/>
      <w:r>
        <w:rPr>
          <w:rFonts w:hint="eastAsia"/>
        </w:rPr>
        <w:t>F2.5.3</w:t>
      </w:r>
      <w:r>
        <w:t>.1</w:t>
      </w:r>
      <w:r>
        <w:rPr>
          <w:rFonts w:hint="eastAsia"/>
        </w:rPr>
        <w:t xml:space="preserve"> 供配电系统危险有害因素分析</w:t>
      </w:r>
      <w:bookmarkEnd w:id="3617"/>
      <w:bookmarkEnd w:id="3618"/>
      <w:bookmarkEnd w:id="3619"/>
      <w:bookmarkEnd w:id="3620"/>
    </w:p>
    <w:p>
      <w:pPr>
        <w:ind w:firstLine="562"/>
        <w:rPr>
          <w:b/>
          <w:bCs/>
          <w:color w:val="000000" w:themeColor="text1"/>
        </w:rPr>
      </w:pPr>
      <w:r>
        <w:rPr>
          <w:rFonts w:hint="eastAsia"/>
          <w:b/>
          <w:bCs/>
          <w:color w:val="000000" w:themeColor="text1"/>
        </w:rPr>
        <w:t>（1）触电危险性</w:t>
      </w:r>
    </w:p>
    <w:p>
      <w:pPr>
        <w:ind w:firstLine="560"/>
        <w:rPr>
          <w:color w:val="000000" w:themeColor="text1"/>
        </w:rPr>
      </w:pPr>
      <w:r>
        <w:rPr>
          <w:rFonts w:hint="eastAsia"/>
          <w:color w:val="000000" w:themeColor="text1"/>
        </w:rPr>
        <w:t>触电的伤害机率远远高于其它伤害，这是由于作业性质决定的。引起触电事故的主要原因，除了设备缺陷，设计不周等技术因素外，大部分是由于违章操作引起的，常见的有：</w:t>
      </w:r>
    </w:p>
    <w:p>
      <w:pPr>
        <w:ind w:firstLine="560"/>
        <w:rPr>
          <w:color w:val="000000" w:themeColor="text1"/>
        </w:rPr>
      </w:pPr>
      <w:r>
        <w:rPr>
          <w:rFonts w:hint="eastAsia"/>
          <w:color w:val="000000" w:themeColor="text1"/>
        </w:rPr>
        <w:t>1）装设接地线不验电；</w:t>
      </w:r>
    </w:p>
    <w:p>
      <w:pPr>
        <w:ind w:firstLine="560"/>
        <w:rPr>
          <w:color w:val="000000" w:themeColor="text1"/>
        </w:rPr>
      </w:pPr>
      <w:r>
        <w:rPr>
          <w:rFonts w:hint="eastAsia"/>
          <w:color w:val="000000" w:themeColor="text1"/>
        </w:rPr>
        <w:t>2）线路检修时不装设或未按规定装设接地线；</w:t>
      </w:r>
    </w:p>
    <w:p>
      <w:pPr>
        <w:ind w:firstLine="560"/>
        <w:rPr>
          <w:color w:val="000000" w:themeColor="text1"/>
        </w:rPr>
      </w:pPr>
      <w:r>
        <w:rPr>
          <w:rFonts w:hint="eastAsia"/>
          <w:color w:val="000000" w:themeColor="text1"/>
        </w:rPr>
        <w:t>3）线路或电气设备工作完毕，未办理工作终结手续，就对停电设备恢复送电；</w:t>
      </w:r>
    </w:p>
    <w:p>
      <w:pPr>
        <w:ind w:firstLine="560"/>
        <w:rPr>
          <w:color w:val="000000" w:themeColor="text1"/>
        </w:rPr>
      </w:pPr>
      <w:r>
        <w:rPr>
          <w:rFonts w:hint="eastAsia"/>
          <w:color w:val="000000" w:themeColor="text1"/>
        </w:rPr>
        <w:t>4）在带电设备附近进行作业，不符合安全距离或无监护措施；</w:t>
      </w:r>
    </w:p>
    <w:p>
      <w:pPr>
        <w:ind w:firstLine="560"/>
        <w:rPr>
          <w:color w:val="000000" w:themeColor="text1"/>
        </w:rPr>
      </w:pPr>
      <w:r>
        <w:rPr>
          <w:rFonts w:hint="eastAsia"/>
          <w:color w:val="000000" w:themeColor="text1"/>
        </w:rPr>
        <w:t>5）倒闸操作不核对设备名称、编号、位置状态；</w:t>
      </w:r>
    </w:p>
    <w:p>
      <w:pPr>
        <w:ind w:firstLine="560"/>
        <w:rPr>
          <w:color w:val="000000" w:themeColor="text1"/>
        </w:rPr>
      </w:pPr>
      <w:r>
        <w:rPr>
          <w:rFonts w:hint="eastAsia"/>
          <w:color w:val="000000" w:themeColor="text1"/>
        </w:rPr>
        <w:t>6）跨越安全围栏或超越安全警界线；工作人员误碰带电设备；以及在带电设备附近使用钢尺等进行测量或携带金属超高物体在带电设备下行走；</w:t>
      </w:r>
    </w:p>
    <w:p>
      <w:pPr>
        <w:ind w:firstLine="560"/>
        <w:rPr>
          <w:color w:val="000000" w:themeColor="text1"/>
        </w:rPr>
      </w:pPr>
      <w:r>
        <w:rPr>
          <w:rFonts w:hint="eastAsia"/>
          <w:color w:val="000000" w:themeColor="text1"/>
        </w:rPr>
        <w:t>7）引线摆动碰地，触及带电体；</w:t>
      </w:r>
    </w:p>
    <w:p>
      <w:pPr>
        <w:ind w:firstLine="560"/>
        <w:rPr>
          <w:color w:val="000000" w:themeColor="text1"/>
        </w:rPr>
      </w:pPr>
      <w:r>
        <w:rPr>
          <w:rFonts w:hint="eastAsia"/>
          <w:color w:val="000000" w:themeColor="text1"/>
        </w:rPr>
        <w:t>8）悬垂绝缘子串的绝缘强度不够；</w:t>
      </w:r>
    </w:p>
    <w:p>
      <w:pPr>
        <w:ind w:firstLine="560"/>
        <w:rPr>
          <w:color w:val="000000" w:themeColor="text1"/>
        </w:rPr>
      </w:pPr>
      <w:r>
        <w:rPr>
          <w:rFonts w:hint="eastAsia"/>
          <w:color w:val="000000" w:themeColor="text1"/>
        </w:rPr>
        <w:t>9）电缆有残余电荷；</w:t>
      </w:r>
    </w:p>
    <w:p>
      <w:pPr>
        <w:ind w:firstLine="560"/>
        <w:rPr>
          <w:color w:val="000000" w:themeColor="text1"/>
        </w:rPr>
      </w:pPr>
      <w:r>
        <w:rPr>
          <w:rFonts w:hint="eastAsia"/>
          <w:color w:val="000000" w:themeColor="text1"/>
        </w:rPr>
        <w:t>10）工作人员擅自扩大工作范围；</w:t>
      </w:r>
    </w:p>
    <w:p>
      <w:pPr>
        <w:ind w:firstLine="560"/>
        <w:rPr>
          <w:color w:val="000000" w:themeColor="text1"/>
        </w:rPr>
      </w:pPr>
      <w:r>
        <w:rPr>
          <w:rFonts w:hint="eastAsia"/>
          <w:color w:val="000000" w:themeColor="text1"/>
        </w:rPr>
        <w:t>11）带电作业、无证操作、未落实工作票制等。</w:t>
      </w:r>
    </w:p>
    <w:p>
      <w:pPr>
        <w:ind w:firstLine="536"/>
        <w:rPr>
          <w:color w:val="000000" w:themeColor="text1"/>
          <w:spacing w:val="-6"/>
        </w:rPr>
      </w:pPr>
      <w:r>
        <w:rPr>
          <w:rFonts w:hint="eastAsia"/>
          <w:color w:val="000000" w:themeColor="text1"/>
          <w:spacing w:val="-6"/>
        </w:rPr>
        <w:t>此外，高低压电气设备、输电线路及各种电动机械等在缺少保护或保护失灵情况下，人触及带电部位、手持电动工具漏电及异常情况的跨步电压等，都可能发生触电事故。特别是在检修、抢修作业中发生机率较高。较高的建筑物所设避雷针及接地网如果发生故障，过电压将会危及人身安全。</w:t>
      </w:r>
    </w:p>
    <w:p>
      <w:pPr>
        <w:ind w:firstLine="562"/>
        <w:rPr>
          <w:b/>
          <w:bCs/>
          <w:color w:val="000000" w:themeColor="text1"/>
        </w:rPr>
      </w:pPr>
      <w:r>
        <w:rPr>
          <w:rFonts w:hint="eastAsia"/>
          <w:b/>
          <w:bCs/>
          <w:color w:val="000000" w:themeColor="text1"/>
        </w:rPr>
        <w:t>（2）</w:t>
      </w:r>
      <w:r>
        <w:rPr>
          <w:b/>
          <w:bCs/>
          <w:color w:val="000000" w:themeColor="text1"/>
        </w:rPr>
        <w:t>电气火灾</w:t>
      </w:r>
      <w:r>
        <w:rPr>
          <w:rFonts w:hint="eastAsia"/>
          <w:b/>
          <w:bCs/>
          <w:color w:val="000000" w:themeColor="text1"/>
        </w:rPr>
        <w:t>、</w:t>
      </w:r>
      <w:r>
        <w:rPr>
          <w:b/>
          <w:bCs/>
          <w:color w:val="000000" w:themeColor="text1"/>
        </w:rPr>
        <w:t>爆炸危险</w:t>
      </w:r>
      <w:r>
        <w:rPr>
          <w:rFonts w:hint="eastAsia"/>
          <w:b/>
          <w:bCs/>
          <w:color w:val="000000" w:themeColor="text1"/>
        </w:rPr>
        <w:t>性</w:t>
      </w:r>
    </w:p>
    <w:p>
      <w:pPr>
        <w:ind w:firstLine="560"/>
        <w:rPr>
          <w:color w:val="000000" w:themeColor="text1"/>
        </w:rPr>
      </w:pPr>
      <w:r>
        <w:rPr>
          <w:rFonts w:hint="eastAsia"/>
          <w:color w:val="000000" w:themeColor="text1"/>
        </w:rPr>
        <w:t>电火花、电弧和电气设备、部件的危险温度（大于爆炸性混合物自燃点），是引起可燃性气体、蒸汽、粉尘等燃烧爆炸的主要火源之一。</w:t>
      </w:r>
    </w:p>
    <w:p>
      <w:pPr>
        <w:ind w:firstLine="560"/>
        <w:rPr>
          <w:color w:val="000000" w:themeColor="text1"/>
        </w:rPr>
      </w:pPr>
      <w:r>
        <w:rPr>
          <w:rFonts w:hint="eastAsia"/>
          <w:color w:val="000000" w:themeColor="text1"/>
        </w:rPr>
        <w:t>引起电气火灾和爆炸的原因有以下几个方面：</w:t>
      </w:r>
    </w:p>
    <w:p>
      <w:pPr>
        <w:ind w:firstLine="560"/>
        <w:rPr>
          <w:color w:val="000000" w:themeColor="text1"/>
        </w:rPr>
      </w:pPr>
      <w:r>
        <w:rPr>
          <w:rFonts w:hint="eastAsia"/>
          <w:color w:val="000000" w:themeColor="text1"/>
        </w:rPr>
        <w:t>1）短路：发生短路时电流可能超过正常时的数十倍，致使电线、电气温度急剧上升，远远超过允许值，而且伴有短路电弧发生，造成火灾；</w:t>
      </w:r>
    </w:p>
    <w:p>
      <w:pPr>
        <w:ind w:firstLine="560"/>
        <w:rPr>
          <w:color w:val="000000" w:themeColor="text1"/>
        </w:rPr>
      </w:pPr>
      <w:r>
        <w:rPr>
          <w:rFonts w:hint="eastAsia"/>
          <w:color w:val="000000" w:themeColor="text1"/>
        </w:rPr>
        <w:t>2）过载：线路电动机，变压器超载运行均将导致绝缘材料起火；</w:t>
      </w:r>
    </w:p>
    <w:p>
      <w:pPr>
        <w:ind w:firstLine="560"/>
        <w:rPr>
          <w:color w:val="000000" w:themeColor="text1"/>
        </w:rPr>
      </w:pPr>
      <w:r>
        <w:rPr>
          <w:rFonts w:hint="eastAsia"/>
          <w:color w:val="000000" w:themeColor="text1"/>
        </w:rPr>
        <w:t>3）接触不良：导线接头连接不牢或焊接不良均会使接触电阻过高，导致接头过热起火。接触不良的电线接头、开关接点、滑触线等还会迸发火花引燃周围易燃、易爆物质。</w:t>
      </w:r>
    </w:p>
    <w:p>
      <w:pPr>
        <w:ind w:firstLine="562"/>
        <w:rPr>
          <w:b/>
          <w:bCs/>
          <w:color w:val="000000" w:themeColor="text1"/>
        </w:rPr>
      </w:pPr>
      <w:r>
        <w:rPr>
          <w:rFonts w:hint="eastAsia"/>
          <w:b/>
          <w:bCs/>
          <w:color w:val="000000" w:themeColor="text1"/>
        </w:rPr>
        <w:t>（3）雷击危险性</w:t>
      </w:r>
    </w:p>
    <w:p>
      <w:pPr>
        <w:ind w:firstLine="560"/>
        <w:rPr>
          <w:color w:val="000000" w:themeColor="text1"/>
        </w:rPr>
      </w:pPr>
      <w:r>
        <w:rPr>
          <w:rFonts w:hint="eastAsia"/>
          <w:color w:val="000000" w:themeColor="text1"/>
        </w:rPr>
        <w:t>伴随雷击出现的极高电压和极大电流，具有很大的破坏力，它包括了雷击过电压的破坏，热作用的破坏和机械作用的破坏。</w:t>
      </w:r>
    </w:p>
    <w:p>
      <w:pPr>
        <w:ind w:firstLine="560"/>
        <w:rPr>
          <w:color w:val="000000" w:themeColor="text1"/>
        </w:rPr>
      </w:pPr>
      <w:r>
        <w:rPr>
          <w:rFonts w:hint="eastAsia"/>
          <w:color w:val="000000" w:themeColor="text1"/>
        </w:rPr>
        <w:t>1）电作用的破坏</w:t>
      </w:r>
    </w:p>
    <w:p>
      <w:pPr>
        <w:ind w:firstLine="560"/>
        <w:rPr>
          <w:color w:val="000000" w:themeColor="text1"/>
        </w:rPr>
      </w:pPr>
      <w:r>
        <w:rPr>
          <w:rFonts w:hint="eastAsia"/>
          <w:color w:val="000000" w:themeColor="text1"/>
        </w:rPr>
        <w:t>雷击产生数十万甚至数百万的冲击电压，可以损坏发电机、变压器、电动机、断路器等电气设备的绝缘，造成大面积长时间的停产等安全事故。</w:t>
      </w:r>
    </w:p>
    <w:p>
      <w:pPr>
        <w:ind w:firstLine="560"/>
        <w:rPr>
          <w:color w:val="000000" w:themeColor="text1"/>
        </w:rPr>
      </w:pPr>
      <w:r>
        <w:rPr>
          <w:rFonts w:hint="eastAsia"/>
          <w:color w:val="000000" w:themeColor="text1"/>
        </w:rPr>
        <w:t>设备绝缘损坏会引起火灾事故，如果雷电对人体放电，将会使人致命。</w:t>
      </w:r>
    </w:p>
    <w:p>
      <w:pPr>
        <w:ind w:firstLine="560"/>
        <w:rPr>
          <w:color w:val="000000" w:themeColor="text1"/>
        </w:rPr>
      </w:pPr>
      <w:r>
        <w:rPr>
          <w:rFonts w:hint="eastAsia"/>
          <w:color w:val="000000" w:themeColor="text1"/>
        </w:rPr>
        <w:t>2）热作用的破坏</w:t>
      </w:r>
    </w:p>
    <w:p>
      <w:pPr>
        <w:ind w:firstLine="560"/>
        <w:rPr>
          <w:color w:val="000000" w:themeColor="text1"/>
        </w:rPr>
      </w:pPr>
      <w:r>
        <w:rPr>
          <w:rFonts w:hint="eastAsia"/>
          <w:color w:val="000000" w:themeColor="text1"/>
        </w:rPr>
        <w:t>巨大的雷电流流过导体时，在极短的时间内转换成巨大的热能，从而造成发热导体周围的可燃物燃烧，如果雷电直接击在易燃物上，可能引起火灾或者爆炸。</w:t>
      </w:r>
    </w:p>
    <w:p>
      <w:pPr>
        <w:ind w:firstLine="560"/>
        <w:rPr>
          <w:color w:val="000000" w:themeColor="text1"/>
        </w:rPr>
      </w:pPr>
      <w:r>
        <w:rPr>
          <w:rFonts w:hint="eastAsia"/>
          <w:color w:val="000000" w:themeColor="text1"/>
        </w:rPr>
        <w:t>3）机械作用的破坏</w:t>
      </w:r>
    </w:p>
    <w:p>
      <w:pPr>
        <w:ind w:firstLine="560"/>
        <w:rPr>
          <w:color w:val="000000" w:themeColor="text1"/>
        </w:rPr>
      </w:pPr>
      <w:r>
        <w:rPr>
          <w:rFonts w:hint="eastAsia"/>
          <w:color w:val="000000" w:themeColor="text1"/>
        </w:rPr>
        <w:t>巨大的雷电流通过被击物时，瞬间产生大量的热能，如果被击物是液体的管道或贮罐，则被击物内的液体可能急剧气化，剧烈膨胀为大量气体，致使被击物破坏或爆炸。此外静电作用力以及雷击时产生的气浪，也都具有很强的破坏作用。</w:t>
      </w:r>
    </w:p>
    <w:p>
      <w:pPr>
        <w:ind w:firstLine="562"/>
        <w:rPr>
          <w:b/>
          <w:bCs/>
          <w:color w:val="000000" w:themeColor="text1"/>
        </w:rPr>
      </w:pPr>
      <w:r>
        <w:rPr>
          <w:rFonts w:hint="eastAsia"/>
          <w:b/>
          <w:bCs/>
          <w:color w:val="000000" w:themeColor="text1"/>
        </w:rPr>
        <w:t>（4）静电危险性</w:t>
      </w:r>
    </w:p>
    <w:p>
      <w:pPr>
        <w:ind w:firstLine="560"/>
        <w:rPr>
          <w:color w:val="000000" w:themeColor="text1"/>
        </w:rPr>
      </w:pPr>
      <w:r>
        <w:rPr>
          <w:rFonts w:hint="eastAsia"/>
          <w:color w:val="000000" w:themeColor="text1"/>
        </w:rPr>
        <w:t>1）容易积累静电的常见部位和原因</w:t>
      </w:r>
    </w:p>
    <w:p>
      <w:pPr>
        <w:ind w:firstLine="560"/>
        <w:rPr>
          <w:color w:val="000000" w:themeColor="text1"/>
        </w:rPr>
      </w:pPr>
      <w:r>
        <w:rPr>
          <w:rFonts w:hint="eastAsia"/>
          <w:color w:val="000000" w:themeColor="text1"/>
        </w:rPr>
        <w:t>①低导电液体在管道中的流速超过1m/s时，液体喷出管口时，液体注入容器发生冲击、冲刷或飞溅；②压缩气体、液化气体在管道中流动时和由管口喷出时；③高压可燃气体放空口或高速喷出处；④用高压蒸汽吹扫可燃易爆气体、液体贮罐内部；⑤各种低导电物料混合器的搅拌机件；⑥传动皮带与皮带轮在高速旋转中的摩擦。</w:t>
      </w:r>
    </w:p>
    <w:p>
      <w:pPr>
        <w:ind w:firstLine="560"/>
        <w:rPr>
          <w:color w:val="000000" w:themeColor="text1"/>
        </w:rPr>
      </w:pPr>
      <w:r>
        <w:rPr>
          <w:rFonts w:hint="eastAsia"/>
          <w:color w:val="000000" w:themeColor="text1"/>
        </w:rPr>
        <w:t>2）静电能够引起火灾的爆炸</w:t>
      </w:r>
    </w:p>
    <w:p>
      <w:pPr>
        <w:ind w:firstLine="560"/>
        <w:rPr>
          <w:color w:val="000000" w:themeColor="text1"/>
        </w:rPr>
      </w:pPr>
      <w:r>
        <w:rPr>
          <w:rFonts w:hint="eastAsia"/>
          <w:color w:val="000000" w:themeColor="text1"/>
        </w:rPr>
        <w:t>静电在一定的条件下会形成很高的静电电压。静电电压所产生的电场强度超过周围介质的绝缘击穿电场强度时，则会产生静电放电，如果在易燃易爆物质的场所中出现静电放电，则静电放电火花就会引起火灾和爆炸。</w:t>
      </w:r>
    </w:p>
    <w:p>
      <w:pPr>
        <w:ind w:firstLine="560"/>
        <w:rPr>
          <w:color w:val="000000" w:themeColor="text1"/>
        </w:rPr>
      </w:pPr>
      <w:r>
        <w:rPr>
          <w:rFonts w:hint="eastAsia"/>
          <w:color w:val="000000" w:themeColor="text1"/>
        </w:rPr>
        <w:t>3）静电引起电击</w:t>
      </w:r>
    </w:p>
    <w:p>
      <w:pPr>
        <w:ind w:firstLine="560"/>
        <w:rPr>
          <w:color w:val="000000" w:themeColor="text1"/>
        </w:rPr>
      </w:pPr>
      <w:r>
        <w:rPr>
          <w:rFonts w:hint="eastAsia"/>
          <w:color w:val="000000" w:themeColor="text1"/>
        </w:rPr>
        <w:t>静电引起的电击不是持续通过人体的电流，而是由静放电造成的瞬间冲击性的电击，所以静电电击不会引起致命的伤害，但人体可能因此发生高空坠落，摔倒等二次事故。静电刺激人的神经系统，会使工作人员的精神紧张，工作效率降低。</w:t>
      </w:r>
    </w:p>
    <w:p>
      <w:pPr>
        <w:pStyle w:val="5"/>
        <w:ind w:firstLine="562"/>
      </w:pPr>
      <w:bookmarkStart w:id="3621" w:name="_Toc17201"/>
      <w:bookmarkStart w:id="3622" w:name="_Toc14215"/>
      <w:bookmarkStart w:id="3623" w:name="_Toc10808"/>
      <w:bookmarkStart w:id="3624" w:name="_Toc42724718"/>
      <w:r>
        <w:rPr>
          <w:rFonts w:hint="eastAsia"/>
        </w:rPr>
        <w:t>F2.5.3</w:t>
      </w:r>
      <w:r>
        <w:t>.2</w:t>
      </w:r>
      <w:r>
        <w:rPr>
          <w:rFonts w:hint="eastAsia"/>
        </w:rPr>
        <w:t xml:space="preserve"> 给排水系统危险有害因素分析</w:t>
      </w:r>
      <w:bookmarkEnd w:id="3621"/>
      <w:bookmarkEnd w:id="3622"/>
      <w:bookmarkEnd w:id="3623"/>
      <w:bookmarkEnd w:id="3624"/>
    </w:p>
    <w:p>
      <w:pPr>
        <w:ind w:firstLine="560"/>
        <w:rPr>
          <w:color w:val="000000" w:themeColor="text1"/>
        </w:rPr>
      </w:pPr>
      <w:r>
        <w:rPr>
          <w:rFonts w:hint="eastAsia"/>
          <w:color w:val="000000" w:themeColor="text1"/>
        </w:rPr>
        <w:t>包括生产生活给水系统、消防水系统、循环冷却水系统和排水系统等。</w:t>
      </w:r>
    </w:p>
    <w:p>
      <w:pPr>
        <w:ind w:firstLine="562"/>
        <w:rPr>
          <w:b/>
          <w:bCs/>
          <w:color w:val="000000" w:themeColor="text1"/>
        </w:rPr>
      </w:pPr>
      <w:r>
        <w:rPr>
          <w:rFonts w:hint="eastAsia"/>
          <w:b/>
          <w:bCs/>
          <w:color w:val="000000" w:themeColor="text1"/>
        </w:rPr>
        <w:t>（1）淹溺危险性</w:t>
      </w:r>
    </w:p>
    <w:p>
      <w:pPr>
        <w:ind w:firstLine="560"/>
        <w:rPr>
          <w:color w:val="000000" w:themeColor="text1"/>
        </w:rPr>
      </w:pPr>
      <w:r>
        <w:rPr>
          <w:rFonts w:hint="eastAsia"/>
          <w:color w:val="000000" w:themeColor="text1"/>
        </w:rPr>
        <w:t>在整个给水系统、循环水系统和排水系统中，有水库、沟、池等，若防护设施不全或生产运行管理不当，有淹溺危险性。</w:t>
      </w:r>
    </w:p>
    <w:p>
      <w:pPr>
        <w:ind w:firstLine="562"/>
        <w:rPr>
          <w:b/>
          <w:bCs/>
          <w:color w:val="000000" w:themeColor="text1"/>
        </w:rPr>
      </w:pPr>
      <w:r>
        <w:rPr>
          <w:rFonts w:hint="eastAsia"/>
          <w:b/>
          <w:bCs/>
          <w:color w:val="000000" w:themeColor="text1"/>
        </w:rPr>
        <w:t>（2）高处坠落危险性</w:t>
      </w:r>
    </w:p>
    <w:p>
      <w:pPr>
        <w:ind w:firstLine="560"/>
        <w:rPr>
          <w:color w:val="000000" w:themeColor="text1"/>
        </w:rPr>
      </w:pPr>
      <w:r>
        <w:rPr>
          <w:rFonts w:hint="eastAsia"/>
          <w:color w:val="000000" w:themeColor="text1"/>
        </w:rPr>
        <w:t>给排水管网，有水池等高层建筑，生产操作、巡回检查、设备检修时有高处坠落危险；在水管架空位置若有可能成为行人走捷径的桥梁通道有高处坠落的危险。</w:t>
      </w:r>
    </w:p>
    <w:p>
      <w:pPr>
        <w:ind w:firstLine="562"/>
        <w:rPr>
          <w:b/>
          <w:bCs/>
          <w:color w:val="000000" w:themeColor="text1"/>
        </w:rPr>
      </w:pPr>
      <w:r>
        <w:rPr>
          <w:rFonts w:hint="eastAsia"/>
          <w:b/>
          <w:bCs/>
          <w:color w:val="000000" w:themeColor="text1"/>
        </w:rPr>
        <w:t>（3）机械伤害危险性</w:t>
      </w:r>
    </w:p>
    <w:p>
      <w:pPr>
        <w:ind w:firstLine="560"/>
        <w:rPr>
          <w:color w:val="000000" w:themeColor="text1"/>
        </w:rPr>
      </w:pPr>
      <w:r>
        <w:rPr>
          <w:rFonts w:hint="eastAsia"/>
          <w:color w:val="000000" w:themeColor="text1"/>
        </w:rPr>
        <w:t>给排水系统有清水泵、循环泵、污水泵、冷却风机等传动设施或运转设备，若发生“三违”现象和防护措施失效，则存在机械伤害危险。</w:t>
      </w:r>
    </w:p>
    <w:p>
      <w:pPr>
        <w:pStyle w:val="5"/>
        <w:ind w:firstLine="562"/>
      </w:pPr>
      <w:bookmarkStart w:id="3625" w:name="_Toc30136"/>
      <w:bookmarkStart w:id="3626" w:name="_Toc17961"/>
      <w:bookmarkStart w:id="3627" w:name="_Toc25955"/>
      <w:r>
        <w:rPr>
          <w:rFonts w:hint="eastAsia"/>
        </w:rPr>
        <w:t>F2</w:t>
      </w:r>
      <w:r>
        <w:t>.</w:t>
      </w:r>
      <w:r>
        <w:rPr>
          <w:rFonts w:hint="eastAsia"/>
        </w:rPr>
        <w:t>5.3</w:t>
      </w:r>
      <w:r>
        <w:t>.3</w:t>
      </w:r>
      <w:r>
        <w:rPr>
          <w:rFonts w:hint="eastAsia"/>
        </w:rPr>
        <w:t xml:space="preserve"> 消防系统危险和有害因素分析</w:t>
      </w:r>
      <w:bookmarkEnd w:id="3625"/>
      <w:bookmarkEnd w:id="3626"/>
      <w:bookmarkEnd w:id="3627"/>
    </w:p>
    <w:p>
      <w:pPr>
        <w:ind w:firstLine="560"/>
        <w:rPr>
          <w:color w:val="000000" w:themeColor="text1"/>
        </w:rPr>
      </w:pPr>
      <w:r>
        <w:rPr>
          <w:rFonts w:hint="eastAsia"/>
          <w:color w:val="000000" w:themeColor="text1"/>
        </w:rPr>
        <w:t>（1）若系统消防设施配备不足，或消防设施布置不合理，发生火灾事故时不便扑救，造成事故扩大。</w:t>
      </w:r>
    </w:p>
    <w:p>
      <w:pPr>
        <w:ind w:firstLine="560"/>
        <w:rPr>
          <w:color w:val="000000" w:themeColor="text1"/>
        </w:rPr>
      </w:pPr>
      <w:r>
        <w:rPr>
          <w:rFonts w:hint="eastAsia"/>
          <w:color w:val="000000" w:themeColor="text1"/>
        </w:rPr>
        <w:t>（2）若所设消防设施日常检查、维护不当等，在发生事故时不能及时进行扑救，造成事故扩大。</w:t>
      </w:r>
    </w:p>
    <w:p>
      <w:pPr>
        <w:ind w:firstLine="560"/>
        <w:rPr>
          <w:color w:val="000000" w:themeColor="text1"/>
        </w:rPr>
      </w:pPr>
      <w:r>
        <w:rPr>
          <w:rFonts w:hint="eastAsia"/>
          <w:color w:val="000000" w:themeColor="text1"/>
        </w:rPr>
        <w:t>（3）若在各生产作业场所配备的消防设施与该场所可能发生的火灾事故类别不相配，一旦发生火灾事故，不能有效扑救火灾，造成事故扩大。</w:t>
      </w:r>
    </w:p>
    <w:p>
      <w:pPr>
        <w:ind w:firstLine="560"/>
        <w:rPr>
          <w:color w:val="000000" w:themeColor="text1"/>
        </w:rPr>
      </w:pPr>
      <w:r>
        <w:rPr>
          <w:rFonts w:hint="eastAsia"/>
          <w:color w:val="000000" w:themeColor="text1"/>
        </w:rPr>
        <w:t>（4）若发生火灾等事故时，区域内的消防通道堵塞，影响消防救援，会造成事故扩大。</w:t>
      </w:r>
    </w:p>
    <w:p>
      <w:pPr>
        <w:ind w:firstLine="560"/>
        <w:rPr>
          <w:color w:val="000000" w:themeColor="text1"/>
        </w:rPr>
      </w:pPr>
      <w:r>
        <w:rPr>
          <w:rFonts w:hint="eastAsia"/>
          <w:color w:val="000000" w:themeColor="text1"/>
        </w:rPr>
        <w:t>（5）当发生火灾时，不能保证提供足量的消防用水、消防设施，用于设备设施降温和灭火。会使火灾事故无法控制、扩大。</w:t>
      </w:r>
    </w:p>
    <w:p>
      <w:pPr>
        <w:pStyle w:val="5"/>
        <w:ind w:firstLine="562"/>
      </w:pPr>
      <w:r>
        <w:rPr>
          <w:rFonts w:hint="eastAsia"/>
        </w:rPr>
        <w:t>F2.5.3</w:t>
      </w:r>
      <w:r>
        <w:t>.</w:t>
      </w:r>
      <w:r>
        <w:rPr>
          <w:rFonts w:hint="eastAsia"/>
        </w:rPr>
        <w:t>4 设备设施检修危险性分析</w:t>
      </w:r>
      <w:bookmarkEnd w:id="3613"/>
      <w:bookmarkEnd w:id="3614"/>
      <w:bookmarkEnd w:id="3615"/>
      <w:bookmarkEnd w:id="3616"/>
    </w:p>
    <w:p>
      <w:pPr>
        <w:topLinePunct/>
        <w:ind w:firstLine="560"/>
        <w:rPr>
          <w:rFonts w:ascii="宋体" w:hAnsi="宋体"/>
          <w:color w:val="000000" w:themeColor="text1"/>
        </w:rPr>
      </w:pPr>
      <w:r>
        <w:rPr>
          <w:rFonts w:hint="eastAsia"/>
        </w:rPr>
        <w:t>（1）</w:t>
      </w:r>
      <w:r>
        <w:rPr>
          <w:rFonts w:hint="eastAsia" w:ascii="宋体" w:hAnsi="宋体"/>
          <w:color w:val="000000" w:themeColor="text1"/>
        </w:rPr>
        <w:t>出现于运转设备填料密封泄漏或管道、阀门等故障，在检修中，设备、管线内可能存在一些有毒、助燃物料，如这些危险和有害物未清洗干净，或置换不合格或不按规定进行动火分析，违章动火极可能造成火灾爆炸、中毒、触电的事故。</w:t>
      </w:r>
    </w:p>
    <w:p>
      <w:pPr>
        <w:topLinePunct/>
        <w:ind w:firstLine="560"/>
        <w:rPr>
          <w:rFonts w:ascii="宋体" w:hAnsi="宋体"/>
          <w:color w:val="000000" w:themeColor="text1"/>
        </w:rPr>
      </w:pPr>
      <w:r>
        <w:rPr>
          <w:rFonts w:hint="eastAsia"/>
        </w:rPr>
        <w:t>（2）</w:t>
      </w:r>
      <w:r>
        <w:rPr>
          <w:rFonts w:hint="eastAsia" w:ascii="宋体" w:hAnsi="宋体"/>
          <w:color w:val="000000" w:themeColor="text1"/>
        </w:rPr>
        <w:t>作业过程、交叉作业多、高处作业多，且多有起重吊装作业、入塔进罐、池内作业不认真检查、动火制度坚持不严、没有严格监护措施，则易发生高空坠落，物体打击、机械伤害、着火、爆炸、中毒窒息和触电的危险。</w:t>
      </w:r>
    </w:p>
    <w:p>
      <w:pPr>
        <w:topLinePunct/>
        <w:ind w:firstLine="560"/>
        <w:rPr>
          <w:rFonts w:ascii="宋体" w:hAnsi="宋体"/>
          <w:color w:val="000000" w:themeColor="text1"/>
          <w:szCs w:val="28"/>
          <w:lang w:val="zh-CN"/>
        </w:rPr>
      </w:pPr>
      <w:r>
        <w:rPr>
          <w:rFonts w:hint="eastAsia"/>
        </w:rPr>
        <w:t>（3）</w:t>
      </w:r>
      <w:r>
        <w:rPr>
          <w:rFonts w:hint="eastAsia" w:ascii="宋体" w:hAnsi="宋体"/>
          <w:color w:val="000000" w:themeColor="text1"/>
        </w:rPr>
        <w:t>检维修人员在</w:t>
      </w:r>
      <w:r>
        <w:rPr>
          <w:rFonts w:hint="eastAsia" w:ascii="宋体" w:hAnsi="宋体"/>
          <w:color w:val="000000" w:themeColor="text1"/>
          <w:szCs w:val="28"/>
          <w:lang w:val="zh-CN"/>
        </w:rPr>
        <w:t>检修过程中，若未在适当位置放置一定数量的消防器材，发生事故时不能及时扑救。</w:t>
      </w:r>
    </w:p>
    <w:p>
      <w:pPr>
        <w:topLinePunct/>
        <w:ind w:firstLine="560"/>
        <w:rPr>
          <w:rFonts w:ascii="宋体" w:hAnsi="宋体"/>
          <w:color w:val="000000" w:themeColor="text1"/>
          <w:szCs w:val="28"/>
        </w:rPr>
      </w:pPr>
      <w:r>
        <w:rPr>
          <w:rFonts w:hint="eastAsia"/>
        </w:rPr>
        <w:t>（4）</w:t>
      </w:r>
      <w:r>
        <w:rPr>
          <w:rFonts w:hint="eastAsia" w:ascii="宋体" w:hAnsi="宋体"/>
          <w:color w:val="000000" w:themeColor="text1"/>
          <w:szCs w:val="28"/>
        </w:rPr>
        <w:t>设备设施检修时，生产方和检修方若未严格执行交接手续，不能确保检修安全，容易发生火灾、爆炸，甚至人员中毒。</w:t>
      </w:r>
    </w:p>
    <w:p>
      <w:pPr>
        <w:topLinePunct/>
        <w:ind w:firstLine="560"/>
        <w:rPr>
          <w:rFonts w:ascii="宋体" w:hAnsi="宋体"/>
          <w:bCs/>
          <w:color w:val="000000" w:themeColor="text1"/>
          <w:szCs w:val="28"/>
        </w:rPr>
      </w:pPr>
      <w:r>
        <w:rPr>
          <w:rFonts w:hint="eastAsia"/>
        </w:rPr>
        <w:t>（5）</w:t>
      </w:r>
      <w:r>
        <w:rPr>
          <w:rFonts w:hint="eastAsia" w:ascii="宋体" w:hAnsi="宋体"/>
          <w:color w:val="000000" w:themeColor="text1"/>
          <w:szCs w:val="28"/>
        </w:rPr>
        <w:t>检修完毕后，若未对检修场所进行清扫，容易发生检修工具遗留在现场或设备内，可能造成事故。</w:t>
      </w:r>
    </w:p>
    <w:p>
      <w:pPr>
        <w:topLinePunct/>
        <w:ind w:firstLine="560"/>
        <w:rPr>
          <w:rFonts w:ascii="宋体" w:hAnsi="宋体"/>
          <w:color w:val="000000" w:themeColor="text1"/>
        </w:rPr>
      </w:pPr>
      <w:r>
        <w:rPr>
          <w:rFonts w:hint="eastAsia"/>
        </w:rPr>
        <w:t>（6）</w:t>
      </w:r>
      <w:r>
        <w:rPr>
          <w:rFonts w:hint="eastAsia" w:ascii="宋体" w:hAnsi="宋体"/>
          <w:color w:val="000000" w:themeColor="text1"/>
        </w:rPr>
        <w:t>人员在进行检修作业时若无轮流监护人员，有发生中毒、高处坠落、火灾爆炸的危险。</w:t>
      </w:r>
    </w:p>
    <w:p>
      <w:pPr>
        <w:topLinePunct/>
        <w:ind w:firstLine="560"/>
        <w:rPr>
          <w:rFonts w:ascii="宋体" w:hAnsi="宋体"/>
          <w:color w:val="000000" w:themeColor="text1"/>
          <w:szCs w:val="28"/>
        </w:rPr>
      </w:pPr>
      <w:r>
        <w:rPr>
          <w:rFonts w:hint="eastAsia"/>
        </w:rPr>
        <w:t>（7）</w:t>
      </w:r>
      <w:r>
        <w:rPr>
          <w:rFonts w:hint="eastAsia" w:ascii="宋体" w:hAnsi="宋体"/>
          <w:color w:val="000000" w:themeColor="text1"/>
          <w:szCs w:val="28"/>
        </w:rPr>
        <w:t>设备设施检修时，生产方和检修方若未严格执行交接手续，不能确保检修安全，容易发生事故。</w:t>
      </w:r>
    </w:p>
    <w:p>
      <w:pPr>
        <w:topLinePunct/>
        <w:ind w:firstLine="560"/>
        <w:rPr>
          <w:rFonts w:ascii="宋体" w:hAnsi="宋体"/>
          <w:color w:val="000000" w:themeColor="text1"/>
          <w:szCs w:val="28"/>
        </w:rPr>
      </w:pPr>
      <w:r>
        <w:rPr>
          <w:rFonts w:hint="eastAsia"/>
        </w:rPr>
        <w:t>（8）</w:t>
      </w:r>
      <w:r>
        <w:rPr>
          <w:rFonts w:hint="eastAsia" w:ascii="宋体" w:hAnsi="宋体"/>
          <w:color w:val="000000" w:themeColor="text1"/>
          <w:szCs w:val="28"/>
        </w:rPr>
        <w:t>设备检修时，必须停机检修，设备的活动部件应固定牢固，否则，可能发生机械伤害、物体打击或其它事故。</w:t>
      </w:r>
    </w:p>
    <w:p>
      <w:pPr>
        <w:topLinePunct/>
        <w:ind w:firstLine="560"/>
        <w:rPr>
          <w:rFonts w:ascii="宋体" w:hAnsi="宋体"/>
          <w:color w:val="000000" w:themeColor="text1"/>
          <w:szCs w:val="28"/>
        </w:rPr>
      </w:pPr>
      <w:r>
        <w:rPr>
          <w:rFonts w:hint="eastAsia"/>
        </w:rPr>
        <w:t>（9）</w:t>
      </w:r>
      <w:r>
        <w:rPr>
          <w:rFonts w:hint="eastAsia" w:ascii="宋体" w:hAnsi="宋体"/>
          <w:color w:val="000000" w:themeColor="text1"/>
        </w:rPr>
        <w:t>在各类池内检修时，未进行置换或置换不彻底，人员没有或未正确佩戴防护用品，以及防护用品失效，发生人员中毒窒息事故。</w:t>
      </w:r>
    </w:p>
    <w:p>
      <w:pPr>
        <w:topLinePunct/>
        <w:ind w:firstLine="560"/>
        <w:rPr>
          <w:rFonts w:ascii="宋体" w:hAnsi="宋体"/>
          <w:color w:val="000000" w:themeColor="text1"/>
          <w:szCs w:val="28"/>
        </w:rPr>
      </w:pPr>
      <w:r>
        <w:rPr>
          <w:rFonts w:hint="eastAsia"/>
        </w:rPr>
        <w:t>（10）</w:t>
      </w:r>
      <w:r>
        <w:rPr>
          <w:rFonts w:hint="eastAsia" w:ascii="宋体" w:hAnsi="宋体"/>
          <w:color w:val="000000" w:themeColor="text1"/>
          <w:szCs w:val="28"/>
        </w:rPr>
        <w:t>检修过程中，若未在适当位置放置适当消防器材，一旦发生事故时不能及时扑救。</w:t>
      </w:r>
    </w:p>
    <w:p>
      <w:pPr>
        <w:topLinePunct/>
        <w:ind w:firstLine="560"/>
        <w:rPr>
          <w:rFonts w:ascii="宋体" w:hAnsi="宋体"/>
          <w:color w:val="000000" w:themeColor="text1"/>
          <w:szCs w:val="28"/>
        </w:rPr>
      </w:pPr>
      <w:r>
        <w:rPr>
          <w:rFonts w:hint="eastAsia"/>
        </w:rPr>
        <w:t>（11）</w:t>
      </w:r>
      <w:r>
        <w:rPr>
          <w:rFonts w:hint="eastAsia" w:ascii="宋体" w:hAnsi="宋体"/>
          <w:color w:val="000000" w:themeColor="text1"/>
          <w:szCs w:val="28"/>
        </w:rPr>
        <w:t>检修完毕后，若未对检修场所进行清扫，容易发生检修工具遗留在现场或设备内，可能造成事故。</w:t>
      </w:r>
    </w:p>
    <w:p>
      <w:pPr>
        <w:pStyle w:val="5"/>
        <w:ind w:firstLine="562"/>
      </w:pPr>
      <w:bookmarkStart w:id="3628" w:name="_Toc30348"/>
      <w:bookmarkStart w:id="3629" w:name="_Toc4482"/>
      <w:bookmarkStart w:id="3630" w:name="_Toc24465"/>
      <w:bookmarkStart w:id="3631" w:name="_Toc128056502"/>
      <w:r>
        <w:rPr>
          <w:rFonts w:hint="eastAsia"/>
        </w:rPr>
        <w:t>F2.5.3</w:t>
      </w:r>
      <w:r>
        <w:t>.</w:t>
      </w:r>
      <w:r>
        <w:rPr>
          <w:rFonts w:hint="eastAsia"/>
        </w:rPr>
        <w:t>5 电气设施检修危险性分析</w:t>
      </w:r>
      <w:bookmarkEnd w:id="3628"/>
      <w:bookmarkEnd w:id="3629"/>
      <w:bookmarkEnd w:id="3630"/>
      <w:bookmarkEnd w:id="3631"/>
    </w:p>
    <w:p>
      <w:pPr>
        <w:topLinePunct/>
        <w:ind w:firstLine="560"/>
        <w:rPr>
          <w:rFonts w:ascii="宋体" w:hAnsi="宋体"/>
          <w:color w:val="000000" w:themeColor="text1"/>
          <w:szCs w:val="28"/>
        </w:rPr>
      </w:pPr>
      <w:r>
        <w:rPr>
          <w:rFonts w:hint="eastAsia"/>
        </w:rPr>
        <w:t>（1）</w:t>
      </w:r>
      <w:r>
        <w:rPr>
          <w:rFonts w:hint="eastAsia" w:ascii="宋体" w:hAnsi="宋体"/>
          <w:color w:val="000000" w:themeColor="text1"/>
          <w:szCs w:val="28"/>
        </w:rPr>
        <w:t>电气工作人员若未取得特种作业人员操作证，容易发生供电操作和触电事故，甚至发生错送错停电事故，而引起设备损坏，及电气火灾。</w:t>
      </w:r>
    </w:p>
    <w:p>
      <w:pPr>
        <w:topLinePunct/>
        <w:ind w:firstLine="560"/>
        <w:rPr>
          <w:rFonts w:ascii="宋体" w:hAnsi="宋体"/>
          <w:color w:val="000000" w:themeColor="text1"/>
          <w:szCs w:val="28"/>
        </w:rPr>
      </w:pPr>
      <w:r>
        <w:rPr>
          <w:rFonts w:hint="eastAsia"/>
        </w:rPr>
        <w:t>（2）</w:t>
      </w:r>
      <w:r>
        <w:rPr>
          <w:rFonts w:hint="eastAsia" w:ascii="宋体" w:hAnsi="宋体"/>
          <w:color w:val="000000" w:themeColor="text1"/>
          <w:szCs w:val="28"/>
        </w:rPr>
        <w:t>电气工作人员若未严格执行电气安全操作规程，容易发生电器设备损坏和触电事故。</w:t>
      </w:r>
    </w:p>
    <w:p>
      <w:pPr>
        <w:topLinePunct/>
        <w:ind w:firstLine="560"/>
        <w:rPr>
          <w:rFonts w:ascii="宋体" w:hAnsi="宋体"/>
          <w:color w:val="000000" w:themeColor="text1"/>
          <w:szCs w:val="28"/>
        </w:rPr>
      </w:pPr>
      <w:r>
        <w:rPr>
          <w:rFonts w:hint="eastAsia"/>
        </w:rPr>
        <w:t>（3）</w:t>
      </w:r>
      <w:r>
        <w:rPr>
          <w:rFonts w:hint="eastAsia" w:ascii="宋体" w:hAnsi="宋体"/>
          <w:color w:val="000000" w:themeColor="text1"/>
          <w:szCs w:val="28"/>
        </w:rPr>
        <w:t>电气工作人员工作时，未设置警告牌，或取下、移开和遮盖，容易发生触电事故。</w:t>
      </w:r>
    </w:p>
    <w:p>
      <w:pPr>
        <w:topLinePunct/>
        <w:ind w:firstLine="560"/>
        <w:rPr>
          <w:rFonts w:ascii="宋体" w:hAnsi="宋体"/>
          <w:color w:val="000000" w:themeColor="text1"/>
          <w:szCs w:val="28"/>
        </w:rPr>
      </w:pPr>
      <w:r>
        <w:rPr>
          <w:rFonts w:hint="eastAsia"/>
        </w:rPr>
        <w:t>（4）</w:t>
      </w:r>
      <w:r>
        <w:rPr>
          <w:rFonts w:hint="eastAsia" w:ascii="宋体" w:hAnsi="宋体"/>
          <w:color w:val="000000" w:themeColor="text1"/>
          <w:szCs w:val="28"/>
        </w:rPr>
        <w:t>在进行电气操作时，若未按要求做到两人进行（一人工作一人监护），容易发生触电事故。</w:t>
      </w:r>
    </w:p>
    <w:p>
      <w:pPr>
        <w:topLinePunct/>
        <w:ind w:firstLine="560"/>
        <w:rPr>
          <w:rFonts w:ascii="宋体" w:hAnsi="宋体"/>
          <w:color w:val="000000" w:themeColor="text1"/>
          <w:szCs w:val="28"/>
        </w:rPr>
      </w:pPr>
      <w:r>
        <w:rPr>
          <w:rFonts w:hint="eastAsia"/>
        </w:rPr>
        <w:t>（5）</w:t>
      </w:r>
      <w:r>
        <w:rPr>
          <w:rFonts w:hint="eastAsia" w:ascii="宋体" w:hAnsi="宋体"/>
          <w:color w:val="000000" w:themeColor="text1"/>
          <w:szCs w:val="28"/>
        </w:rPr>
        <w:t>用绝缘棒拉合各种开关，若未戴绝缘手套，容易发生触电事故。</w:t>
      </w:r>
    </w:p>
    <w:p>
      <w:pPr>
        <w:pStyle w:val="5"/>
        <w:ind w:firstLine="562"/>
      </w:pPr>
      <w:bookmarkStart w:id="3632" w:name="_Toc17459"/>
      <w:bookmarkStart w:id="3633" w:name="_Toc30333"/>
      <w:bookmarkStart w:id="3634" w:name="_Toc128056503"/>
      <w:bookmarkStart w:id="3635" w:name="_Toc5779"/>
      <w:r>
        <w:rPr>
          <w:rFonts w:hint="eastAsia"/>
        </w:rPr>
        <w:t>F2.5.3</w:t>
      </w:r>
      <w:r>
        <w:t>.</w:t>
      </w:r>
      <w:r>
        <w:rPr>
          <w:rFonts w:hint="eastAsia"/>
        </w:rPr>
        <w:t>6 受限空间作业危险性分析</w:t>
      </w:r>
      <w:bookmarkEnd w:id="3632"/>
      <w:bookmarkEnd w:id="3633"/>
      <w:bookmarkEnd w:id="3634"/>
      <w:bookmarkEnd w:id="3635"/>
    </w:p>
    <w:p>
      <w:pPr>
        <w:ind w:firstLine="560"/>
        <w:rPr>
          <w:color w:val="000000" w:themeColor="text1"/>
        </w:rPr>
      </w:pPr>
      <w:bookmarkStart w:id="3636" w:name="_Toc42724722"/>
      <w:bookmarkStart w:id="3637" w:name="_Toc518768159"/>
      <w:r>
        <w:rPr>
          <w:rFonts w:hint="eastAsia"/>
          <w:color w:val="000000" w:themeColor="text1"/>
        </w:rPr>
        <w:t>检修作业过程中对产生、输送、使用毒害性物质的设备、管道进行检修时，未对与之连接的管道、设备进行封堵、阀门未切断就进入设备及管道内作业，残留及从与之相连设备、管道流入的毒害性物质可能造成作业人员中毒；在进入产生、输送、使用毒害性物质的设备、管道进行检修时，未进行吹扫或吹扫不干净、未采取通风措施或通风措施无效、未进行有害气体检测分析或分析不准确、未按规定佩戴劳动防护用品或防护用品失效、未设专人监护，残留的毒害性物质可能造成作业人员中毒死亡；在无毒害性物质的限定性空间如塔、罐内作业时未按要求采取通风措施、未派专人监护、未对限定性空间内的空气含氧量进行分析，作业人员进入限定性空间后因缺氧发生窒息甚至死亡。</w:t>
      </w:r>
    </w:p>
    <w:bookmarkEnd w:id="3636"/>
    <w:bookmarkEnd w:id="3637"/>
    <w:p>
      <w:pPr>
        <w:pStyle w:val="5"/>
        <w:ind w:firstLine="562"/>
      </w:pPr>
      <w:bookmarkStart w:id="3638" w:name="_Toc128056504"/>
      <w:bookmarkStart w:id="3639" w:name="_Toc518768161"/>
      <w:bookmarkStart w:id="3640" w:name="_Toc14934"/>
      <w:bookmarkStart w:id="3641" w:name="_Toc15962"/>
      <w:bookmarkStart w:id="3642" w:name="_Toc10954"/>
      <w:bookmarkStart w:id="3643" w:name="_Toc42724724"/>
      <w:r>
        <w:rPr>
          <w:rFonts w:hint="eastAsia"/>
        </w:rPr>
        <w:t>F2.5.3</w:t>
      </w:r>
      <w:r>
        <w:t>.</w:t>
      </w:r>
      <w:r>
        <w:rPr>
          <w:rFonts w:hint="eastAsia"/>
        </w:rPr>
        <w:t>7 其他</w:t>
      </w:r>
      <w:bookmarkEnd w:id="3638"/>
      <w:bookmarkEnd w:id="3639"/>
      <w:bookmarkEnd w:id="3640"/>
      <w:bookmarkEnd w:id="3641"/>
      <w:bookmarkEnd w:id="3642"/>
      <w:bookmarkEnd w:id="3643"/>
      <w:r>
        <w:rPr>
          <w:rFonts w:hint="eastAsia"/>
        </w:rPr>
        <w:t>危险和有害因素</w:t>
      </w:r>
    </w:p>
    <w:p>
      <w:pPr>
        <w:ind w:firstLine="560"/>
        <w:rPr>
          <w:color w:val="000000" w:themeColor="text1"/>
        </w:rPr>
      </w:pPr>
      <w:r>
        <w:rPr>
          <w:rFonts w:hint="eastAsia"/>
          <w:color w:val="000000" w:themeColor="text1"/>
        </w:rPr>
        <w:t>跃进化工在检修时，可能因违章检修电气设备、电气线路导致触电事故；违章检修运转或传动机械设备导致的机械伤害；在高于2m的作业平台进行作业时未采取有效的防护措施（如未系安全带或作业平台无防护栏等）导致的坠落伤害；对高温设备检修时未采取防护措施导致的高温物质烫伤；设备、厂内高处物体掉落、高处检修时的工具掉落等砸伤作业人员等。</w:t>
      </w:r>
      <w:bookmarkEnd w:id="3499"/>
      <w:bookmarkEnd w:id="3500"/>
    </w:p>
    <w:p>
      <w:pPr>
        <w:pStyle w:val="5"/>
        <w:ind w:firstLine="562"/>
      </w:pPr>
      <w:bookmarkStart w:id="3644" w:name="_Toc25465"/>
      <w:bookmarkStart w:id="3645" w:name="_Toc13646"/>
      <w:bookmarkStart w:id="3646" w:name="_Toc31209"/>
      <w:bookmarkStart w:id="3647" w:name="_Toc128056505"/>
      <w:r>
        <w:rPr>
          <w:rFonts w:hint="eastAsia"/>
        </w:rPr>
        <w:t>F2.5.3.8 特殊作业过程危险有害因素分析</w:t>
      </w:r>
      <w:bookmarkEnd w:id="3644"/>
      <w:bookmarkEnd w:id="3645"/>
      <w:bookmarkEnd w:id="3646"/>
      <w:bookmarkEnd w:id="3647"/>
    </w:p>
    <w:p>
      <w:pPr>
        <w:ind w:firstLine="560"/>
        <w:rPr>
          <w:sz w:val="24"/>
        </w:rPr>
      </w:pPr>
      <w:r>
        <w:rPr>
          <w:rFonts w:hint="eastAsia"/>
          <w:color w:val="000000" w:themeColor="text1"/>
        </w:rPr>
        <w:t>若项目涉及的主要设备、设施等处出现故障需要检修、维护时，在施工、运行中有可能涉及高处作业、动火作业、临时用电等特殊作业过程，特殊作业环节事故多发主要是由于企业特殊作业管理制度执行不到位、作业前风险识别不清，作业过程中风险管控不到位以及监护人应急处置能力不足等原因。因此在进行特殊作业时必须严格执行《危险化学品企业特殊作业安全规范》（GB30871—2022）规定。</w:t>
      </w:r>
    </w:p>
    <w:p>
      <w:pPr>
        <w:pStyle w:val="92"/>
        <w:rPr>
          <w:sz w:val="24"/>
          <w:szCs w:val="24"/>
        </w:rPr>
      </w:pPr>
      <w:r>
        <w:rPr>
          <w:rFonts w:hint="eastAsia"/>
          <w:sz w:val="24"/>
          <w:szCs w:val="24"/>
        </w:rPr>
        <w:t>F表2.5-1 吊装作业危险性分析</w:t>
      </w:r>
    </w:p>
    <w:tbl>
      <w:tblPr>
        <w:tblStyle w:val="3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763"/>
        <w:gridCol w:w="2069"/>
        <w:gridCol w:w="1775"/>
        <w:gridCol w:w="3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作业</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名称</w:t>
            </w:r>
          </w:p>
        </w:tc>
        <w:tc>
          <w:tcPr>
            <w:tcW w:w="411"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工作</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步骤</w:t>
            </w:r>
          </w:p>
        </w:tc>
        <w:tc>
          <w:tcPr>
            <w:tcW w:w="1114"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危  害  因  素</w:t>
            </w:r>
          </w:p>
        </w:tc>
        <w:tc>
          <w:tcPr>
            <w:tcW w:w="956"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可 能 的 后 果</w:t>
            </w:r>
          </w:p>
        </w:tc>
        <w:tc>
          <w:tcPr>
            <w:tcW w:w="2127"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控  制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吊装作业</w:t>
            </w:r>
          </w:p>
        </w:tc>
        <w:tc>
          <w:tcPr>
            <w:tcW w:w="411"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作业前</w:t>
            </w: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不按规定要求办理吊装作业许可证</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违章作业引发事故</w:t>
            </w:r>
          </w:p>
        </w:tc>
        <w:tc>
          <w:tcPr>
            <w:tcW w:w="212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严格办理吊装作业许可证，严禁违章作业，严格按规定执行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作业人员安全防护措施不落实</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引发事故，人员伤亡</w:t>
            </w:r>
          </w:p>
        </w:tc>
        <w:tc>
          <w:tcPr>
            <w:tcW w:w="212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配备安全措施，安全带、安全帽，相关救生设备等，严格检查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作业人员未进行安全教育</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人员伤害</w:t>
            </w:r>
          </w:p>
        </w:tc>
        <w:tc>
          <w:tcPr>
            <w:tcW w:w="212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作业前进行安全教育，对现场情况进行培训，严格按照规定执行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监护不足，监护人不到位</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出现事故不能及时处置，造成事故扩大</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安排责任心强有经验的人员进行监护，作业前对安全措施进行严格检查。作业过程中不得脱离岗位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消防器材不足及救援应急措施不当</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造成事故扩大。人员伤害</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作业前仔细检查落实配备到位，备有消防器材和药品等急救用品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钢丝绳有断股，破损严重，安全系数不合要求</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高处坠落，人员伤害</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使用前认真检查，符合要求才能使用。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作业材料、器具、设备等设施不安全</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造成事故扩大。人员伤害</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使用前认真检查，严格按规定执行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作业现场不符要求，与输电设施无安全距离</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人员伤害</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现场地面必须牢固，可靠，停放地点平坦。与输电线路有一定的安全距离。严格按规定执行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与现场联系不足，信号不明确，指挥混乱</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人员伤害，财产损失</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作业前与专人建立联系信号，统一指挥。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现场未设置安全警戒标志或警戒线</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人员伤害</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划定警戒线，设置安全标志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作业中</w:t>
            </w: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非施工人员进入施工场地</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引发事故，人员伤害</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交叉施工区域设专人监护，或设置警告牌，按照规定执行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未严格执行吊装作业“十不吊”</w:t>
            </w:r>
          </w:p>
        </w:tc>
        <w:tc>
          <w:tcPr>
            <w:tcW w:w="95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2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严格执行规定：指挥信号不明或乱指挥不吊；超负荷或物件重量不明不吊；斜拉重物不吊；光线不足看不清重物不吊；重物下或上站人不吊；重物埋在地下不吊；重物紧固不牢，绳打结，绳不齐不吊；棱刃物件没有放垫措施不吊；安全装置失灵不吊；六级强风区不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tcPr>
          <w:p>
            <w:pPr>
              <w:adjustRightInd/>
              <w:spacing w:line="240" w:lineRule="auto"/>
              <w:ind w:firstLine="0" w:firstLineChars="0"/>
              <w:rPr>
                <w:color w:val="000000" w:themeColor="text1"/>
                <w:sz w:val="21"/>
                <w:szCs w:val="21"/>
              </w:rPr>
            </w:pPr>
          </w:p>
        </w:tc>
        <w:tc>
          <w:tcPr>
            <w:tcW w:w="1114"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将建筑物、构筑物作吊装锚点</w:t>
            </w:r>
          </w:p>
        </w:tc>
        <w:tc>
          <w:tcPr>
            <w:tcW w:w="95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人员伤害</w:t>
            </w:r>
          </w:p>
        </w:tc>
        <w:tc>
          <w:tcPr>
            <w:tcW w:w="212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sz w:val="21"/>
                <w:szCs w:val="21"/>
              </w:rPr>
              <w:t>严禁将建筑物、构筑物作为吊装锚点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作业过程中盲目起吊</w:t>
            </w:r>
          </w:p>
        </w:tc>
        <w:tc>
          <w:tcPr>
            <w:tcW w:w="956"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12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必须先用低角度、短行程试吊，严格按照规定执行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吊起的重物在空中长时间或短时间停留</w:t>
            </w:r>
          </w:p>
        </w:tc>
        <w:tc>
          <w:tcPr>
            <w:tcW w:w="95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重物砸伤或机械倒塌</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作业前培训，严格检查，违反者，按规定进行处理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对起吊重物进行加工</w:t>
            </w:r>
          </w:p>
        </w:tc>
        <w:tc>
          <w:tcPr>
            <w:tcW w:w="95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采取有效措施，专人监护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起重设备遇机械故障或不正常现象，在作业过程中进行调整或检修</w:t>
            </w:r>
          </w:p>
        </w:tc>
        <w:tc>
          <w:tcPr>
            <w:tcW w:w="95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高空坠落人员伤害</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按照规定执行，作业前进行起重设备检查，记录归档。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出现危险品泄漏或其他异常情况</w:t>
            </w:r>
          </w:p>
        </w:tc>
        <w:tc>
          <w:tcPr>
            <w:tcW w:w="956"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12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停止作业，撤离人员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Merge w:val="continue"/>
            <w:vAlign w:val="center"/>
          </w:tcPr>
          <w:p>
            <w:pPr>
              <w:adjustRightInd/>
              <w:spacing w:line="240" w:lineRule="auto"/>
              <w:ind w:firstLine="0" w:firstLineChars="0"/>
              <w:rPr>
                <w:color w:val="000000" w:themeColor="text1"/>
                <w:sz w:val="21"/>
                <w:szCs w:val="21"/>
              </w:rPr>
            </w:pP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涉及危险作业组合，未落实相应安全措施，办理相应许可证</w:t>
            </w:r>
          </w:p>
        </w:tc>
        <w:tc>
          <w:tcPr>
            <w:tcW w:w="956"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12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按照规定执行，办理相关许可证，落实相关安全措施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0" w:type="pct"/>
            <w:vMerge w:val="continue"/>
          </w:tcPr>
          <w:p>
            <w:pPr>
              <w:adjustRightInd/>
              <w:spacing w:line="240" w:lineRule="auto"/>
              <w:ind w:firstLine="0" w:firstLineChars="0"/>
              <w:rPr>
                <w:color w:val="000000" w:themeColor="text1"/>
                <w:sz w:val="21"/>
                <w:szCs w:val="21"/>
              </w:rPr>
            </w:pPr>
          </w:p>
        </w:tc>
        <w:tc>
          <w:tcPr>
            <w:tcW w:w="411"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完工后</w:t>
            </w:r>
          </w:p>
        </w:tc>
        <w:tc>
          <w:tcPr>
            <w:tcW w:w="1114"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现场没有清理</w:t>
            </w:r>
          </w:p>
        </w:tc>
        <w:tc>
          <w:tcPr>
            <w:tcW w:w="95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2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及时清理</w:t>
            </w:r>
          </w:p>
        </w:tc>
      </w:tr>
    </w:tbl>
    <w:p>
      <w:pPr>
        <w:pStyle w:val="92"/>
        <w:jc w:val="both"/>
        <w:rPr>
          <w:sz w:val="15"/>
          <w:szCs w:val="15"/>
        </w:rPr>
      </w:pPr>
    </w:p>
    <w:p>
      <w:pPr>
        <w:pStyle w:val="92"/>
        <w:rPr>
          <w:sz w:val="24"/>
          <w:szCs w:val="24"/>
        </w:rPr>
      </w:pPr>
      <w:r>
        <w:rPr>
          <w:rFonts w:hint="eastAsia"/>
          <w:sz w:val="24"/>
          <w:szCs w:val="24"/>
        </w:rPr>
        <w:t>F表2.5-2 动火作业危险性分析</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751"/>
        <w:gridCol w:w="2076"/>
        <w:gridCol w:w="1806"/>
        <w:gridCol w:w="3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作业</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名称</w:t>
            </w:r>
          </w:p>
        </w:tc>
        <w:tc>
          <w:tcPr>
            <w:tcW w:w="404"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工作</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步骤</w:t>
            </w:r>
          </w:p>
        </w:tc>
        <w:tc>
          <w:tcPr>
            <w:tcW w:w="1117"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危  害  因  素</w:t>
            </w:r>
          </w:p>
        </w:tc>
        <w:tc>
          <w:tcPr>
            <w:tcW w:w="972"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可 能 的 后 果</w:t>
            </w:r>
          </w:p>
        </w:tc>
        <w:tc>
          <w:tcPr>
            <w:tcW w:w="2112"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控  制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动火</w:t>
            </w:r>
          </w:p>
          <w:p>
            <w:pPr>
              <w:adjustRightInd/>
              <w:spacing w:line="240" w:lineRule="auto"/>
              <w:ind w:firstLine="0" w:firstLineChars="0"/>
              <w:rPr>
                <w:color w:val="000000" w:themeColor="text1"/>
                <w:sz w:val="21"/>
                <w:szCs w:val="21"/>
              </w:rPr>
            </w:pPr>
            <w:r>
              <w:rPr>
                <w:rFonts w:hint="eastAsia"/>
                <w:color w:val="000000" w:themeColor="text1"/>
                <w:sz w:val="21"/>
                <w:szCs w:val="21"/>
              </w:rPr>
              <w:t>作业</w:t>
            </w:r>
          </w:p>
        </w:tc>
        <w:tc>
          <w:tcPr>
            <w:tcW w:w="404"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作业前</w:t>
            </w:r>
          </w:p>
        </w:tc>
        <w:tc>
          <w:tcPr>
            <w:tcW w:w="111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不办理动火安全作业证</w:t>
            </w:r>
          </w:p>
        </w:tc>
        <w:tc>
          <w:tcPr>
            <w:tcW w:w="97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违章作业引发事故</w:t>
            </w:r>
          </w:p>
        </w:tc>
        <w:tc>
          <w:tcPr>
            <w:tcW w:w="211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严格办理动火安全作业证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tcPr>
          <w:p>
            <w:pPr>
              <w:adjustRightInd/>
              <w:spacing w:line="240" w:lineRule="auto"/>
              <w:ind w:firstLine="0" w:firstLineChars="0"/>
              <w:rPr>
                <w:color w:val="000000" w:themeColor="text1"/>
                <w:sz w:val="21"/>
                <w:szCs w:val="21"/>
              </w:rPr>
            </w:pPr>
          </w:p>
        </w:tc>
        <w:tc>
          <w:tcPr>
            <w:tcW w:w="111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安全措施不落实</w:t>
            </w:r>
          </w:p>
        </w:tc>
        <w:tc>
          <w:tcPr>
            <w:tcW w:w="97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w:t>
            </w:r>
          </w:p>
        </w:tc>
        <w:tc>
          <w:tcPr>
            <w:tcW w:w="211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动火负责人负责安全措施的落实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tcPr>
          <w:p>
            <w:pPr>
              <w:adjustRightInd/>
              <w:spacing w:line="240" w:lineRule="auto"/>
              <w:ind w:firstLine="0" w:firstLineChars="0"/>
              <w:rPr>
                <w:color w:val="000000" w:themeColor="text1"/>
                <w:sz w:val="21"/>
                <w:szCs w:val="21"/>
              </w:rPr>
            </w:pPr>
          </w:p>
        </w:tc>
        <w:tc>
          <w:tcPr>
            <w:tcW w:w="111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没有安排监护人</w:t>
            </w:r>
          </w:p>
        </w:tc>
        <w:tc>
          <w:tcPr>
            <w:tcW w:w="97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不能及时发现处理作业现场出现的问题</w:t>
            </w:r>
          </w:p>
        </w:tc>
        <w:tc>
          <w:tcPr>
            <w:tcW w:w="211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安排责任心强有经验的人员进行监护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tcPr>
          <w:p>
            <w:pPr>
              <w:adjustRightInd/>
              <w:spacing w:line="240" w:lineRule="auto"/>
              <w:ind w:firstLine="0" w:firstLineChars="0"/>
              <w:rPr>
                <w:color w:val="000000" w:themeColor="text1"/>
                <w:sz w:val="21"/>
                <w:szCs w:val="21"/>
              </w:rPr>
            </w:pPr>
          </w:p>
        </w:tc>
        <w:tc>
          <w:tcPr>
            <w:tcW w:w="111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拆除的设备、管线清洗置换不合格</w:t>
            </w:r>
          </w:p>
        </w:tc>
        <w:tc>
          <w:tcPr>
            <w:tcW w:w="97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火灾、爆炸、人员伤害</w:t>
            </w:r>
          </w:p>
        </w:tc>
        <w:tc>
          <w:tcPr>
            <w:tcW w:w="211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严格按照处理方案进行清洗置换，并分析合格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tcPr>
          <w:p>
            <w:pPr>
              <w:adjustRightInd/>
              <w:spacing w:line="240" w:lineRule="auto"/>
              <w:ind w:firstLine="0" w:firstLineChars="0"/>
              <w:rPr>
                <w:color w:val="000000" w:themeColor="text1"/>
                <w:sz w:val="21"/>
                <w:szCs w:val="21"/>
              </w:rPr>
            </w:pPr>
          </w:p>
        </w:tc>
        <w:tc>
          <w:tcPr>
            <w:tcW w:w="111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拆除的设备、管线不与外界隔绝</w:t>
            </w:r>
          </w:p>
        </w:tc>
        <w:tc>
          <w:tcPr>
            <w:tcW w:w="97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火灾、爆炸、人员伤害</w:t>
            </w:r>
          </w:p>
        </w:tc>
        <w:tc>
          <w:tcPr>
            <w:tcW w:w="211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安排专人进行加盲板或者拆除一段管线进行隔绝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tcPr>
          <w:p>
            <w:pPr>
              <w:adjustRightInd/>
              <w:spacing w:line="240" w:lineRule="auto"/>
              <w:ind w:firstLine="0" w:firstLineChars="0"/>
              <w:rPr>
                <w:color w:val="000000" w:themeColor="text1"/>
                <w:sz w:val="21"/>
                <w:szCs w:val="21"/>
              </w:rPr>
            </w:pPr>
          </w:p>
        </w:tc>
        <w:tc>
          <w:tcPr>
            <w:tcW w:w="111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动火作业周围下水道、井盖没封堵、易燃杂物没清理</w:t>
            </w:r>
          </w:p>
        </w:tc>
        <w:tc>
          <w:tcPr>
            <w:tcW w:w="97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火灾、爆炸、人员伤害</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安排专人进行清理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tcPr>
          <w:p>
            <w:pPr>
              <w:adjustRightInd/>
              <w:spacing w:line="240" w:lineRule="auto"/>
              <w:ind w:firstLine="0" w:firstLineChars="0"/>
              <w:rPr>
                <w:color w:val="000000" w:themeColor="text1"/>
                <w:sz w:val="21"/>
                <w:szCs w:val="21"/>
              </w:rPr>
            </w:pPr>
          </w:p>
        </w:tc>
        <w:tc>
          <w:tcPr>
            <w:tcW w:w="111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监护人不到位</w:t>
            </w:r>
          </w:p>
        </w:tc>
        <w:tc>
          <w:tcPr>
            <w:tcW w:w="97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出现事故不能及时处置，造成事故扩大</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安排责任心强有经验的人员进行监护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tcPr>
          <w:p>
            <w:pPr>
              <w:adjustRightInd/>
              <w:spacing w:line="240" w:lineRule="auto"/>
              <w:ind w:firstLine="0" w:firstLineChars="0"/>
              <w:rPr>
                <w:color w:val="000000" w:themeColor="text1"/>
                <w:sz w:val="21"/>
                <w:szCs w:val="21"/>
              </w:rPr>
            </w:pPr>
          </w:p>
        </w:tc>
        <w:tc>
          <w:tcPr>
            <w:tcW w:w="111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消防器材不到位</w:t>
            </w:r>
          </w:p>
        </w:tc>
        <w:tc>
          <w:tcPr>
            <w:tcW w:w="97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不能及时灭火，造成事故扩大</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作业前仔细检查落实配备到位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tcPr>
          <w:p>
            <w:pPr>
              <w:adjustRightInd/>
              <w:spacing w:line="240" w:lineRule="auto"/>
              <w:ind w:firstLine="0" w:firstLineChars="0"/>
              <w:rPr>
                <w:color w:val="000000" w:themeColor="text1"/>
                <w:sz w:val="21"/>
                <w:szCs w:val="21"/>
              </w:rPr>
            </w:pPr>
          </w:p>
        </w:tc>
        <w:tc>
          <w:tcPr>
            <w:tcW w:w="111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作业证手续不全</w:t>
            </w:r>
          </w:p>
        </w:tc>
        <w:tc>
          <w:tcPr>
            <w:tcW w:w="97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严格按照公司有关管理规定办理作业票证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作业中</w:t>
            </w:r>
          </w:p>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焊接把线、电焊把子漏电</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触电、人员伤害</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使用前认真检测设备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vAlign w:val="center"/>
          </w:tcPr>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不正确接电焊机或不按规定接地线</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触电、人员伤害、财产损失</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由专业人员进行接线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vAlign w:val="center"/>
          </w:tcPr>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焊接时焊烟大、超标</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加强通风、佩戴劳动防护用品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vAlign w:val="center"/>
          </w:tcPr>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焊渣飞溅</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vAlign w:val="center"/>
          </w:tcPr>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焊光强烈</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vAlign w:val="center"/>
          </w:tcPr>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气割时劳保护品穿戴不齐全</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烫伤</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vAlign w:val="center"/>
          </w:tcPr>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焊花飞溅</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烫伤</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vAlign w:val="center"/>
          </w:tcPr>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氧气瓶、乙炔瓶与动火点之间的距离小于10米</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爆炸、火灾、人员伤害</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按要求放置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vAlign w:val="center"/>
          </w:tcPr>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氧气瓶与乙炔瓶之间的距离小于5米</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爆炸、火灾，人员伤害</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按要求放置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vAlign w:val="center"/>
          </w:tcPr>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作业人员不穿戴劳动保护用品</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完工后</w:t>
            </w: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现场没有清理</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及时清理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3" w:type="pct"/>
            <w:vMerge w:val="continue"/>
          </w:tcPr>
          <w:p>
            <w:pPr>
              <w:adjustRightInd/>
              <w:spacing w:line="240" w:lineRule="auto"/>
              <w:ind w:firstLine="0" w:firstLineChars="0"/>
              <w:rPr>
                <w:color w:val="000000" w:themeColor="text1"/>
                <w:sz w:val="21"/>
                <w:szCs w:val="21"/>
              </w:rPr>
            </w:pPr>
          </w:p>
        </w:tc>
        <w:tc>
          <w:tcPr>
            <w:tcW w:w="404" w:type="pct"/>
            <w:vMerge w:val="continue"/>
            <w:vAlign w:val="center"/>
          </w:tcPr>
          <w:p>
            <w:pPr>
              <w:adjustRightInd/>
              <w:spacing w:line="240" w:lineRule="auto"/>
              <w:ind w:firstLine="0" w:firstLineChars="0"/>
              <w:rPr>
                <w:color w:val="000000" w:themeColor="text1"/>
                <w:sz w:val="21"/>
                <w:szCs w:val="21"/>
              </w:rPr>
            </w:pPr>
          </w:p>
        </w:tc>
        <w:tc>
          <w:tcPr>
            <w:tcW w:w="111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余火没有扑灭</w:t>
            </w:r>
          </w:p>
        </w:tc>
        <w:tc>
          <w:tcPr>
            <w:tcW w:w="97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引发事故、人员伤害</w:t>
            </w:r>
          </w:p>
        </w:tc>
        <w:tc>
          <w:tcPr>
            <w:tcW w:w="211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扑灭余火后方可离开现场</w:t>
            </w:r>
          </w:p>
        </w:tc>
      </w:tr>
    </w:tbl>
    <w:p>
      <w:pPr>
        <w:adjustRightInd/>
        <w:ind w:firstLine="562"/>
        <w:jc w:val="center"/>
        <w:rPr>
          <w:rFonts w:ascii="宋体" w:hAnsi="宋体" w:cs="宋体"/>
          <w:b/>
          <w:bCs/>
          <w:color w:val="000000" w:themeColor="text1"/>
        </w:rPr>
      </w:pPr>
    </w:p>
    <w:p>
      <w:pPr>
        <w:pStyle w:val="92"/>
        <w:rPr>
          <w:sz w:val="24"/>
          <w:szCs w:val="24"/>
        </w:rPr>
      </w:pPr>
      <w:r>
        <w:rPr>
          <w:rFonts w:hint="eastAsia"/>
          <w:sz w:val="24"/>
          <w:szCs w:val="24"/>
        </w:rPr>
        <w:t>F表2.5-3 高处作业危险性分析</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779"/>
        <w:gridCol w:w="2076"/>
        <w:gridCol w:w="1820"/>
        <w:gridCol w:w="3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Align w:val="center"/>
          </w:tcPr>
          <w:p>
            <w:pPr>
              <w:adjustRightInd/>
              <w:spacing w:line="240" w:lineRule="auto"/>
              <w:ind w:firstLine="0" w:firstLineChars="0"/>
              <w:rPr>
                <w:b/>
                <w:bCs/>
                <w:color w:val="000000" w:themeColor="text1"/>
                <w:sz w:val="21"/>
                <w:szCs w:val="21"/>
              </w:rPr>
            </w:pPr>
            <w:r>
              <w:rPr>
                <w:rFonts w:hint="eastAsia"/>
                <w:b/>
                <w:bCs/>
                <w:color w:val="000000" w:themeColor="text1"/>
                <w:sz w:val="21"/>
                <w:szCs w:val="21"/>
              </w:rPr>
              <w:t>作业</w:t>
            </w:r>
          </w:p>
          <w:p>
            <w:pPr>
              <w:spacing w:line="240" w:lineRule="auto"/>
              <w:ind w:firstLine="0" w:firstLineChars="0"/>
              <w:jc w:val="center"/>
              <w:rPr>
                <w:b/>
                <w:bCs/>
                <w:color w:val="000000" w:themeColor="text1"/>
                <w:sz w:val="21"/>
                <w:szCs w:val="21"/>
              </w:rPr>
            </w:pPr>
            <w:r>
              <w:rPr>
                <w:rFonts w:hint="eastAsia"/>
                <w:b/>
                <w:bCs/>
                <w:color w:val="000000" w:themeColor="text1"/>
                <w:sz w:val="21"/>
                <w:szCs w:val="21"/>
              </w:rPr>
              <w:t>名称</w:t>
            </w:r>
          </w:p>
        </w:tc>
        <w:tc>
          <w:tcPr>
            <w:tcW w:w="419" w:type="pct"/>
            <w:vAlign w:val="center"/>
          </w:tcPr>
          <w:p>
            <w:pPr>
              <w:spacing w:line="240" w:lineRule="auto"/>
              <w:ind w:firstLine="0" w:firstLineChars="0"/>
              <w:jc w:val="center"/>
              <w:rPr>
                <w:b/>
                <w:bCs/>
                <w:color w:val="000000" w:themeColor="text1"/>
                <w:sz w:val="21"/>
                <w:szCs w:val="21"/>
              </w:rPr>
            </w:pPr>
            <w:r>
              <w:rPr>
                <w:rFonts w:hint="eastAsia"/>
                <w:b/>
                <w:bCs/>
                <w:color w:val="000000" w:themeColor="text1"/>
                <w:sz w:val="21"/>
                <w:szCs w:val="21"/>
              </w:rPr>
              <w:t>工作</w:t>
            </w:r>
          </w:p>
          <w:p>
            <w:pPr>
              <w:spacing w:line="240" w:lineRule="auto"/>
              <w:ind w:firstLine="0" w:firstLineChars="0"/>
              <w:jc w:val="center"/>
              <w:rPr>
                <w:b/>
                <w:bCs/>
                <w:color w:val="000000" w:themeColor="text1"/>
                <w:sz w:val="21"/>
                <w:szCs w:val="21"/>
              </w:rPr>
            </w:pPr>
            <w:r>
              <w:rPr>
                <w:rFonts w:hint="eastAsia"/>
                <w:b/>
                <w:bCs/>
                <w:color w:val="000000" w:themeColor="text1"/>
                <w:sz w:val="21"/>
                <w:szCs w:val="21"/>
              </w:rPr>
              <w:t>步骤</w:t>
            </w:r>
          </w:p>
        </w:tc>
        <w:tc>
          <w:tcPr>
            <w:tcW w:w="1117" w:type="pct"/>
            <w:vAlign w:val="center"/>
          </w:tcPr>
          <w:p>
            <w:pPr>
              <w:spacing w:line="240" w:lineRule="auto"/>
              <w:ind w:firstLine="0" w:firstLineChars="0"/>
              <w:jc w:val="center"/>
              <w:rPr>
                <w:b/>
                <w:bCs/>
                <w:color w:val="000000" w:themeColor="text1"/>
                <w:sz w:val="21"/>
                <w:szCs w:val="21"/>
              </w:rPr>
            </w:pPr>
            <w:r>
              <w:rPr>
                <w:rFonts w:hint="eastAsia"/>
                <w:b/>
                <w:bCs/>
                <w:color w:val="000000" w:themeColor="text1"/>
                <w:sz w:val="21"/>
                <w:szCs w:val="21"/>
              </w:rPr>
              <w:t>危  害  因  素</w:t>
            </w:r>
          </w:p>
        </w:tc>
        <w:tc>
          <w:tcPr>
            <w:tcW w:w="979" w:type="pct"/>
            <w:vAlign w:val="center"/>
          </w:tcPr>
          <w:p>
            <w:pPr>
              <w:spacing w:line="240" w:lineRule="auto"/>
              <w:ind w:firstLine="0" w:firstLineChars="0"/>
              <w:jc w:val="center"/>
              <w:rPr>
                <w:b/>
                <w:bCs/>
                <w:color w:val="000000" w:themeColor="text1"/>
                <w:sz w:val="21"/>
                <w:szCs w:val="21"/>
              </w:rPr>
            </w:pPr>
            <w:r>
              <w:rPr>
                <w:rFonts w:hint="eastAsia"/>
                <w:b/>
                <w:bCs/>
                <w:color w:val="000000" w:themeColor="text1"/>
                <w:sz w:val="21"/>
                <w:szCs w:val="21"/>
              </w:rPr>
              <w:t>可 能 的 后 果</w:t>
            </w:r>
          </w:p>
        </w:tc>
        <w:tc>
          <w:tcPr>
            <w:tcW w:w="2105" w:type="pct"/>
            <w:vAlign w:val="center"/>
          </w:tcPr>
          <w:p>
            <w:pPr>
              <w:spacing w:line="240" w:lineRule="auto"/>
              <w:ind w:firstLine="0" w:firstLineChars="0"/>
              <w:jc w:val="center"/>
              <w:rPr>
                <w:b/>
                <w:bCs/>
                <w:color w:val="000000" w:themeColor="text1"/>
                <w:sz w:val="21"/>
                <w:szCs w:val="21"/>
              </w:rPr>
            </w:pPr>
            <w:r>
              <w:rPr>
                <w:rFonts w:hint="eastAsia"/>
                <w:b/>
                <w:bCs/>
                <w:color w:val="000000" w:themeColor="text1"/>
                <w:sz w:val="21"/>
                <w:szCs w:val="21"/>
              </w:rPr>
              <w:t>控  制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restart"/>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高处</w:t>
            </w:r>
          </w:p>
          <w:p>
            <w:pPr>
              <w:spacing w:line="240" w:lineRule="auto"/>
              <w:ind w:firstLine="0" w:firstLineChars="0"/>
              <w:jc w:val="center"/>
              <w:rPr>
                <w:color w:val="000000" w:themeColor="text1"/>
                <w:sz w:val="21"/>
                <w:szCs w:val="21"/>
              </w:rPr>
            </w:pPr>
            <w:r>
              <w:rPr>
                <w:rFonts w:hint="eastAsia"/>
                <w:color w:val="000000" w:themeColor="text1"/>
                <w:sz w:val="21"/>
                <w:szCs w:val="21"/>
              </w:rPr>
              <w:t>作业</w:t>
            </w:r>
          </w:p>
        </w:tc>
        <w:tc>
          <w:tcPr>
            <w:tcW w:w="419" w:type="pct"/>
            <w:vMerge w:val="restart"/>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作业前</w:t>
            </w:r>
          </w:p>
        </w:tc>
        <w:tc>
          <w:tcPr>
            <w:tcW w:w="1117"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不按规定要求办理高处作业许可证</w:t>
            </w:r>
          </w:p>
        </w:tc>
        <w:tc>
          <w:tcPr>
            <w:tcW w:w="979" w:type="pct"/>
            <w:vAlign w:val="center"/>
          </w:tcPr>
          <w:p>
            <w:pPr>
              <w:spacing w:line="240" w:lineRule="auto"/>
              <w:ind w:firstLine="0" w:firstLineChars="0"/>
              <w:rPr>
                <w:color w:val="000000" w:themeColor="text1"/>
                <w:sz w:val="21"/>
                <w:szCs w:val="21"/>
              </w:rPr>
            </w:pPr>
            <w:r>
              <w:rPr>
                <w:rFonts w:hint="eastAsia"/>
                <w:color w:val="000000" w:themeColor="text1"/>
                <w:sz w:val="21"/>
                <w:szCs w:val="21"/>
              </w:rPr>
              <w:t>违章作业引发事故</w:t>
            </w:r>
          </w:p>
        </w:tc>
        <w:tc>
          <w:tcPr>
            <w:tcW w:w="2105"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严格办理高处作业许可证，严禁违章作业，严格按规定执行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tcPr>
          <w:p>
            <w:pPr>
              <w:spacing w:line="240" w:lineRule="auto"/>
              <w:ind w:firstLine="0" w:firstLineChars="0"/>
              <w:jc w:val="center"/>
              <w:rPr>
                <w:color w:val="000000" w:themeColor="text1"/>
                <w:sz w:val="21"/>
                <w:szCs w:val="21"/>
              </w:rPr>
            </w:pPr>
          </w:p>
        </w:tc>
        <w:tc>
          <w:tcPr>
            <w:tcW w:w="1117"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作业人员安全防护措施不落实</w:t>
            </w:r>
          </w:p>
        </w:tc>
        <w:tc>
          <w:tcPr>
            <w:tcW w:w="979" w:type="pct"/>
            <w:vAlign w:val="center"/>
          </w:tcPr>
          <w:p>
            <w:pPr>
              <w:spacing w:line="240" w:lineRule="auto"/>
              <w:ind w:firstLine="0" w:firstLineChars="0"/>
              <w:rPr>
                <w:color w:val="000000" w:themeColor="text1"/>
                <w:sz w:val="21"/>
                <w:szCs w:val="21"/>
              </w:rPr>
            </w:pPr>
            <w:r>
              <w:rPr>
                <w:rFonts w:hint="eastAsia"/>
                <w:color w:val="000000" w:themeColor="text1"/>
                <w:sz w:val="21"/>
                <w:szCs w:val="21"/>
              </w:rPr>
              <w:t>引发事故，人员伤亡</w:t>
            </w:r>
          </w:p>
        </w:tc>
        <w:tc>
          <w:tcPr>
            <w:tcW w:w="2105" w:type="pct"/>
            <w:vAlign w:val="center"/>
          </w:tcPr>
          <w:p>
            <w:pPr>
              <w:spacing w:line="240" w:lineRule="auto"/>
              <w:ind w:firstLine="0" w:firstLineChars="0"/>
              <w:rPr>
                <w:color w:val="000000" w:themeColor="text1"/>
                <w:sz w:val="21"/>
                <w:szCs w:val="21"/>
              </w:rPr>
            </w:pPr>
            <w:r>
              <w:rPr>
                <w:rFonts w:hint="eastAsia"/>
                <w:color w:val="000000" w:themeColor="text1"/>
                <w:sz w:val="21"/>
                <w:szCs w:val="21"/>
              </w:rPr>
              <w:t>配备安全措施，安全带、安全帽，相关救生设备等，严格检查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tcPr>
          <w:p>
            <w:pPr>
              <w:spacing w:line="240" w:lineRule="auto"/>
              <w:ind w:firstLine="0" w:firstLineChars="0"/>
              <w:jc w:val="center"/>
              <w:rPr>
                <w:color w:val="000000" w:themeColor="text1"/>
                <w:sz w:val="21"/>
                <w:szCs w:val="21"/>
              </w:rPr>
            </w:pPr>
          </w:p>
        </w:tc>
        <w:tc>
          <w:tcPr>
            <w:tcW w:w="1117"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作业人员未进行安全教育，不清楚现场情况</w:t>
            </w:r>
          </w:p>
        </w:tc>
        <w:tc>
          <w:tcPr>
            <w:tcW w:w="979"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不能及时发现处理作业现场出现的问题，人员伤害</w:t>
            </w:r>
          </w:p>
        </w:tc>
        <w:tc>
          <w:tcPr>
            <w:tcW w:w="2105"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作业前进行安全教育，对现场情况进行培训，严格按照规定执行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tcPr>
          <w:p>
            <w:pPr>
              <w:spacing w:line="240" w:lineRule="auto"/>
              <w:ind w:firstLine="0" w:firstLineChars="0"/>
              <w:jc w:val="center"/>
              <w:rPr>
                <w:color w:val="000000" w:themeColor="text1"/>
                <w:sz w:val="21"/>
                <w:szCs w:val="21"/>
              </w:rPr>
            </w:pPr>
          </w:p>
        </w:tc>
        <w:tc>
          <w:tcPr>
            <w:tcW w:w="1117" w:type="pct"/>
            <w:vAlign w:val="center"/>
          </w:tcPr>
          <w:p>
            <w:pPr>
              <w:spacing w:line="240" w:lineRule="auto"/>
              <w:ind w:firstLine="0" w:firstLineChars="0"/>
              <w:rPr>
                <w:color w:val="000000" w:themeColor="text1"/>
                <w:sz w:val="21"/>
                <w:szCs w:val="21"/>
              </w:rPr>
            </w:pPr>
            <w:r>
              <w:rPr>
                <w:rFonts w:hint="eastAsia"/>
                <w:color w:val="000000" w:themeColor="text1"/>
                <w:sz w:val="21"/>
                <w:szCs w:val="21"/>
              </w:rPr>
              <w:t>监护不足，监护人不到位</w:t>
            </w:r>
          </w:p>
        </w:tc>
        <w:tc>
          <w:tcPr>
            <w:tcW w:w="979" w:type="pct"/>
            <w:vAlign w:val="center"/>
          </w:tcPr>
          <w:p>
            <w:pPr>
              <w:spacing w:line="240" w:lineRule="auto"/>
              <w:ind w:firstLine="0" w:firstLineChars="0"/>
              <w:rPr>
                <w:color w:val="000000" w:themeColor="text1"/>
                <w:sz w:val="21"/>
                <w:szCs w:val="21"/>
              </w:rPr>
            </w:pPr>
            <w:r>
              <w:rPr>
                <w:rFonts w:hint="eastAsia"/>
                <w:color w:val="000000" w:themeColor="text1"/>
                <w:sz w:val="21"/>
                <w:szCs w:val="21"/>
              </w:rPr>
              <w:t>出现事故不能及时处置，造成事故扩大，</w:t>
            </w:r>
          </w:p>
        </w:tc>
        <w:tc>
          <w:tcPr>
            <w:tcW w:w="2105"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安排责任心强有经验的人员进行监护，作业前对安全措施进行严格检查。作业过程中不得脱离岗位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tcPr>
          <w:p>
            <w:pPr>
              <w:spacing w:line="240" w:lineRule="auto"/>
              <w:ind w:firstLine="0" w:firstLineChars="0"/>
              <w:jc w:val="center"/>
              <w:rPr>
                <w:color w:val="000000" w:themeColor="text1"/>
                <w:sz w:val="21"/>
                <w:szCs w:val="21"/>
              </w:rPr>
            </w:pPr>
          </w:p>
        </w:tc>
        <w:tc>
          <w:tcPr>
            <w:tcW w:w="1117" w:type="pct"/>
            <w:vAlign w:val="center"/>
          </w:tcPr>
          <w:p>
            <w:pPr>
              <w:spacing w:line="240" w:lineRule="auto"/>
              <w:ind w:firstLine="0" w:firstLineChars="0"/>
              <w:rPr>
                <w:color w:val="000000" w:themeColor="text1"/>
                <w:sz w:val="21"/>
                <w:szCs w:val="21"/>
              </w:rPr>
            </w:pPr>
            <w:r>
              <w:rPr>
                <w:rFonts w:hint="eastAsia"/>
                <w:color w:val="000000" w:themeColor="text1"/>
                <w:sz w:val="21"/>
                <w:szCs w:val="21"/>
              </w:rPr>
              <w:t>脚手架有缺陷或者不牢固</w:t>
            </w:r>
          </w:p>
        </w:tc>
        <w:tc>
          <w:tcPr>
            <w:tcW w:w="979" w:type="pct"/>
            <w:vAlign w:val="center"/>
          </w:tcPr>
          <w:p>
            <w:pPr>
              <w:spacing w:line="240" w:lineRule="auto"/>
              <w:ind w:firstLine="0" w:firstLineChars="0"/>
              <w:rPr>
                <w:color w:val="000000" w:themeColor="text1"/>
                <w:sz w:val="21"/>
                <w:szCs w:val="21"/>
              </w:rPr>
            </w:pPr>
            <w:r>
              <w:rPr>
                <w:rFonts w:hint="eastAsia"/>
                <w:color w:val="000000" w:themeColor="text1"/>
                <w:sz w:val="21"/>
                <w:szCs w:val="21"/>
              </w:rPr>
              <w:t>高处坠落，人员伤害</w:t>
            </w:r>
          </w:p>
        </w:tc>
        <w:tc>
          <w:tcPr>
            <w:tcW w:w="2105"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使用前认真检查，符合要求才能搭建。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restart"/>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作业中</w:t>
            </w:r>
          </w:p>
        </w:tc>
        <w:tc>
          <w:tcPr>
            <w:tcW w:w="1117" w:type="pct"/>
            <w:vAlign w:val="center"/>
          </w:tcPr>
          <w:p>
            <w:pPr>
              <w:spacing w:line="240" w:lineRule="auto"/>
              <w:ind w:firstLine="0" w:firstLineChars="0"/>
              <w:rPr>
                <w:color w:val="000000" w:themeColor="text1"/>
                <w:sz w:val="21"/>
                <w:szCs w:val="21"/>
              </w:rPr>
            </w:pPr>
            <w:r>
              <w:rPr>
                <w:rFonts w:hint="eastAsia"/>
                <w:color w:val="000000" w:themeColor="text1"/>
                <w:sz w:val="21"/>
                <w:szCs w:val="21"/>
              </w:rPr>
              <w:t>不系安全带或安全帽，不按规定穿戴其他要求防护用品</w:t>
            </w:r>
          </w:p>
        </w:tc>
        <w:tc>
          <w:tcPr>
            <w:tcW w:w="979" w:type="pct"/>
            <w:vAlign w:val="center"/>
          </w:tcPr>
          <w:p>
            <w:pPr>
              <w:spacing w:line="240" w:lineRule="auto"/>
              <w:ind w:firstLine="0" w:firstLineChars="0"/>
              <w:rPr>
                <w:color w:val="000000" w:themeColor="text1"/>
                <w:sz w:val="21"/>
                <w:szCs w:val="21"/>
              </w:rPr>
            </w:pPr>
            <w:r>
              <w:rPr>
                <w:rFonts w:hint="eastAsia"/>
                <w:color w:val="000000" w:themeColor="text1"/>
                <w:sz w:val="21"/>
                <w:szCs w:val="21"/>
              </w:rPr>
              <w:t>引发事故，人员伤亡</w:t>
            </w:r>
          </w:p>
        </w:tc>
        <w:tc>
          <w:tcPr>
            <w:tcW w:w="2105"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作业前严格检查，不采取安全措施禁止作业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vAlign w:val="center"/>
          </w:tcPr>
          <w:p>
            <w:pPr>
              <w:spacing w:line="240" w:lineRule="auto"/>
              <w:ind w:firstLine="0" w:firstLineChars="0"/>
              <w:jc w:val="center"/>
              <w:rPr>
                <w:color w:val="000000" w:themeColor="text1"/>
                <w:sz w:val="21"/>
                <w:szCs w:val="21"/>
              </w:rPr>
            </w:pPr>
          </w:p>
        </w:tc>
        <w:tc>
          <w:tcPr>
            <w:tcW w:w="1117"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工作平台或梯子湿滑，下梯子脚下踩空</w:t>
            </w:r>
          </w:p>
        </w:tc>
        <w:tc>
          <w:tcPr>
            <w:tcW w:w="979"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5"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干燥后再作业，由专人监护，佩戴相应防护用品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tcPr>
          <w:p>
            <w:pPr>
              <w:spacing w:line="240" w:lineRule="auto"/>
              <w:ind w:firstLine="0" w:firstLineChars="0"/>
              <w:jc w:val="center"/>
              <w:rPr>
                <w:color w:val="000000" w:themeColor="text1"/>
                <w:sz w:val="21"/>
                <w:szCs w:val="21"/>
              </w:rPr>
            </w:pPr>
          </w:p>
        </w:tc>
        <w:tc>
          <w:tcPr>
            <w:tcW w:w="1117" w:type="pct"/>
            <w:vAlign w:val="center"/>
          </w:tcPr>
          <w:p>
            <w:pPr>
              <w:spacing w:line="240" w:lineRule="auto"/>
              <w:ind w:firstLine="0" w:firstLineChars="0"/>
              <w:rPr>
                <w:color w:val="000000" w:themeColor="text1"/>
                <w:sz w:val="21"/>
                <w:szCs w:val="21"/>
              </w:rPr>
            </w:pPr>
            <w:r>
              <w:rPr>
                <w:rFonts w:hint="eastAsia"/>
                <w:color w:val="000000" w:themeColor="text1"/>
                <w:kern w:val="0"/>
                <w:sz w:val="21"/>
                <w:szCs w:val="21"/>
              </w:rPr>
              <w:t>登高梯子有缺陷或在梯子上作业时下方没人扶</w:t>
            </w:r>
          </w:p>
        </w:tc>
        <w:tc>
          <w:tcPr>
            <w:tcW w:w="979" w:type="pct"/>
            <w:vAlign w:val="center"/>
          </w:tcPr>
          <w:p>
            <w:pPr>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105"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作业前严格检查，由专人监护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vAlign w:val="center"/>
          </w:tcPr>
          <w:p>
            <w:pPr>
              <w:spacing w:line="240" w:lineRule="auto"/>
              <w:ind w:firstLine="0" w:firstLineChars="0"/>
              <w:jc w:val="center"/>
              <w:rPr>
                <w:color w:val="000000" w:themeColor="text1"/>
                <w:sz w:val="21"/>
                <w:szCs w:val="21"/>
              </w:rPr>
            </w:pPr>
          </w:p>
        </w:tc>
        <w:tc>
          <w:tcPr>
            <w:tcW w:w="1117"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高处带电作业，绝缘保护措施不到位</w:t>
            </w:r>
          </w:p>
        </w:tc>
        <w:tc>
          <w:tcPr>
            <w:tcW w:w="979"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105"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必须使用绝缘工具或防护器具，作业前认真检查，严格按规定执行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vAlign w:val="center"/>
          </w:tcPr>
          <w:p>
            <w:pPr>
              <w:spacing w:line="240" w:lineRule="auto"/>
              <w:ind w:firstLine="0" w:firstLineChars="0"/>
              <w:jc w:val="center"/>
              <w:rPr>
                <w:color w:val="000000" w:themeColor="text1"/>
                <w:sz w:val="21"/>
                <w:szCs w:val="21"/>
              </w:rPr>
            </w:pPr>
          </w:p>
        </w:tc>
        <w:tc>
          <w:tcPr>
            <w:tcW w:w="1117"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高处行走或作业中，未按规定将安全带系挂</w:t>
            </w:r>
          </w:p>
        </w:tc>
        <w:tc>
          <w:tcPr>
            <w:tcW w:w="979"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高空坠落人员伤害</w:t>
            </w:r>
          </w:p>
        </w:tc>
        <w:tc>
          <w:tcPr>
            <w:tcW w:w="2105"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作业前培训，严格检查，违反者，按规定进行处理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vAlign w:val="center"/>
          </w:tcPr>
          <w:p>
            <w:pPr>
              <w:spacing w:line="240" w:lineRule="auto"/>
              <w:ind w:firstLine="0" w:firstLineChars="0"/>
              <w:jc w:val="center"/>
              <w:rPr>
                <w:color w:val="000000" w:themeColor="text1"/>
                <w:sz w:val="21"/>
                <w:szCs w:val="21"/>
              </w:rPr>
            </w:pPr>
          </w:p>
        </w:tc>
        <w:tc>
          <w:tcPr>
            <w:tcW w:w="1117"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高处切割或施焊，下方未采取相应措施</w:t>
            </w:r>
          </w:p>
        </w:tc>
        <w:tc>
          <w:tcPr>
            <w:tcW w:w="979"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火花飞溅，人员伤害</w:t>
            </w:r>
          </w:p>
        </w:tc>
        <w:tc>
          <w:tcPr>
            <w:tcW w:w="2105"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下方铺设保护层，配备消防器材，专人监护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vAlign w:val="center"/>
          </w:tcPr>
          <w:p>
            <w:pPr>
              <w:spacing w:line="240" w:lineRule="auto"/>
              <w:ind w:firstLine="0" w:firstLineChars="0"/>
              <w:jc w:val="center"/>
              <w:rPr>
                <w:color w:val="000000" w:themeColor="text1"/>
                <w:sz w:val="21"/>
                <w:szCs w:val="21"/>
              </w:rPr>
            </w:pPr>
          </w:p>
        </w:tc>
        <w:tc>
          <w:tcPr>
            <w:tcW w:w="1117"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易滑动、滚动的工具、材料堆放位置不正确</w:t>
            </w:r>
          </w:p>
        </w:tc>
        <w:tc>
          <w:tcPr>
            <w:tcW w:w="979"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5"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平稳堆放，工具使用时要系安全绳，不用时放入工具袋，采取防坠措施。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vAlign w:val="center"/>
          </w:tcPr>
          <w:p>
            <w:pPr>
              <w:spacing w:line="240" w:lineRule="auto"/>
              <w:ind w:firstLine="0" w:firstLineChars="0"/>
              <w:jc w:val="center"/>
              <w:rPr>
                <w:color w:val="000000" w:themeColor="text1"/>
                <w:sz w:val="21"/>
                <w:szCs w:val="21"/>
              </w:rPr>
            </w:pPr>
          </w:p>
        </w:tc>
        <w:tc>
          <w:tcPr>
            <w:tcW w:w="1117"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在不坚固的结构上作业未铺设脚手板</w:t>
            </w:r>
          </w:p>
        </w:tc>
        <w:tc>
          <w:tcPr>
            <w:tcW w:w="979"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5"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必须铺设牢固的脚手板，要有防滑措施。安全教育培训，专人监护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vAlign w:val="center"/>
          </w:tcPr>
          <w:p>
            <w:pPr>
              <w:spacing w:line="240" w:lineRule="auto"/>
              <w:ind w:firstLine="0" w:firstLineChars="0"/>
              <w:jc w:val="center"/>
              <w:rPr>
                <w:color w:val="000000" w:themeColor="text1"/>
                <w:sz w:val="21"/>
                <w:szCs w:val="21"/>
              </w:rPr>
            </w:pPr>
          </w:p>
        </w:tc>
        <w:tc>
          <w:tcPr>
            <w:tcW w:w="1117"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上下时手中持物，上下抛掷工具等物品</w:t>
            </w:r>
          </w:p>
        </w:tc>
        <w:tc>
          <w:tcPr>
            <w:tcW w:w="979"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5"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上下时集中精神，作业前安全教育培训，由专人监护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vAlign w:val="center"/>
          </w:tcPr>
          <w:p>
            <w:pPr>
              <w:spacing w:line="240" w:lineRule="auto"/>
              <w:ind w:firstLine="0" w:firstLineChars="0"/>
              <w:jc w:val="center"/>
              <w:rPr>
                <w:color w:val="000000" w:themeColor="text1"/>
                <w:sz w:val="21"/>
                <w:szCs w:val="21"/>
              </w:rPr>
            </w:pPr>
          </w:p>
        </w:tc>
        <w:tc>
          <w:tcPr>
            <w:tcW w:w="1117"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出现危险品泄漏或其他异常情况</w:t>
            </w:r>
          </w:p>
        </w:tc>
        <w:tc>
          <w:tcPr>
            <w:tcW w:w="979"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105" w:type="pct"/>
            <w:vAlign w:val="center"/>
          </w:tcPr>
          <w:p>
            <w:pPr>
              <w:widowControl/>
              <w:spacing w:line="240" w:lineRule="auto"/>
              <w:ind w:firstLine="0" w:firstLineChars="0"/>
              <w:rPr>
                <w:color w:val="000000" w:themeColor="text1"/>
                <w:kern w:val="0"/>
                <w:sz w:val="21"/>
                <w:szCs w:val="21"/>
              </w:rPr>
            </w:pPr>
            <w:r>
              <w:rPr>
                <w:rFonts w:hint="eastAsia"/>
                <w:color w:val="000000" w:themeColor="text1"/>
                <w:kern w:val="0"/>
                <w:sz w:val="21"/>
                <w:szCs w:val="21"/>
              </w:rPr>
              <w:t>停止作业，撤离人员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restart"/>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完工后</w:t>
            </w:r>
          </w:p>
        </w:tc>
        <w:tc>
          <w:tcPr>
            <w:tcW w:w="1117"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现场没有清理</w:t>
            </w:r>
          </w:p>
        </w:tc>
        <w:tc>
          <w:tcPr>
            <w:tcW w:w="979"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5"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及时清理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77" w:type="pct"/>
            <w:vMerge w:val="continue"/>
          </w:tcPr>
          <w:p>
            <w:pPr>
              <w:spacing w:line="240" w:lineRule="auto"/>
              <w:ind w:firstLine="0" w:firstLineChars="0"/>
              <w:rPr>
                <w:color w:val="000000" w:themeColor="text1"/>
                <w:sz w:val="21"/>
                <w:szCs w:val="21"/>
              </w:rPr>
            </w:pPr>
          </w:p>
        </w:tc>
        <w:tc>
          <w:tcPr>
            <w:tcW w:w="419" w:type="pct"/>
            <w:vMerge w:val="continue"/>
            <w:vAlign w:val="center"/>
          </w:tcPr>
          <w:p>
            <w:pPr>
              <w:spacing w:line="240" w:lineRule="auto"/>
              <w:ind w:firstLine="0" w:firstLineChars="0"/>
              <w:jc w:val="center"/>
              <w:rPr>
                <w:color w:val="000000" w:themeColor="text1"/>
                <w:sz w:val="21"/>
                <w:szCs w:val="21"/>
              </w:rPr>
            </w:pPr>
          </w:p>
        </w:tc>
        <w:tc>
          <w:tcPr>
            <w:tcW w:w="1117"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上下时未沿安全通道，随意攀登</w:t>
            </w:r>
          </w:p>
        </w:tc>
        <w:tc>
          <w:tcPr>
            <w:tcW w:w="979" w:type="pct"/>
            <w:vAlign w:val="center"/>
          </w:tcPr>
          <w:p>
            <w:pPr>
              <w:widowControl/>
              <w:spacing w:line="240" w:lineRule="auto"/>
              <w:ind w:firstLine="0" w:firstLineChars="0"/>
              <w:rPr>
                <w:color w:val="000000" w:themeColor="text1"/>
                <w:sz w:val="21"/>
                <w:szCs w:val="21"/>
              </w:rPr>
            </w:pPr>
            <w:r>
              <w:rPr>
                <w:rFonts w:hint="eastAsia"/>
                <w:color w:val="000000" w:themeColor="text1"/>
                <w:kern w:val="0"/>
                <w:sz w:val="21"/>
                <w:szCs w:val="21"/>
              </w:rPr>
              <w:t>引发事故、人员伤害</w:t>
            </w:r>
          </w:p>
        </w:tc>
        <w:tc>
          <w:tcPr>
            <w:tcW w:w="2105" w:type="pct"/>
            <w:vAlign w:val="center"/>
          </w:tcPr>
          <w:p>
            <w:pPr>
              <w:widowControl/>
              <w:spacing w:line="240" w:lineRule="auto"/>
              <w:ind w:firstLine="0" w:firstLineChars="0"/>
              <w:rPr>
                <w:color w:val="000000" w:themeColor="text1"/>
                <w:sz w:val="21"/>
                <w:szCs w:val="21"/>
              </w:rPr>
            </w:pPr>
            <w:r>
              <w:rPr>
                <w:rFonts w:hint="eastAsia"/>
                <w:color w:val="000000" w:themeColor="text1"/>
                <w:sz w:val="21"/>
                <w:szCs w:val="21"/>
              </w:rPr>
              <w:t>沿着安全通道或安全护栏的直梯上下，作业前安全教育，专人看护</w:t>
            </w:r>
          </w:p>
        </w:tc>
      </w:tr>
    </w:tbl>
    <w:p>
      <w:pPr>
        <w:pStyle w:val="92"/>
      </w:pPr>
    </w:p>
    <w:p>
      <w:pPr>
        <w:pStyle w:val="92"/>
        <w:rPr>
          <w:sz w:val="24"/>
          <w:szCs w:val="24"/>
        </w:rPr>
      </w:pPr>
      <w:r>
        <w:rPr>
          <w:rFonts w:hint="eastAsia"/>
          <w:sz w:val="24"/>
          <w:szCs w:val="24"/>
        </w:rPr>
        <w:t>F表2.5-4 进入受限空间作业危险性分析</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641"/>
        <w:gridCol w:w="2227"/>
        <w:gridCol w:w="1818"/>
        <w:gridCol w:w="3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作业名称</w:t>
            </w:r>
          </w:p>
        </w:tc>
        <w:tc>
          <w:tcPr>
            <w:tcW w:w="345"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工作</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步骤</w:t>
            </w:r>
          </w:p>
        </w:tc>
        <w:tc>
          <w:tcPr>
            <w:tcW w:w="1198"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危  害  因  素</w:t>
            </w:r>
          </w:p>
        </w:tc>
        <w:tc>
          <w:tcPr>
            <w:tcW w:w="978"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可  能  的  后  果</w:t>
            </w:r>
          </w:p>
        </w:tc>
        <w:tc>
          <w:tcPr>
            <w:tcW w:w="2106"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控  制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进入受限空间作业</w:t>
            </w:r>
          </w:p>
        </w:tc>
        <w:tc>
          <w:tcPr>
            <w:tcW w:w="345"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作业前</w:t>
            </w:r>
          </w:p>
        </w:tc>
        <w:tc>
          <w:tcPr>
            <w:tcW w:w="119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不按规定要求办理受限空间作业许可证和临时用电许可证，乱接电源、私自作业。</w:t>
            </w:r>
          </w:p>
        </w:tc>
        <w:tc>
          <w:tcPr>
            <w:tcW w:w="97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违章作业引发事故</w:t>
            </w:r>
          </w:p>
        </w:tc>
        <w:tc>
          <w:tcPr>
            <w:tcW w:w="210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严格办理进入受限空间安全作业证及临时用电许可证，严禁违章作业，严格按规定执行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tcPr>
          <w:p>
            <w:pPr>
              <w:adjustRightInd/>
              <w:spacing w:line="240" w:lineRule="auto"/>
              <w:ind w:firstLine="0" w:firstLineChars="0"/>
              <w:rPr>
                <w:color w:val="000000" w:themeColor="text1"/>
                <w:sz w:val="21"/>
                <w:szCs w:val="21"/>
              </w:rPr>
            </w:pPr>
          </w:p>
        </w:tc>
        <w:tc>
          <w:tcPr>
            <w:tcW w:w="119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作业人员安全防护措施不落实</w:t>
            </w:r>
          </w:p>
        </w:tc>
        <w:tc>
          <w:tcPr>
            <w:tcW w:w="97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w:t>
            </w:r>
          </w:p>
        </w:tc>
        <w:tc>
          <w:tcPr>
            <w:tcW w:w="210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负责人负责安全措施的落实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tcPr>
          <w:p>
            <w:pPr>
              <w:adjustRightInd/>
              <w:spacing w:line="240" w:lineRule="auto"/>
              <w:ind w:firstLine="0" w:firstLineChars="0"/>
              <w:rPr>
                <w:color w:val="000000" w:themeColor="text1"/>
                <w:sz w:val="21"/>
                <w:szCs w:val="21"/>
              </w:rPr>
            </w:pPr>
          </w:p>
        </w:tc>
        <w:tc>
          <w:tcPr>
            <w:tcW w:w="119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作业人员未进行安全教育</w:t>
            </w:r>
          </w:p>
        </w:tc>
        <w:tc>
          <w:tcPr>
            <w:tcW w:w="97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不能及时发现处理作业现场出现的问题</w:t>
            </w:r>
          </w:p>
        </w:tc>
        <w:tc>
          <w:tcPr>
            <w:tcW w:w="210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作业前进行安全教育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tcPr>
          <w:p>
            <w:pPr>
              <w:adjustRightInd/>
              <w:spacing w:line="240" w:lineRule="auto"/>
              <w:ind w:firstLine="0" w:firstLineChars="0"/>
              <w:rPr>
                <w:color w:val="000000" w:themeColor="text1"/>
                <w:sz w:val="21"/>
                <w:szCs w:val="21"/>
              </w:rPr>
            </w:pPr>
          </w:p>
        </w:tc>
        <w:tc>
          <w:tcPr>
            <w:tcW w:w="119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检修的设备清洗置换不合格，氧气不足</w:t>
            </w:r>
          </w:p>
        </w:tc>
        <w:tc>
          <w:tcPr>
            <w:tcW w:w="97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火灾、爆炸、人员伤害</w:t>
            </w:r>
          </w:p>
        </w:tc>
        <w:tc>
          <w:tcPr>
            <w:tcW w:w="210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严格按照处理方案进行清洗置换，并分析合格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tcPr>
          <w:p>
            <w:pPr>
              <w:adjustRightInd/>
              <w:spacing w:line="240" w:lineRule="auto"/>
              <w:ind w:firstLine="0" w:firstLineChars="0"/>
              <w:rPr>
                <w:color w:val="000000" w:themeColor="text1"/>
                <w:sz w:val="21"/>
                <w:szCs w:val="21"/>
              </w:rPr>
            </w:pPr>
          </w:p>
        </w:tc>
        <w:tc>
          <w:tcPr>
            <w:tcW w:w="119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检修的设备不与外界隔绝</w:t>
            </w:r>
          </w:p>
        </w:tc>
        <w:tc>
          <w:tcPr>
            <w:tcW w:w="97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火灾、爆炸、人员伤害</w:t>
            </w:r>
          </w:p>
        </w:tc>
        <w:tc>
          <w:tcPr>
            <w:tcW w:w="2106"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安排专人进行加盲板或者拆除一段管线进行隔绝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tcPr>
          <w:p>
            <w:pPr>
              <w:adjustRightInd/>
              <w:spacing w:line="240" w:lineRule="auto"/>
              <w:ind w:firstLine="0" w:firstLineChars="0"/>
              <w:rPr>
                <w:color w:val="000000" w:themeColor="text1"/>
                <w:sz w:val="21"/>
                <w:szCs w:val="21"/>
              </w:rPr>
            </w:pPr>
          </w:p>
        </w:tc>
        <w:tc>
          <w:tcPr>
            <w:tcW w:w="119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监护不足，监护人不到位</w:t>
            </w:r>
          </w:p>
        </w:tc>
        <w:tc>
          <w:tcPr>
            <w:tcW w:w="97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出现事故不能及时处置，造成事故扩大</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安排责任心强有经验的人员进行监护。进入设备前，监护人应会同作业人员检查安全措施，随时与设备内取得联系，不得脱离岗位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tcPr>
          <w:p>
            <w:pPr>
              <w:adjustRightInd/>
              <w:spacing w:line="240" w:lineRule="auto"/>
              <w:ind w:firstLine="0" w:firstLineChars="0"/>
              <w:rPr>
                <w:color w:val="000000" w:themeColor="text1"/>
                <w:sz w:val="21"/>
                <w:szCs w:val="21"/>
              </w:rPr>
            </w:pPr>
          </w:p>
        </w:tc>
        <w:tc>
          <w:tcPr>
            <w:tcW w:w="119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消防器材不足及应急措施不当</w:t>
            </w:r>
          </w:p>
        </w:tc>
        <w:tc>
          <w:tcPr>
            <w:tcW w:w="97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不能及时灭火，造成事故扩大。人员伤害</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作业前仔细检查落实配备到位，设备外备有空气呼吸器、消防器材和清水等相应急救用品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tcPr>
          <w:p>
            <w:pPr>
              <w:adjustRightInd/>
              <w:spacing w:line="240" w:lineRule="auto"/>
              <w:ind w:firstLine="0" w:firstLineChars="0"/>
              <w:rPr>
                <w:color w:val="000000" w:themeColor="text1"/>
                <w:sz w:val="21"/>
                <w:szCs w:val="21"/>
              </w:rPr>
            </w:pPr>
          </w:p>
        </w:tc>
        <w:tc>
          <w:tcPr>
            <w:tcW w:w="119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通风不良</w:t>
            </w:r>
          </w:p>
        </w:tc>
        <w:tc>
          <w:tcPr>
            <w:tcW w:w="97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引发事故</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自然通风或强制通风，或者佩戴空气呼吸器等相应措施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tcPr>
          <w:p>
            <w:pPr>
              <w:adjustRightInd/>
              <w:spacing w:line="240" w:lineRule="auto"/>
              <w:ind w:firstLine="0" w:firstLineChars="0"/>
              <w:rPr>
                <w:color w:val="000000" w:themeColor="text1"/>
                <w:sz w:val="21"/>
                <w:szCs w:val="21"/>
              </w:rPr>
            </w:pPr>
          </w:p>
        </w:tc>
        <w:tc>
          <w:tcPr>
            <w:tcW w:w="119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照明设备触电危害</w:t>
            </w:r>
          </w:p>
        </w:tc>
        <w:tc>
          <w:tcPr>
            <w:tcW w:w="978"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106"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设备内照明电压应小于36V，在潮湿容器、狭小容器内作业小于等于12V。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作业中</w:t>
            </w:r>
          </w:p>
          <w:p>
            <w:pPr>
              <w:adjustRightInd/>
              <w:spacing w:line="240" w:lineRule="auto"/>
              <w:ind w:firstLine="0" w:firstLineChars="0"/>
              <w:rPr>
                <w:color w:val="000000" w:themeColor="text1"/>
                <w:sz w:val="21"/>
                <w:szCs w:val="21"/>
              </w:rPr>
            </w:pPr>
          </w:p>
        </w:tc>
        <w:tc>
          <w:tcPr>
            <w:tcW w:w="119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在设备内切割作业后切割物件落下，温度高</w:t>
            </w:r>
          </w:p>
        </w:tc>
        <w:tc>
          <w:tcPr>
            <w:tcW w:w="97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切割作业时，要做好安全防护措施，由专人看护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vAlign w:val="center"/>
          </w:tcPr>
          <w:p>
            <w:pPr>
              <w:adjustRightInd/>
              <w:spacing w:line="240" w:lineRule="auto"/>
              <w:ind w:firstLine="0" w:firstLineChars="0"/>
              <w:rPr>
                <w:color w:val="000000" w:themeColor="text1"/>
                <w:sz w:val="21"/>
                <w:szCs w:val="21"/>
              </w:rPr>
            </w:pPr>
          </w:p>
        </w:tc>
        <w:tc>
          <w:tcPr>
            <w:tcW w:w="1198"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未定时检测</w:t>
            </w:r>
          </w:p>
        </w:tc>
        <w:tc>
          <w:tcPr>
            <w:tcW w:w="978"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人员伤害</w:t>
            </w:r>
          </w:p>
        </w:tc>
        <w:tc>
          <w:tcPr>
            <w:tcW w:w="2106"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作业中加强定点监测，情况异常立即停止作业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vAlign w:val="center"/>
          </w:tcPr>
          <w:p>
            <w:pPr>
              <w:adjustRightInd/>
              <w:spacing w:line="240" w:lineRule="auto"/>
              <w:ind w:firstLine="0" w:firstLineChars="0"/>
              <w:rPr>
                <w:color w:val="000000" w:themeColor="text1"/>
                <w:sz w:val="21"/>
                <w:szCs w:val="21"/>
              </w:rPr>
            </w:pPr>
          </w:p>
        </w:tc>
        <w:tc>
          <w:tcPr>
            <w:tcW w:w="119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设备内高处作业不系安全带</w:t>
            </w:r>
          </w:p>
        </w:tc>
        <w:tc>
          <w:tcPr>
            <w:tcW w:w="97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高空坠落人员伤害</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严格检查，违反者，按规定进行处理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vAlign w:val="center"/>
          </w:tcPr>
          <w:p>
            <w:pPr>
              <w:adjustRightInd/>
              <w:spacing w:line="240" w:lineRule="auto"/>
              <w:ind w:firstLine="0" w:firstLineChars="0"/>
              <w:rPr>
                <w:color w:val="000000" w:themeColor="text1"/>
                <w:sz w:val="21"/>
                <w:szCs w:val="21"/>
              </w:rPr>
            </w:pPr>
          </w:p>
        </w:tc>
        <w:tc>
          <w:tcPr>
            <w:tcW w:w="119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设备内焊接作业，烟雾大</w:t>
            </w:r>
          </w:p>
        </w:tc>
        <w:tc>
          <w:tcPr>
            <w:tcW w:w="97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加强通风、佩戴劳动防护用品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vAlign w:val="center"/>
          </w:tcPr>
          <w:p>
            <w:pPr>
              <w:adjustRightInd/>
              <w:spacing w:line="240" w:lineRule="auto"/>
              <w:ind w:firstLine="0" w:firstLineChars="0"/>
              <w:rPr>
                <w:color w:val="000000" w:themeColor="text1"/>
                <w:sz w:val="21"/>
                <w:szCs w:val="21"/>
              </w:rPr>
            </w:pPr>
          </w:p>
        </w:tc>
        <w:tc>
          <w:tcPr>
            <w:tcW w:w="119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设备内作业，扳手等工具放置不稳或者把持不牢，造成脱落</w:t>
            </w:r>
          </w:p>
        </w:tc>
        <w:tc>
          <w:tcPr>
            <w:tcW w:w="97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工具放置平稳。佩戴劳动防护用品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vAlign w:val="center"/>
          </w:tcPr>
          <w:p>
            <w:pPr>
              <w:adjustRightInd/>
              <w:spacing w:line="240" w:lineRule="auto"/>
              <w:ind w:firstLine="0" w:firstLineChars="0"/>
              <w:rPr>
                <w:color w:val="000000" w:themeColor="text1"/>
                <w:sz w:val="21"/>
                <w:szCs w:val="21"/>
              </w:rPr>
            </w:pPr>
          </w:p>
        </w:tc>
        <w:tc>
          <w:tcPr>
            <w:tcW w:w="119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设备内施工粉尘多</w:t>
            </w:r>
          </w:p>
        </w:tc>
        <w:tc>
          <w:tcPr>
            <w:tcW w:w="97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vAlign w:val="center"/>
          </w:tcPr>
          <w:p>
            <w:pPr>
              <w:adjustRightInd/>
              <w:spacing w:line="240" w:lineRule="auto"/>
              <w:ind w:firstLine="0" w:firstLineChars="0"/>
              <w:rPr>
                <w:color w:val="000000" w:themeColor="text1"/>
                <w:sz w:val="21"/>
                <w:szCs w:val="21"/>
              </w:rPr>
            </w:pPr>
          </w:p>
        </w:tc>
        <w:tc>
          <w:tcPr>
            <w:tcW w:w="119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拆除设备人孔螺栓等配件，不按规定放置，导致高空坠落</w:t>
            </w:r>
          </w:p>
        </w:tc>
        <w:tc>
          <w:tcPr>
            <w:tcW w:w="97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集中放置指定地点，由专人看护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vAlign w:val="center"/>
          </w:tcPr>
          <w:p>
            <w:pPr>
              <w:adjustRightInd/>
              <w:spacing w:line="240" w:lineRule="auto"/>
              <w:ind w:firstLine="0" w:firstLineChars="0"/>
              <w:rPr>
                <w:color w:val="000000" w:themeColor="text1"/>
                <w:sz w:val="21"/>
                <w:szCs w:val="21"/>
              </w:rPr>
            </w:pPr>
          </w:p>
        </w:tc>
        <w:tc>
          <w:tcPr>
            <w:tcW w:w="119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作业工程中出现危险品泄漏、或人员不适</w:t>
            </w:r>
          </w:p>
        </w:tc>
        <w:tc>
          <w:tcPr>
            <w:tcW w:w="97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停止作业，撤离人员佩戴劳动防护用品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restar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完工后</w:t>
            </w:r>
          </w:p>
        </w:tc>
        <w:tc>
          <w:tcPr>
            <w:tcW w:w="119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现场没有清理</w:t>
            </w:r>
          </w:p>
        </w:tc>
        <w:tc>
          <w:tcPr>
            <w:tcW w:w="97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人员伤害</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及时清理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0" w:type="pct"/>
            <w:vMerge w:val="continue"/>
          </w:tcPr>
          <w:p>
            <w:pPr>
              <w:adjustRightInd/>
              <w:spacing w:line="240" w:lineRule="auto"/>
              <w:ind w:firstLine="0" w:firstLineChars="0"/>
              <w:rPr>
                <w:color w:val="000000" w:themeColor="text1"/>
                <w:sz w:val="21"/>
                <w:szCs w:val="21"/>
              </w:rPr>
            </w:pPr>
          </w:p>
        </w:tc>
        <w:tc>
          <w:tcPr>
            <w:tcW w:w="345" w:type="pct"/>
            <w:vMerge w:val="continue"/>
            <w:vAlign w:val="center"/>
          </w:tcPr>
          <w:p>
            <w:pPr>
              <w:adjustRightInd/>
              <w:spacing w:line="240" w:lineRule="auto"/>
              <w:ind w:firstLine="0" w:firstLineChars="0"/>
              <w:rPr>
                <w:color w:val="000000" w:themeColor="text1"/>
                <w:sz w:val="21"/>
                <w:szCs w:val="21"/>
              </w:rPr>
            </w:pPr>
          </w:p>
        </w:tc>
        <w:tc>
          <w:tcPr>
            <w:tcW w:w="119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设备内遗留异物</w:t>
            </w:r>
          </w:p>
        </w:tc>
        <w:tc>
          <w:tcPr>
            <w:tcW w:w="978"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引发事故、人员伤害</w:t>
            </w:r>
          </w:p>
        </w:tc>
        <w:tc>
          <w:tcPr>
            <w:tcW w:w="2106"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设备内作业结束后，认真检查设备内外，不得遗留工具等</w:t>
            </w:r>
          </w:p>
        </w:tc>
      </w:tr>
    </w:tbl>
    <w:p>
      <w:pPr>
        <w:pStyle w:val="92"/>
      </w:pPr>
    </w:p>
    <w:p>
      <w:pPr>
        <w:pStyle w:val="92"/>
        <w:rPr>
          <w:sz w:val="24"/>
          <w:szCs w:val="24"/>
        </w:rPr>
      </w:pPr>
      <w:r>
        <w:rPr>
          <w:rFonts w:hint="eastAsia"/>
          <w:sz w:val="24"/>
          <w:szCs w:val="24"/>
        </w:rPr>
        <w:t>F表2.5-5 临时用电作业危险性分析</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799"/>
        <w:gridCol w:w="2531"/>
        <w:gridCol w:w="1095"/>
        <w:gridCol w:w="4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作业名称</w:t>
            </w:r>
          </w:p>
        </w:tc>
        <w:tc>
          <w:tcPr>
            <w:tcW w:w="430"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工作</w:t>
            </w:r>
          </w:p>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步骤</w:t>
            </w:r>
          </w:p>
        </w:tc>
        <w:tc>
          <w:tcPr>
            <w:tcW w:w="1362"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危  害  因  素</w:t>
            </w:r>
          </w:p>
        </w:tc>
        <w:tc>
          <w:tcPr>
            <w:tcW w:w="589"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可能的后果</w:t>
            </w:r>
          </w:p>
        </w:tc>
        <w:tc>
          <w:tcPr>
            <w:tcW w:w="2257" w:type="pct"/>
            <w:vAlign w:val="center"/>
          </w:tcPr>
          <w:p>
            <w:pPr>
              <w:adjustRightInd/>
              <w:spacing w:line="240" w:lineRule="auto"/>
              <w:ind w:firstLine="0" w:firstLineChars="0"/>
              <w:jc w:val="center"/>
              <w:rPr>
                <w:b/>
                <w:bCs/>
                <w:color w:val="000000" w:themeColor="text1"/>
                <w:sz w:val="21"/>
                <w:szCs w:val="21"/>
              </w:rPr>
            </w:pPr>
            <w:r>
              <w:rPr>
                <w:rFonts w:hint="eastAsia"/>
                <w:b/>
                <w:bCs/>
                <w:color w:val="000000" w:themeColor="text1"/>
                <w:sz w:val="21"/>
                <w:szCs w:val="21"/>
              </w:rPr>
              <w:t>控  制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60" w:type="pct"/>
            <w:vMerge w:val="restart"/>
            <w:vAlign w:val="center"/>
          </w:tcPr>
          <w:p>
            <w:pPr>
              <w:adjustRightInd/>
              <w:spacing w:line="240" w:lineRule="auto"/>
              <w:ind w:firstLine="0" w:firstLineChars="0"/>
              <w:jc w:val="center"/>
              <w:rPr>
                <w:color w:val="000000" w:themeColor="text1"/>
                <w:sz w:val="21"/>
                <w:szCs w:val="21"/>
              </w:rPr>
            </w:pPr>
            <w:r>
              <w:rPr>
                <w:rFonts w:hint="eastAsia"/>
                <w:color w:val="000000" w:themeColor="text1"/>
                <w:sz w:val="21"/>
                <w:szCs w:val="21"/>
              </w:rPr>
              <w:t>临时用电作业</w:t>
            </w:r>
          </w:p>
        </w:tc>
        <w:tc>
          <w:tcPr>
            <w:tcW w:w="430" w:type="pct"/>
            <w:vMerge w:val="restart"/>
            <w:vAlign w:val="center"/>
          </w:tcPr>
          <w:p>
            <w:pPr>
              <w:adjustRightInd/>
              <w:spacing w:line="240" w:lineRule="auto"/>
              <w:ind w:firstLine="0" w:firstLineChars="0"/>
              <w:jc w:val="center"/>
              <w:rPr>
                <w:color w:val="000000" w:themeColor="text1"/>
                <w:sz w:val="21"/>
                <w:szCs w:val="21"/>
              </w:rPr>
            </w:pPr>
            <w:r>
              <w:rPr>
                <w:rFonts w:hint="eastAsia"/>
                <w:color w:val="000000" w:themeColor="text1"/>
                <w:sz w:val="21"/>
                <w:szCs w:val="21"/>
              </w:rPr>
              <w:t>作业前</w:t>
            </w:r>
          </w:p>
        </w:tc>
        <w:tc>
          <w:tcPr>
            <w:tcW w:w="136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不按规定要求办理用电许可证，乱接电源</w:t>
            </w:r>
          </w:p>
        </w:tc>
        <w:tc>
          <w:tcPr>
            <w:tcW w:w="58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shd w:val="clear" w:color="auto" w:fill="FFFFFF"/>
              <w:adjustRightInd/>
              <w:spacing w:line="240" w:lineRule="auto"/>
              <w:ind w:firstLine="0" w:firstLineChars="0"/>
              <w:rPr>
                <w:color w:val="000000" w:themeColor="text1"/>
                <w:sz w:val="21"/>
                <w:szCs w:val="21"/>
              </w:rPr>
            </w:pPr>
            <w:r>
              <w:rPr>
                <w:rFonts w:hint="eastAsia"/>
                <w:bCs/>
                <w:color w:val="000000" w:themeColor="text1"/>
                <w:sz w:val="21"/>
                <w:szCs w:val="21"/>
              </w:rPr>
              <w:t>严格按</w:t>
            </w:r>
            <w:r>
              <w:rPr>
                <w:rFonts w:hint="eastAsia"/>
                <w:color w:val="000000" w:themeColor="text1"/>
                <w:sz w:val="21"/>
                <w:szCs w:val="21"/>
              </w:rPr>
              <w:t>要求办理临时用电许可证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tcPr>
          <w:p>
            <w:pPr>
              <w:adjustRightInd/>
              <w:spacing w:line="240" w:lineRule="auto"/>
              <w:ind w:firstLine="0" w:firstLineChars="0"/>
              <w:jc w:val="center"/>
              <w:rPr>
                <w:color w:val="000000" w:themeColor="text1"/>
                <w:sz w:val="21"/>
                <w:szCs w:val="21"/>
              </w:rPr>
            </w:pPr>
          </w:p>
        </w:tc>
        <w:tc>
          <w:tcPr>
            <w:tcW w:w="136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电工不掌握使用设备的性能或缺乏相应专业知识</w:t>
            </w:r>
          </w:p>
        </w:tc>
        <w:tc>
          <w:tcPr>
            <w:tcW w:w="58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配备专业电工进行作业，严格执行《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restart"/>
            <w:vAlign w:val="center"/>
          </w:tcPr>
          <w:p>
            <w:pPr>
              <w:adjustRightInd/>
              <w:spacing w:line="240" w:lineRule="auto"/>
              <w:ind w:firstLine="0" w:firstLineChars="0"/>
              <w:jc w:val="center"/>
              <w:rPr>
                <w:color w:val="000000" w:themeColor="text1"/>
                <w:sz w:val="21"/>
                <w:szCs w:val="21"/>
              </w:rPr>
            </w:pPr>
            <w:r>
              <w:rPr>
                <w:rFonts w:hint="eastAsia"/>
                <w:color w:val="000000" w:themeColor="text1"/>
                <w:sz w:val="21"/>
                <w:szCs w:val="21"/>
              </w:rPr>
              <w:t>作业中</w:t>
            </w:r>
          </w:p>
        </w:tc>
        <w:tc>
          <w:tcPr>
            <w:tcW w:w="136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电源线路、绝缘不符合要求，有断裂破损情况</w:t>
            </w:r>
          </w:p>
        </w:tc>
        <w:tc>
          <w:tcPr>
            <w:tcW w:w="58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更换符合标准的电线，严格执行《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tcPr>
          <w:p>
            <w:pPr>
              <w:adjustRightInd/>
              <w:spacing w:line="240" w:lineRule="auto"/>
              <w:ind w:firstLine="0" w:firstLineChars="0"/>
              <w:jc w:val="center"/>
              <w:rPr>
                <w:color w:val="000000" w:themeColor="text1"/>
                <w:sz w:val="21"/>
                <w:szCs w:val="21"/>
              </w:rPr>
            </w:pPr>
          </w:p>
        </w:tc>
        <w:tc>
          <w:tcPr>
            <w:tcW w:w="136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电工个人防护用品佩戴不齐或佩戴不当</w:t>
            </w:r>
          </w:p>
        </w:tc>
        <w:tc>
          <w:tcPr>
            <w:tcW w:w="58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必须使用符合要求的防护用品绝缘工具，严格执行《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tcPr>
          <w:p>
            <w:pPr>
              <w:adjustRightInd/>
              <w:spacing w:line="240" w:lineRule="auto"/>
              <w:ind w:firstLine="0" w:firstLineChars="0"/>
              <w:jc w:val="center"/>
              <w:rPr>
                <w:color w:val="000000" w:themeColor="text1"/>
                <w:sz w:val="21"/>
                <w:szCs w:val="21"/>
              </w:rPr>
            </w:pPr>
          </w:p>
        </w:tc>
        <w:tc>
          <w:tcPr>
            <w:tcW w:w="136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电箱安装位置不当，现场重要或危险部位，没有醒目电气安全标志</w:t>
            </w:r>
          </w:p>
        </w:tc>
        <w:tc>
          <w:tcPr>
            <w:tcW w:w="58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专业电工负责进行安装，设置明显安全标志，严格执行《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tcPr>
          <w:p>
            <w:pPr>
              <w:adjustRightInd/>
              <w:spacing w:line="240" w:lineRule="auto"/>
              <w:ind w:firstLine="0" w:firstLineChars="0"/>
              <w:jc w:val="center"/>
              <w:rPr>
                <w:color w:val="000000" w:themeColor="text1"/>
                <w:sz w:val="21"/>
                <w:szCs w:val="21"/>
              </w:rPr>
            </w:pPr>
          </w:p>
        </w:tc>
        <w:tc>
          <w:tcPr>
            <w:tcW w:w="1362" w:type="pct"/>
            <w:vAlign w:val="center"/>
          </w:tcPr>
          <w:p>
            <w:pPr>
              <w:adjustRightInd/>
              <w:spacing w:line="240" w:lineRule="auto"/>
              <w:ind w:firstLine="0" w:firstLineChars="0"/>
              <w:rPr>
                <w:color w:val="000000" w:themeColor="text1"/>
                <w:sz w:val="21"/>
                <w:szCs w:val="21"/>
              </w:rPr>
            </w:pPr>
            <w:r>
              <w:rPr>
                <w:rFonts w:hint="eastAsia"/>
                <w:color w:val="000000" w:themeColor="text1"/>
                <w:kern w:val="0"/>
                <w:sz w:val="21"/>
                <w:szCs w:val="21"/>
              </w:rPr>
              <w:t>停电时未挂警示牌，带电作业现场无监护人</w:t>
            </w:r>
          </w:p>
        </w:tc>
        <w:tc>
          <w:tcPr>
            <w:tcW w:w="58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悬挂警示牌，安排责任心强的监护人，</w:t>
            </w:r>
            <w:r>
              <w:rPr>
                <w:rFonts w:hint="eastAsia"/>
                <w:color w:val="000000" w:themeColor="text1"/>
                <w:sz w:val="21"/>
                <w:szCs w:val="21"/>
              </w:rPr>
              <w:t>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tcPr>
          <w:p>
            <w:pPr>
              <w:adjustRightInd/>
              <w:spacing w:line="240" w:lineRule="auto"/>
              <w:ind w:firstLine="0" w:firstLineChars="0"/>
              <w:jc w:val="center"/>
              <w:rPr>
                <w:color w:val="000000" w:themeColor="text1"/>
                <w:sz w:val="21"/>
                <w:szCs w:val="21"/>
              </w:rPr>
            </w:pPr>
          </w:p>
        </w:tc>
        <w:tc>
          <w:tcPr>
            <w:tcW w:w="136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电缆过路无保护措施</w:t>
            </w:r>
          </w:p>
        </w:tc>
        <w:tc>
          <w:tcPr>
            <w:tcW w:w="58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电缆进行穿管埋地保护措施，</w:t>
            </w:r>
            <w:r>
              <w:rPr>
                <w:rFonts w:hint="eastAsia"/>
                <w:color w:val="000000" w:themeColor="text1"/>
                <w:sz w:val="21"/>
                <w:szCs w:val="21"/>
              </w:rPr>
              <w:t>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tcPr>
          <w:p>
            <w:pPr>
              <w:adjustRightInd/>
              <w:spacing w:line="240" w:lineRule="auto"/>
              <w:ind w:firstLine="0" w:firstLineChars="0"/>
              <w:jc w:val="center"/>
              <w:rPr>
                <w:color w:val="000000" w:themeColor="text1"/>
                <w:sz w:val="21"/>
                <w:szCs w:val="21"/>
              </w:rPr>
            </w:pPr>
          </w:p>
        </w:tc>
        <w:tc>
          <w:tcPr>
            <w:tcW w:w="136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搬迁或移动用电设备未切断电源、未经电工妥善处理</w:t>
            </w:r>
          </w:p>
        </w:tc>
        <w:tc>
          <w:tcPr>
            <w:tcW w:w="58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专业电工负责相关事项，</w:t>
            </w:r>
            <w:r>
              <w:rPr>
                <w:rFonts w:hint="eastAsia"/>
                <w:color w:val="000000" w:themeColor="text1"/>
                <w:sz w:val="21"/>
                <w:szCs w:val="21"/>
              </w:rPr>
              <w:t>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tcPr>
          <w:p>
            <w:pPr>
              <w:adjustRightInd/>
              <w:spacing w:line="240" w:lineRule="auto"/>
              <w:ind w:firstLine="0" w:firstLineChars="0"/>
              <w:jc w:val="center"/>
              <w:rPr>
                <w:color w:val="000000" w:themeColor="text1"/>
                <w:sz w:val="21"/>
                <w:szCs w:val="21"/>
              </w:rPr>
            </w:pPr>
          </w:p>
        </w:tc>
        <w:tc>
          <w:tcPr>
            <w:tcW w:w="1362"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施工用电设备和设施线路裸露，电线老化破皮未包</w:t>
            </w:r>
          </w:p>
        </w:tc>
        <w:tc>
          <w:tcPr>
            <w:tcW w:w="589" w:type="pct"/>
            <w:vAlign w:val="center"/>
          </w:tcPr>
          <w:p>
            <w:pPr>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更换符合标准的电线，</w:t>
            </w:r>
            <w:r>
              <w:rPr>
                <w:rFonts w:hint="eastAsia"/>
                <w:color w:val="000000" w:themeColor="text1"/>
                <w:sz w:val="21"/>
                <w:szCs w:val="21"/>
              </w:rPr>
              <w:t>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vAlign w:val="center"/>
          </w:tcPr>
          <w:p>
            <w:pPr>
              <w:adjustRightInd/>
              <w:spacing w:line="240" w:lineRule="auto"/>
              <w:ind w:firstLine="0" w:firstLineChars="0"/>
              <w:jc w:val="center"/>
              <w:rPr>
                <w:color w:val="000000" w:themeColor="text1"/>
                <w:sz w:val="21"/>
                <w:szCs w:val="21"/>
              </w:rPr>
            </w:pPr>
          </w:p>
        </w:tc>
        <w:tc>
          <w:tcPr>
            <w:tcW w:w="136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36V安全电压照明线路混乱和接头处未用绝缘胶布包扎</w:t>
            </w:r>
          </w:p>
        </w:tc>
        <w:tc>
          <w:tcPr>
            <w:tcW w:w="58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vAlign w:val="center"/>
          </w:tcPr>
          <w:p>
            <w:pPr>
              <w:adjustRightInd/>
              <w:spacing w:line="240" w:lineRule="auto"/>
              <w:ind w:firstLine="0" w:firstLineChars="0"/>
              <w:jc w:val="center"/>
              <w:rPr>
                <w:color w:val="000000" w:themeColor="text1"/>
                <w:sz w:val="21"/>
                <w:szCs w:val="21"/>
              </w:rPr>
            </w:pPr>
          </w:p>
        </w:tc>
        <w:tc>
          <w:tcPr>
            <w:tcW w:w="1362"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在潮湿场所不使用安全电压</w:t>
            </w:r>
          </w:p>
        </w:tc>
        <w:tc>
          <w:tcPr>
            <w:tcW w:w="589"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按照规定使用安全电压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vAlign w:val="center"/>
          </w:tcPr>
          <w:p>
            <w:pPr>
              <w:adjustRightInd/>
              <w:spacing w:line="240" w:lineRule="auto"/>
              <w:ind w:firstLine="0" w:firstLineChars="0"/>
              <w:jc w:val="center"/>
              <w:rPr>
                <w:color w:val="000000" w:themeColor="text1"/>
                <w:sz w:val="21"/>
                <w:szCs w:val="21"/>
              </w:rPr>
            </w:pPr>
          </w:p>
        </w:tc>
        <w:tc>
          <w:tcPr>
            <w:tcW w:w="136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开关箱无漏电保护器或失灵</w:t>
            </w:r>
          </w:p>
        </w:tc>
        <w:tc>
          <w:tcPr>
            <w:tcW w:w="58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严格检查，更换符合标准的保护器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vAlign w:val="center"/>
          </w:tcPr>
          <w:p>
            <w:pPr>
              <w:adjustRightInd/>
              <w:spacing w:line="240" w:lineRule="auto"/>
              <w:ind w:firstLine="0" w:firstLineChars="0"/>
              <w:jc w:val="center"/>
              <w:rPr>
                <w:color w:val="000000" w:themeColor="text1"/>
                <w:sz w:val="21"/>
                <w:szCs w:val="21"/>
              </w:rPr>
            </w:pPr>
          </w:p>
        </w:tc>
        <w:tc>
          <w:tcPr>
            <w:tcW w:w="136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电箱无门锁无防雨措施</w:t>
            </w:r>
          </w:p>
        </w:tc>
        <w:tc>
          <w:tcPr>
            <w:tcW w:w="58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增加门锁及防雨措施，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vAlign w:val="center"/>
          </w:tcPr>
          <w:p>
            <w:pPr>
              <w:adjustRightInd/>
              <w:spacing w:line="240" w:lineRule="auto"/>
              <w:ind w:firstLine="0" w:firstLineChars="0"/>
              <w:jc w:val="center"/>
              <w:rPr>
                <w:color w:val="000000" w:themeColor="text1"/>
                <w:sz w:val="21"/>
                <w:szCs w:val="21"/>
              </w:rPr>
            </w:pPr>
          </w:p>
        </w:tc>
        <w:tc>
          <w:tcPr>
            <w:tcW w:w="136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各种设备未作保护接零或无漏电保护器</w:t>
            </w:r>
          </w:p>
        </w:tc>
        <w:tc>
          <w:tcPr>
            <w:tcW w:w="58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做好保护接零或安装漏电保护器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vAlign w:val="center"/>
          </w:tcPr>
          <w:p>
            <w:pPr>
              <w:adjustRightInd/>
              <w:spacing w:line="240" w:lineRule="auto"/>
              <w:ind w:firstLine="0" w:firstLineChars="0"/>
              <w:jc w:val="center"/>
              <w:rPr>
                <w:color w:val="000000" w:themeColor="text1"/>
                <w:sz w:val="21"/>
                <w:szCs w:val="21"/>
              </w:rPr>
            </w:pPr>
          </w:p>
        </w:tc>
        <w:tc>
          <w:tcPr>
            <w:tcW w:w="1362"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kern w:val="0"/>
                <w:sz w:val="21"/>
                <w:szCs w:val="21"/>
              </w:rPr>
              <w:t>作业条件发生变化</w:t>
            </w:r>
          </w:p>
        </w:tc>
        <w:tc>
          <w:tcPr>
            <w:tcW w:w="58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kern w:val="0"/>
                <w:sz w:val="21"/>
                <w:szCs w:val="21"/>
              </w:rPr>
            </w:pPr>
            <w:r>
              <w:rPr>
                <w:rFonts w:hint="eastAsia"/>
                <w:color w:val="000000" w:themeColor="text1"/>
                <w:sz w:val="21"/>
                <w:szCs w:val="21"/>
              </w:rPr>
              <w:t>重新办理用电许可证，严格执行《</w:t>
            </w:r>
            <w:r>
              <w:rPr>
                <w:rFonts w:hint="eastAsia"/>
                <w:color w:val="000000" w:themeColor="text1"/>
                <w:sz w:val="21"/>
                <w:szCs w:val="21"/>
                <w:shd w:val="clear" w:color="auto" w:fill="FFFFFF"/>
              </w:rPr>
              <w:t>施工现场临时用电安全技术规范(附条文说明)</w:t>
            </w:r>
            <w:r>
              <w:rPr>
                <w:rFonts w:hint="eastAsia"/>
                <w:color w:val="000000" w:themeColor="text1"/>
                <w:sz w:val="21"/>
                <w:szCs w:val="21"/>
              </w:rPr>
              <w:t>》（</w:t>
            </w:r>
            <w:r>
              <w:rPr>
                <w:rFonts w:hint="eastAsia"/>
                <w:color w:val="000000" w:themeColor="text1"/>
                <w:sz w:val="21"/>
                <w:szCs w:val="21"/>
                <w:shd w:val="clear" w:color="auto" w:fill="FFFFFF"/>
              </w:rPr>
              <w:t>JGJ46-2005）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restart"/>
            <w:vAlign w:val="center"/>
          </w:tcPr>
          <w:p>
            <w:pPr>
              <w:adjustRightInd/>
              <w:spacing w:line="240" w:lineRule="auto"/>
              <w:ind w:firstLine="0" w:firstLineChars="0"/>
              <w:jc w:val="center"/>
              <w:rPr>
                <w:color w:val="000000" w:themeColor="text1"/>
                <w:sz w:val="21"/>
                <w:szCs w:val="21"/>
              </w:rPr>
            </w:pPr>
            <w:r>
              <w:rPr>
                <w:rFonts w:hint="eastAsia"/>
                <w:color w:val="000000" w:themeColor="text1"/>
                <w:sz w:val="21"/>
                <w:szCs w:val="21"/>
              </w:rPr>
              <w:t>完工后</w:t>
            </w:r>
          </w:p>
        </w:tc>
        <w:tc>
          <w:tcPr>
            <w:tcW w:w="136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没有及时拆除临时用电设施</w:t>
            </w:r>
          </w:p>
        </w:tc>
        <w:tc>
          <w:tcPr>
            <w:tcW w:w="58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及时拆除临时用电设施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0" w:type="pct"/>
            <w:vMerge w:val="continue"/>
          </w:tcPr>
          <w:p>
            <w:pPr>
              <w:adjustRightInd/>
              <w:spacing w:line="240" w:lineRule="auto"/>
              <w:ind w:firstLine="0" w:firstLineChars="0"/>
              <w:jc w:val="center"/>
              <w:rPr>
                <w:color w:val="000000" w:themeColor="text1"/>
                <w:sz w:val="21"/>
                <w:szCs w:val="21"/>
              </w:rPr>
            </w:pPr>
          </w:p>
        </w:tc>
        <w:tc>
          <w:tcPr>
            <w:tcW w:w="430" w:type="pct"/>
            <w:vMerge w:val="continue"/>
            <w:vAlign w:val="center"/>
          </w:tcPr>
          <w:p>
            <w:pPr>
              <w:adjustRightInd/>
              <w:spacing w:line="240" w:lineRule="auto"/>
              <w:ind w:firstLine="0" w:firstLineChars="0"/>
              <w:jc w:val="center"/>
              <w:rPr>
                <w:color w:val="000000" w:themeColor="text1"/>
                <w:sz w:val="21"/>
                <w:szCs w:val="21"/>
              </w:rPr>
            </w:pPr>
          </w:p>
        </w:tc>
        <w:tc>
          <w:tcPr>
            <w:tcW w:w="1362"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非电工人员拆除临时用电设施</w:t>
            </w:r>
          </w:p>
        </w:tc>
        <w:tc>
          <w:tcPr>
            <w:tcW w:w="589" w:type="pct"/>
            <w:vAlign w:val="center"/>
          </w:tcPr>
          <w:p>
            <w:pPr>
              <w:widowControl/>
              <w:adjustRightInd/>
              <w:spacing w:line="240" w:lineRule="auto"/>
              <w:ind w:firstLine="0" w:firstLineChars="0"/>
              <w:rPr>
                <w:color w:val="000000" w:themeColor="text1"/>
                <w:sz w:val="21"/>
                <w:szCs w:val="21"/>
              </w:rPr>
            </w:pPr>
            <w:r>
              <w:rPr>
                <w:rFonts w:hint="eastAsia"/>
                <w:color w:val="000000" w:themeColor="text1"/>
                <w:sz w:val="21"/>
                <w:szCs w:val="21"/>
              </w:rPr>
              <w:t>触电、人员伤害</w:t>
            </w:r>
          </w:p>
        </w:tc>
        <w:tc>
          <w:tcPr>
            <w:tcW w:w="2257" w:type="pct"/>
            <w:vAlign w:val="center"/>
          </w:tcPr>
          <w:p>
            <w:pPr>
              <w:widowControl/>
              <w:adjustRightInd/>
              <w:spacing w:line="240" w:lineRule="auto"/>
              <w:ind w:firstLine="0" w:firstLineChars="0"/>
              <w:rPr>
                <w:color w:val="000000" w:themeColor="text1"/>
                <w:sz w:val="21"/>
                <w:szCs w:val="21"/>
              </w:rPr>
            </w:pPr>
            <w:r>
              <w:rPr>
                <w:rFonts w:hint="eastAsia"/>
                <w:color w:val="000000" w:themeColor="text1"/>
                <w:kern w:val="0"/>
                <w:sz w:val="21"/>
                <w:szCs w:val="21"/>
              </w:rPr>
              <w:t>严格监督，安排专业电工拆除</w:t>
            </w:r>
          </w:p>
        </w:tc>
      </w:tr>
    </w:tbl>
    <w:p>
      <w:pPr>
        <w:pStyle w:val="56"/>
        <w:rPr>
          <w:rFonts w:hint="default"/>
          <w:sz w:val="28"/>
          <w:szCs w:val="28"/>
        </w:rPr>
      </w:pPr>
    </w:p>
    <w:p>
      <w:pPr>
        <w:pStyle w:val="4"/>
        <w:ind w:firstLine="562"/>
      </w:pPr>
      <w:bookmarkStart w:id="3648" w:name="_Toc7198"/>
      <w:bookmarkStart w:id="3649" w:name="_Toc8037"/>
      <w:bookmarkStart w:id="3650" w:name="_Toc28468"/>
      <w:bookmarkStart w:id="3651" w:name="_Toc29919"/>
      <w:bookmarkStart w:id="3652" w:name="_Toc20750"/>
      <w:bookmarkStart w:id="3653" w:name="_Toc22265"/>
      <w:bookmarkStart w:id="3654" w:name="_Toc13124"/>
      <w:bookmarkStart w:id="3655" w:name="_Toc7847"/>
      <w:bookmarkStart w:id="3656" w:name="_Toc255"/>
      <w:bookmarkStart w:id="3657" w:name="_Toc7250"/>
      <w:bookmarkStart w:id="3658" w:name="_Toc8126"/>
      <w:bookmarkStart w:id="3659" w:name="_Toc3962"/>
      <w:bookmarkStart w:id="3660" w:name="_Toc11920"/>
      <w:bookmarkStart w:id="3661" w:name="_Toc18199"/>
      <w:bookmarkStart w:id="3662" w:name="_Toc32046"/>
      <w:bookmarkStart w:id="3663" w:name="_Toc1659"/>
      <w:bookmarkStart w:id="3664" w:name="_Toc15339"/>
      <w:bookmarkStart w:id="3665" w:name="_Toc25338"/>
      <w:bookmarkStart w:id="3666" w:name="_Toc17243"/>
      <w:bookmarkStart w:id="3667" w:name="_Toc432"/>
      <w:bookmarkStart w:id="3668" w:name="_Toc128056510"/>
      <w:bookmarkStart w:id="3669" w:name="_Toc181"/>
      <w:bookmarkStart w:id="3670" w:name="_Toc7883"/>
      <w:bookmarkStart w:id="3671" w:name="_Toc19142"/>
      <w:bookmarkStart w:id="3672" w:name="_Toc27223"/>
      <w:bookmarkStart w:id="3673" w:name="_Toc737"/>
      <w:r>
        <w:rPr>
          <w:rFonts w:hint="eastAsia"/>
        </w:rPr>
        <w:t>F2.5.4 安全管理及应急救援危险性分析</w:t>
      </w:r>
      <w:bookmarkEnd w:id="3648"/>
      <w:bookmarkEnd w:id="3649"/>
      <w:bookmarkEnd w:id="3650"/>
      <w:bookmarkEnd w:id="3651"/>
      <w:bookmarkEnd w:id="3652"/>
      <w:bookmarkEnd w:id="3653"/>
      <w:bookmarkEnd w:id="3654"/>
      <w:bookmarkEnd w:id="3655"/>
      <w:bookmarkEnd w:id="3656"/>
      <w:bookmarkEnd w:id="3657"/>
      <w:bookmarkEnd w:id="3658"/>
      <w:bookmarkEnd w:id="3659"/>
      <w:bookmarkEnd w:id="3660"/>
      <w:bookmarkEnd w:id="3661"/>
      <w:bookmarkEnd w:id="3662"/>
      <w:bookmarkEnd w:id="3663"/>
      <w:bookmarkEnd w:id="3664"/>
      <w:bookmarkEnd w:id="3665"/>
      <w:bookmarkEnd w:id="3666"/>
      <w:bookmarkEnd w:id="3667"/>
      <w:bookmarkEnd w:id="3668"/>
      <w:bookmarkEnd w:id="3669"/>
      <w:bookmarkEnd w:id="3670"/>
      <w:bookmarkEnd w:id="3671"/>
      <w:bookmarkEnd w:id="3672"/>
      <w:bookmarkEnd w:id="3673"/>
    </w:p>
    <w:p>
      <w:pPr>
        <w:pStyle w:val="5"/>
        <w:ind w:firstLine="562"/>
      </w:pPr>
      <w:bookmarkStart w:id="3674" w:name="_Toc21440"/>
      <w:bookmarkStart w:id="3675" w:name="_Toc23687"/>
      <w:bookmarkStart w:id="3676" w:name="_Toc2684"/>
      <w:r>
        <w:rPr>
          <w:rFonts w:hint="eastAsia"/>
        </w:rPr>
        <w:t>F2</w:t>
      </w:r>
      <w:r>
        <w:t>.</w:t>
      </w:r>
      <w:r>
        <w:rPr>
          <w:rFonts w:hint="eastAsia"/>
        </w:rPr>
        <w:t>5.4</w:t>
      </w:r>
      <w:r>
        <w:t>.1</w:t>
      </w:r>
      <w:r>
        <w:rPr>
          <w:rFonts w:hint="eastAsia"/>
        </w:rPr>
        <w:t xml:space="preserve"> 安全管理方面的危险性分析</w:t>
      </w:r>
      <w:bookmarkEnd w:id="3674"/>
      <w:bookmarkEnd w:id="3675"/>
      <w:bookmarkEnd w:id="3676"/>
    </w:p>
    <w:p>
      <w:pPr>
        <w:ind w:firstLine="560"/>
        <w:rPr>
          <w:color w:val="000000" w:themeColor="text1"/>
        </w:rPr>
      </w:pPr>
      <w:r>
        <w:rPr>
          <w:rFonts w:hint="eastAsia"/>
        </w:rPr>
        <w:t>（1）</w:t>
      </w:r>
      <w:r>
        <w:rPr>
          <w:rFonts w:hint="eastAsia"/>
          <w:color w:val="000000" w:themeColor="text1"/>
        </w:rPr>
        <w:t>安全管理组织体系方面危险性分析</w:t>
      </w:r>
    </w:p>
    <w:p>
      <w:pPr>
        <w:ind w:firstLine="560"/>
        <w:rPr>
          <w:color w:val="000000" w:themeColor="text1"/>
        </w:rPr>
      </w:pPr>
      <w:r>
        <w:rPr>
          <w:rFonts w:hint="eastAsia"/>
          <w:color w:val="000000" w:themeColor="text1"/>
        </w:rPr>
        <w:t>安全管理组织体系是企业安全生产重要保障，安全生产管理的分级、协调等管理缺陷，可因安全管理组织体系缺陷引发事故，或事故进一步扩大。</w:t>
      </w:r>
    </w:p>
    <w:p>
      <w:pPr>
        <w:ind w:firstLine="560"/>
        <w:rPr>
          <w:color w:val="000000" w:themeColor="text1"/>
        </w:rPr>
      </w:pPr>
      <w:r>
        <w:rPr>
          <w:rFonts w:hint="eastAsia"/>
          <w:color w:val="000000" w:themeColor="text1"/>
        </w:rPr>
        <w:t>1）安全管理组织机构的结构、人员组成不适应生产系统：</w:t>
      </w:r>
    </w:p>
    <w:p>
      <w:pPr>
        <w:ind w:firstLine="560"/>
        <w:rPr>
          <w:color w:val="000000" w:themeColor="text1"/>
        </w:rPr>
      </w:pPr>
      <w:r>
        <w:rPr>
          <w:rFonts w:hint="eastAsia"/>
          <w:color w:val="000000" w:themeColor="text1"/>
        </w:rPr>
        <w:t>2）未按要求配备足够的管理人员，造成安全管理工作中存在衔接不当、管理空白、专业不全等；</w:t>
      </w:r>
    </w:p>
    <w:p>
      <w:pPr>
        <w:ind w:firstLine="560"/>
        <w:rPr>
          <w:color w:val="000000" w:themeColor="text1"/>
        </w:rPr>
      </w:pPr>
      <w:r>
        <w:rPr>
          <w:rFonts w:hint="eastAsia"/>
          <w:color w:val="000000" w:themeColor="text1"/>
        </w:rPr>
        <w:t>3）对从业人员的安全教育培训不足，如安全生产管理人员和基层操作人员未经过培训考核或培训学时不足，不具备相应的安全生产知识和上岗能力；员工素质低下，观念落后，致使人员安全意识差、不安全行为数量增多；忽视对外协用工、外来参观、学习人员的安全教育培训等。</w:t>
      </w:r>
    </w:p>
    <w:p>
      <w:pPr>
        <w:ind w:firstLine="560"/>
        <w:rPr>
          <w:color w:val="000000" w:themeColor="text1"/>
        </w:rPr>
      </w:pPr>
      <w:r>
        <w:rPr>
          <w:rFonts w:hint="eastAsia"/>
          <w:color w:val="000000" w:themeColor="text1"/>
        </w:rPr>
        <w:t>4）人员职权交叉，造成管理混乱；</w:t>
      </w:r>
    </w:p>
    <w:p>
      <w:pPr>
        <w:ind w:firstLine="560"/>
        <w:rPr>
          <w:color w:val="000000" w:themeColor="text1"/>
        </w:rPr>
      </w:pPr>
      <w:r>
        <w:rPr>
          <w:rFonts w:hint="eastAsia"/>
          <w:color w:val="000000" w:themeColor="text1"/>
        </w:rPr>
        <w:t>5）在解决重大问题上由最高领导一人凭借经验作决策，没有征求大多数人的意见。</w:t>
      </w:r>
    </w:p>
    <w:p>
      <w:pPr>
        <w:ind w:firstLine="560"/>
        <w:rPr>
          <w:color w:val="000000" w:themeColor="text1"/>
        </w:rPr>
      </w:pPr>
      <w:r>
        <w:rPr>
          <w:rFonts w:hint="eastAsia"/>
        </w:rPr>
        <w:t>（2）</w:t>
      </w:r>
      <w:r>
        <w:rPr>
          <w:rFonts w:hint="eastAsia"/>
          <w:color w:val="000000" w:themeColor="text1"/>
        </w:rPr>
        <w:t>安全管理制度方面危险性分析</w:t>
      </w:r>
    </w:p>
    <w:p>
      <w:pPr>
        <w:ind w:firstLine="560"/>
        <w:rPr>
          <w:color w:val="000000" w:themeColor="text1"/>
        </w:rPr>
      </w:pPr>
      <w:r>
        <w:rPr>
          <w:rFonts w:hint="eastAsia"/>
          <w:color w:val="000000" w:themeColor="text1"/>
        </w:rPr>
        <w:t>安全管理制度是为加强公司生产工作的劳动保护、改善劳动条件，保护劳动者在生产过程中的安全和健康，促进公司事业的发展，根据有关劳动保护的法令、法规等有关规定，结合公司的实际情况制订的规定：可能因为安全管理制度不健全，引发事故，其主要原因有：</w:t>
      </w:r>
    </w:p>
    <w:p>
      <w:pPr>
        <w:ind w:firstLine="560"/>
        <w:rPr>
          <w:color w:val="000000" w:themeColor="text1"/>
        </w:rPr>
      </w:pPr>
      <w:r>
        <w:rPr>
          <w:rFonts w:hint="eastAsia"/>
          <w:color w:val="000000" w:themeColor="text1"/>
        </w:rPr>
        <w:t>1）未根据自身特点制定、完善安全生产责任制、安全生产管理制度，造成工作中无章可循，生产次序混乱；</w:t>
      </w:r>
    </w:p>
    <w:p>
      <w:pPr>
        <w:ind w:firstLine="560"/>
        <w:rPr>
          <w:color w:val="000000" w:themeColor="text1"/>
        </w:rPr>
      </w:pPr>
      <w:r>
        <w:rPr>
          <w:rFonts w:hint="eastAsia"/>
          <w:color w:val="000000" w:themeColor="text1"/>
        </w:rPr>
        <w:t>2）安全生产责任制未落实到每个环节、每个岗位、每个人,各自职责不明确；</w:t>
      </w:r>
    </w:p>
    <w:p>
      <w:pPr>
        <w:ind w:firstLine="560"/>
        <w:rPr>
          <w:color w:val="000000" w:themeColor="text1"/>
        </w:rPr>
      </w:pPr>
      <w:r>
        <w:rPr>
          <w:rFonts w:hint="eastAsia"/>
          <w:color w:val="000000" w:themeColor="text1"/>
        </w:rPr>
        <w:t>3）不同的安全管理规章制度之间缺少相互配合和促进机制;</w:t>
      </w:r>
    </w:p>
    <w:p>
      <w:pPr>
        <w:ind w:firstLine="560"/>
        <w:rPr>
          <w:color w:val="000000" w:themeColor="text1"/>
        </w:rPr>
      </w:pPr>
      <w:r>
        <w:rPr>
          <w:rFonts w:hint="eastAsia"/>
          <w:color w:val="000000" w:themeColor="text1"/>
        </w:rPr>
        <w:t>4）安全管理规章制度流于形式,内容不完善、不全面;</w:t>
      </w:r>
    </w:p>
    <w:p>
      <w:pPr>
        <w:ind w:firstLine="560"/>
        <w:rPr>
          <w:color w:val="000000" w:themeColor="text1"/>
        </w:rPr>
      </w:pPr>
      <w:r>
        <w:rPr>
          <w:rFonts w:hint="eastAsia"/>
          <w:color w:val="000000" w:themeColor="text1"/>
        </w:rPr>
        <w:t>5）安全管理规章制度要求与实际工作脱节等。</w:t>
      </w:r>
    </w:p>
    <w:p>
      <w:pPr>
        <w:pStyle w:val="5"/>
        <w:ind w:firstLine="562"/>
      </w:pPr>
      <w:bookmarkStart w:id="3677" w:name="_Toc7829"/>
      <w:bookmarkStart w:id="3678" w:name="_Toc31341"/>
      <w:bookmarkStart w:id="3679" w:name="_Toc22559"/>
      <w:r>
        <w:rPr>
          <w:rFonts w:hint="eastAsia"/>
        </w:rPr>
        <w:t>F2</w:t>
      </w:r>
      <w:r>
        <w:t>.</w:t>
      </w:r>
      <w:r>
        <w:rPr>
          <w:rFonts w:hint="eastAsia"/>
        </w:rPr>
        <w:t>5.4</w:t>
      </w:r>
      <w:r>
        <w:t>.2</w:t>
      </w:r>
      <w:r>
        <w:rPr>
          <w:rFonts w:hint="eastAsia"/>
        </w:rPr>
        <w:t xml:space="preserve"> 应急救援方面危险性分析</w:t>
      </w:r>
      <w:bookmarkEnd w:id="3677"/>
      <w:bookmarkEnd w:id="3678"/>
      <w:bookmarkEnd w:id="3679"/>
    </w:p>
    <w:p>
      <w:pPr>
        <w:ind w:firstLine="560"/>
        <w:rPr>
          <w:color w:val="000000" w:themeColor="text1"/>
        </w:rPr>
      </w:pPr>
      <w:r>
        <w:rPr>
          <w:rFonts w:hint="eastAsia"/>
          <w:color w:val="000000" w:themeColor="text1"/>
        </w:rPr>
        <w:t>应急救援是针对可能发生的重大事故,为保证迅速、有效、有序地开展应急救援行动,以便预防、降低事故及可能因为事故应急措施不当等引发的事故,其主要原因有；</w:t>
      </w:r>
    </w:p>
    <w:p>
      <w:pPr>
        <w:ind w:firstLine="560"/>
        <w:rPr>
          <w:color w:val="000000" w:themeColor="text1"/>
        </w:rPr>
      </w:pPr>
      <w:r>
        <w:rPr>
          <w:rFonts w:hint="eastAsia"/>
          <w:color w:val="000000" w:themeColor="text1"/>
        </w:rPr>
        <w:t>（1）公司未按照《生产经营单位生产安全事故应急预案编制导则》（G</w:t>
      </w:r>
      <w:r>
        <w:rPr>
          <w:color w:val="000000" w:themeColor="text1"/>
        </w:rPr>
        <w:t>B/T29639-2020</w:t>
      </w:r>
      <w:r>
        <w:rPr>
          <w:rFonts w:hint="eastAsia"/>
          <w:color w:val="000000" w:themeColor="text1"/>
        </w:rPr>
        <w:t>）要求编制事故应急预案;</w:t>
      </w:r>
    </w:p>
    <w:p>
      <w:pPr>
        <w:ind w:firstLine="560"/>
        <w:rPr>
          <w:color w:val="000000" w:themeColor="text1"/>
        </w:rPr>
      </w:pPr>
      <w:r>
        <w:rPr>
          <w:rFonts w:hint="eastAsia"/>
          <w:color w:val="000000" w:themeColor="text1"/>
        </w:rPr>
        <w:t>（2）应急救援时未按照事故应急原则进行处置;</w:t>
      </w:r>
    </w:p>
    <w:p>
      <w:pPr>
        <w:ind w:firstLine="560"/>
        <w:rPr>
          <w:color w:val="000000" w:themeColor="text1"/>
        </w:rPr>
      </w:pPr>
      <w:r>
        <w:rPr>
          <w:rFonts w:hint="eastAsia"/>
          <w:color w:val="000000" w:themeColor="text1"/>
        </w:rPr>
        <w:t>（3）救援人员不服从指挥;</w:t>
      </w:r>
    </w:p>
    <w:p>
      <w:pPr>
        <w:ind w:firstLine="560"/>
        <w:rPr>
          <w:color w:val="000000" w:themeColor="text1"/>
        </w:rPr>
      </w:pPr>
      <w:r>
        <w:rPr>
          <w:rFonts w:hint="eastAsia"/>
          <w:color w:val="000000" w:themeColor="text1"/>
        </w:rPr>
        <w:t>（4）事故判断不准确,导致采取的应急救援行动和战术决策不准确;</w:t>
      </w:r>
    </w:p>
    <w:p>
      <w:pPr>
        <w:ind w:firstLine="560"/>
        <w:rPr>
          <w:color w:val="000000" w:themeColor="text1"/>
        </w:rPr>
      </w:pPr>
      <w:r>
        <w:rPr>
          <w:rFonts w:hint="eastAsia"/>
          <w:color w:val="000000" w:themeColor="text1"/>
        </w:rPr>
        <w:t>（5）公司事故应急预案未按照应急部门要求评审、备案等。</w:t>
      </w:r>
      <w:bookmarkStart w:id="3680" w:name="_Toc28220"/>
      <w:bookmarkStart w:id="3681" w:name="_Toc14408"/>
      <w:bookmarkStart w:id="3682" w:name="_Toc9757"/>
    </w:p>
    <w:p>
      <w:pPr>
        <w:pStyle w:val="3"/>
        <w:keepNext w:val="0"/>
        <w:keepLines w:val="0"/>
        <w:ind w:firstLine="562"/>
        <w:rPr>
          <w:rFonts w:ascii="黑体" w:hAnsi="黑体" w:eastAsia="黑体" w:cs="黑体"/>
        </w:rPr>
      </w:pPr>
      <w:bookmarkStart w:id="3683" w:name="_Toc15288"/>
      <w:bookmarkStart w:id="3684" w:name="_Toc31307"/>
      <w:bookmarkStart w:id="3685" w:name="_Toc14073"/>
      <w:bookmarkStart w:id="3686" w:name="_Toc23927"/>
      <w:bookmarkStart w:id="3687" w:name="_Toc11225"/>
      <w:bookmarkStart w:id="3688" w:name="_Toc30140"/>
      <w:bookmarkStart w:id="3689" w:name="_Toc13304"/>
      <w:bookmarkStart w:id="3690" w:name="_Toc26733"/>
      <w:bookmarkStart w:id="3691" w:name="_Toc497"/>
      <w:bookmarkStart w:id="3692" w:name="_Toc15596"/>
      <w:bookmarkStart w:id="3693" w:name="_Toc4183"/>
      <w:bookmarkStart w:id="3694" w:name="_Toc9487"/>
      <w:bookmarkStart w:id="3695" w:name="_Toc6732"/>
      <w:bookmarkStart w:id="3696" w:name="_Toc9704"/>
      <w:bookmarkStart w:id="3697" w:name="_Toc20593"/>
      <w:bookmarkStart w:id="3698" w:name="_Toc489"/>
      <w:r>
        <w:rPr>
          <w:rFonts w:hint="eastAsia" w:ascii="黑体" w:hAnsi="黑体" w:eastAsia="黑体" w:cs="黑体"/>
        </w:rPr>
        <w:t>F2.6 事故案例分析</w:t>
      </w:r>
      <w:bookmarkEnd w:id="3680"/>
      <w:bookmarkEnd w:id="3681"/>
      <w:bookmarkEnd w:id="3682"/>
      <w:bookmarkEnd w:id="3683"/>
      <w:bookmarkEnd w:id="3684"/>
      <w:bookmarkEnd w:id="3685"/>
      <w:bookmarkEnd w:id="3686"/>
      <w:bookmarkEnd w:id="3687"/>
      <w:bookmarkEnd w:id="3688"/>
      <w:bookmarkEnd w:id="3689"/>
      <w:bookmarkEnd w:id="3690"/>
      <w:bookmarkEnd w:id="3691"/>
      <w:bookmarkEnd w:id="3692"/>
      <w:bookmarkEnd w:id="3693"/>
      <w:bookmarkEnd w:id="3694"/>
      <w:bookmarkEnd w:id="3695"/>
      <w:bookmarkEnd w:id="3696"/>
      <w:bookmarkEnd w:id="3697"/>
      <w:bookmarkEnd w:id="3698"/>
      <w:bookmarkStart w:id="3699" w:name="_Toc6812"/>
      <w:bookmarkStart w:id="3700" w:name="_Toc1908"/>
      <w:bookmarkStart w:id="3701" w:name="_Toc17070"/>
      <w:bookmarkStart w:id="3702" w:name="_Toc1752"/>
      <w:bookmarkStart w:id="3703" w:name="_Toc11675"/>
      <w:bookmarkStart w:id="3704" w:name="_Toc24806"/>
      <w:bookmarkStart w:id="3705" w:name="_Toc31772"/>
      <w:bookmarkStart w:id="3706" w:name="_Toc27294"/>
      <w:bookmarkStart w:id="3707" w:name="_Toc1196"/>
      <w:bookmarkStart w:id="3708" w:name="_Toc128056513"/>
      <w:bookmarkStart w:id="3709" w:name="_Toc20818"/>
      <w:bookmarkStart w:id="3710" w:name="_Toc31563"/>
      <w:bookmarkStart w:id="3711" w:name="_Toc13442"/>
      <w:bookmarkStart w:id="3712" w:name="_Toc62740970"/>
      <w:bookmarkStart w:id="3713" w:name="_Toc2729"/>
      <w:bookmarkStart w:id="3714" w:name="_Toc19598"/>
      <w:bookmarkStart w:id="3715" w:name="_Toc7076"/>
      <w:bookmarkStart w:id="3716" w:name="_Toc10671"/>
      <w:bookmarkStart w:id="3717" w:name="_Toc10312"/>
      <w:bookmarkStart w:id="3718" w:name="_Toc2058"/>
      <w:bookmarkStart w:id="3719" w:name="_Toc27194"/>
    </w:p>
    <w:p>
      <w:pPr>
        <w:pStyle w:val="32"/>
        <w:ind w:firstLine="562"/>
        <w:rPr>
          <w:b/>
          <w:bCs/>
          <w:color w:val="auto"/>
        </w:rPr>
      </w:pPr>
      <w:r>
        <w:rPr>
          <w:rFonts w:hint="eastAsia" w:ascii="宋体" w:eastAsia="宋体" w:cs="宋体"/>
          <w:b/>
          <w:bCs/>
          <w:color w:val="000000" w:themeColor="text1"/>
        </w:rPr>
        <w:t>案例1</w:t>
      </w:r>
      <w:r>
        <w:rPr>
          <w:rFonts w:hint="eastAsia"/>
          <w:b/>
          <w:bCs/>
          <w:color w:val="auto"/>
          <w:shd w:val="clear" w:color="auto" w:fill="FFFFFF"/>
        </w:rPr>
        <w:t xml:space="preserve"> </w:t>
      </w:r>
      <w:r>
        <w:fldChar w:fldCharType="begin"/>
      </w:r>
      <w:r>
        <w:instrText xml:space="preserve"> HYPERLINK "http://yjglj.jiujiang.gov.cn/zwgk_196/zdly/aqsc_114542/sgdccl/201904/t20190426_2617501.html" </w:instrText>
      </w:r>
      <w:r>
        <w:fldChar w:fldCharType="separate"/>
      </w:r>
      <w:r>
        <w:rPr>
          <w:rStyle w:val="47"/>
          <w:b/>
          <w:bCs/>
          <w:color w:val="auto"/>
          <w:shd w:val="clear" w:color="auto" w:fill="FFFFFF"/>
        </w:rPr>
        <w:t>九江中伟科技化工有限公司“2·10”爆炸事故调查报告</w:t>
      </w:r>
      <w:r>
        <w:rPr>
          <w:rStyle w:val="47"/>
          <w:b/>
          <w:bCs/>
          <w:color w:val="auto"/>
          <w:shd w:val="clear" w:color="auto" w:fill="FFFFFF"/>
        </w:rPr>
        <w:fldChar w:fldCharType="end"/>
      </w:r>
    </w:p>
    <w:p>
      <w:pPr>
        <w:pStyle w:val="32"/>
        <w:wordWrap w:val="0"/>
        <w:ind w:firstLine="560"/>
        <w:rPr>
          <w:rFonts w:ascii="宋体" w:eastAsia="宋体" w:cs="宋体"/>
        </w:rPr>
      </w:pPr>
      <w:r>
        <w:rPr>
          <w:rFonts w:hint="eastAsia" w:ascii="宋体" w:eastAsia="宋体" w:cs="宋体"/>
          <w:color w:val="333333"/>
          <w:shd w:val="clear" w:color="auto" w:fill="FFFFFF"/>
        </w:rPr>
        <w:t>中伟科技化工有限公司（以下简称九江中伟公司）在硫酸罐区检维修和清理硫酸储罐过程中，发生爆炸，造成2人死亡。直接经济损失约170万元。 </w:t>
      </w:r>
    </w:p>
    <w:p>
      <w:pPr>
        <w:pStyle w:val="32"/>
        <w:wordWrap w:val="0"/>
        <w:ind w:firstLine="560"/>
        <w:rPr>
          <w:rFonts w:ascii="宋体" w:eastAsia="宋体" w:cs="宋体"/>
        </w:rPr>
      </w:pPr>
      <w:r>
        <w:rPr>
          <w:rFonts w:hint="eastAsia" w:ascii="宋体" w:eastAsia="宋体" w:cs="宋体"/>
          <w:color w:val="333333"/>
          <w:shd w:val="clear" w:color="auto" w:fill="FFFFFF"/>
        </w:rPr>
        <w:t>一、事故单位的基本情况 </w:t>
      </w:r>
    </w:p>
    <w:p>
      <w:pPr>
        <w:pStyle w:val="32"/>
        <w:wordWrap w:val="0"/>
        <w:ind w:firstLine="562"/>
        <w:rPr>
          <w:rFonts w:ascii="宋体" w:eastAsia="宋体" w:cs="宋体"/>
        </w:rPr>
      </w:pPr>
      <w:r>
        <w:rPr>
          <w:rFonts w:hint="eastAsia" w:ascii="宋体" w:eastAsia="宋体" w:cs="宋体"/>
          <w:b/>
          <w:bCs/>
          <w:color w:val="333333"/>
          <w:shd w:val="clear" w:color="auto" w:fill="FFFFFF"/>
        </w:rPr>
        <w:t>（1）企业基本情况。</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九江中伟公司年产20万吨硫酸项目位于湖口县金砂湾工业园，占地面积150亩，于2003年12月12日在湖口县注册成立，于2005年建成投产。 </w:t>
      </w:r>
    </w:p>
    <w:p>
      <w:pPr>
        <w:pStyle w:val="32"/>
        <w:wordWrap w:val="0"/>
        <w:ind w:firstLine="560"/>
        <w:rPr>
          <w:rFonts w:ascii="宋体" w:eastAsia="宋体" w:cs="宋体"/>
        </w:rPr>
      </w:pPr>
      <w:r>
        <w:rPr>
          <w:rFonts w:hint="eastAsia" w:ascii="宋体" w:eastAsia="宋体" w:cs="宋体"/>
          <w:color w:val="333333"/>
          <w:shd w:val="clear" w:color="auto" w:fill="FFFFFF"/>
        </w:rPr>
        <w:t>2014年以后由于市场疲软，产品竞争激烈，公司法人代表朱明亚投资失误陷入经济债务纠纷一直在外躲债，致使公司处于全面停产状态。2016年4月，九江中伟公司先后向省、市、县安监局报告公司实际情况，要求同意公司重新启动。2016年10月份，九江中伟公司委托山东润昌工程设计有限公司编制了公司二期硫酸10万吨/年装置《安全设计诊断报告书》，但由于环保脱硫排放不达标而未能启动</w:t>
      </w:r>
      <w:r>
        <w:rPr>
          <w:rFonts w:hint="eastAsia" w:ascii="宋体" w:eastAsia="宋体" w:cs="宋体"/>
          <w:color w:val="333333"/>
          <w:shd w:val="clear" w:color="auto" w:fill="FFFFFF"/>
          <w:lang w:eastAsia="zh-CN"/>
        </w:rPr>
        <w:t>，</w:t>
      </w:r>
      <w:r>
        <w:rPr>
          <w:rFonts w:hint="eastAsia" w:ascii="宋体" w:eastAsia="宋体" w:cs="宋体"/>
          <w:color w:val="333333"/>
          <w:shd w:val="clear" w:color="auto" w:fill="FFFFFF"/>
        </w:rPr>
        <w:t>自2014年公司由于原法人代表朱明亚深陷经济债务纠纷官司中，无法管理公司，致使公司停产期间的管理处于失控状态。公司用电也被供电部门停用，2017年7月公司将法人朱明亚变更为张海峰，由于未能筹备到资金，公司只有张海峰和1名工作人员顾海峰在管理。 </w:t>
      </w:r>
    </w:p>
    <w:p>
      <w:pPr>
        <w:pStyle w:val="32"/>
        <w:wordWrap w:val="0"/>
        <w:ind w:firstLine="562"/>
        <w:rPr>
          <w:rFonts w:ascii="宋体" w:eastAsia="宋体" w:cs="宋体"/>
        </w:rPr>
      </w:pPr>
      <w:r>
        <w:rPr>
          <w:rFonts w:hint="eastAsia" w:ascii="宋体" w:eastAsia="宋体" w:cs="宋体"/>
          <w:b/>
          <w:bCs/>
          <w:color w:val="333333"/>
          <w:shd w:val="clear" w:color="auto" w:fill="FFFFFF"/>
        </w:rPr>
        <w:t>（2）企业经营许可情况。</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①</w:t>
      </w:r>
      <w:r>
        <w:rPr>
          <w:rFonts w:hint="eastAsia" w:ascii="宋体" w:eastAsia="宋体" w:cs="宋体"/>
          <w:b/>
          <w:bCs/>
          <w:color w:val="333333"/>
          <w:shd w:val="clear" w:color="auto" w:fill="FFFFFF"/>
        </w:rPr>
        <w:t>营业执照办理情况：</w:t>
      </w:r>
      <w:r>
        <w:rPr>
          <w:rFonts w:hint="eastAsia" w:ascii="宋体" w:eastAsia="宋体" w:cs="宋体"/>
          <w:color w:val="333333"/>
          <w:shd w:val="clear" w:color="auto" w:fill="FFFFFF"/>
        </w:rPr>
        <w:t>公司位于江西省九江市湖口县金沙湾工业园，于2003年12月12日取得九江市工商局核发的营业执照，法定代表人：朱明亚；营业期限2003年12月12日至2053年12月11日，经营范围：生产经营硫酸、间苯二胺、硫酸尾渣回收有色金属。2017年7月4日法人代表变更为张海峰。营业期限和经营范围不变。 </w:t>
      </w:r>
    </w:p>
    <w:p>
      <w:pPr>
        <w:pStyle w:val="32"/>
        <w:wordWrap w:val="0"/>
        <w:ind w:firstLine="562"/>
        <w:rPr>
          <w:rFonts w:ascii="宋体" w:eastAsia="宋体" w:cs="宋体"/>
        </w:rPr>
      </w:pPr>
      <w:r>
        <w:rPr>
          <w:rFonts w:hint="eastAsia" w:ascii="宋体" w:eastAsia="宋体" w:cs="宋体"/>
          <w:b/>
          <w:bCs/>
          <w:color w:val="333333"/>
          <w:shd w:val="clear" w:color="auto" w:fill="FFFFFF"/>
        </w:rPr>
        <w:t>②安全生产许可证办理情况：</w:t>
      </w:r>
      <w:r>
        <w:rPr>
          <w:rFonts w:hint="eastAsia" w:ascii="宋体" w:eastAsia="宋体" w:cs="宋体"/>
          <w:color w:val="333333"/>
          <w:shd w:val="clear" w:color="auto" w:fill="FFFFFF"/>
        </w:rPr>
        <w:t>公司于2005年9月取得国家安全生产监督总局危险化学品登记中心颁发的《危险化学品生产单位登记证》，并于2005年10月取得了江西省安全生产监督管理局颁发的《安全生产许可证》（编号：（赣）WH安许证字[2005]0112）；许可范围：腐蚀品。2012年4月27日进行了延期换证，有效期至2015年4月26日。 </w:t>
      </w:r>
    </w:p>
    <w:p>
      <w:pPr>
        <w:pStyle w:val="32"/>
        <w:wordWrap w:val="0"/>
        <w:ind w:firstLine="562"/>
        <w:rPr>
          <w:rFonts w:ascii="宋体" w:eastAsia="宋体" w:cs="宋体"/>
        </w:rPr>
      </w:pPr>
      <w:r>
        <w:rPr>
          <w:rFonts w:hint="eastAsia" w:ascii="宋体" w:eastAsia="宋体" w:cs="宋体"/>
          <w:b/>
          <w:bCs/>
          <w:color w:val="333333"/>
          <w:shd w:val="clear" w:color="auto" w:fill="FFFFFF"/>
        </w:rPr>
        <w:t>（3）硫酸储罐情况：</w:t>
      </w:r>
      <w:r>
        <w:rPr>
          <w:rFonts w:hint="eastAsia" w:ascii="宋体" w:eastAsia="宋体" w:cs="宋体"/>
          <w:color w:val="333333"/>
          <w:shd w:val="clear" w:color="auto" w:fill="FFFFFF"/>
        </w:rPr>
        <w:t>九江中伟公司一期项目罐区设计中建有两个硫酸储罐（规格φ9M×9M，约572M3），采用碳钢材质（含碳量在0.02%~2.11%的铁碳合金），用来储存规格98%的工业硫酸，因为80%~100%的浓硫酸会形成钝化保护膜，不容易腐蚀储罐，一般不需要做其他特别防腐措施。事故发生前，公司在2016年对设备检、维修期间曾对罐体中的硫酸泥渣进行了清理，但是底部以及连接管道中仍然余有少部分的酸渣（主要成分为硫酸铁）和少量浓硫酸形成的混合泥渣。  </w:t>
      </w:r>
    </w:p>
    <w:p>
      <w:pPr>
        <w:pStyle w:val="32"/>
        <w:wordWrap w:val="0"/>
        <w:ind w:firstLine="562"/>
        <w:rPr>
          <w:rFonts w:ascii="宋体" w:eastAsia="宋体" w:cs="宋体"/>
        </w:rPr>
      </w:pPr>
      <w:r>
        <w:rPr>
          <w:rFonts w:hint="eastAsia" w:ascii="宋体" w:eastAsia="宋体" w:cs="宋体"/>
          <w:b/>
          <w:bCs/>
          <w:color w:val="333333"/>
          <w:shd w:val="clear" w:color="auto" w:fill="FFFFFF"/>
        </w:rPr>
        <w:t>（4）项目承接有关情况。</w:t>
      </w:r>
      <w:r>
        <w:rPr>
          <w:rFonts w:hint="eastAsia" w:ascii="宋体" w:eastAsia="宋体" w:cs="宋体"/>
          <w:color w:val="333333"/>
          <w:shd w:val="clear" w:color="auto" w:fill="FFFFFF"/>
        </w:rPr>
        <w:t> </w:t>
      </w:r>
    </w:p>
    <w:p>
      <w:pPr>
        <w:pStyle w:val="32"/>
        <w:wordWrap w:val="0"/>
        <w:ind w:firstLine="562"/>
        <w:rPr>
          <w:rFonts w:ascii="宋体" w:eastAsia="宋体" w:cs="宋体"/>
        </w:rPr>
      </w:pPr>
      <w:r>
        <w:rPr>
          <w:rFonts w:hint="eastAsia" w:ascii="宋体" w:eastAsia="宋体" w:cs="宋体"/>
          <w:b/>
          <w:bCs/>
          <w:color w:val="333333"/>
          <w:shd w:val="clear" w:color="auto" w:fill="FFFFFF"/>
        </w:rPr>
        <w:t>①</w:t>
      </w:r>
      <w:r>
        <w:rPr>
          <w:rFonts w:hint="eastAsia" w:ascii="宋体" w:eastAsia="宋体" w:cs="宋体"/>
          <w:color w:val="333333"/>
          <w:shd w:val="clear" w:color="auto" w:fill="FFFFFF"/>
        </w:rPr>
        <w:t>上海硅品国际贸易有限公司基本情况：公司位于中国（上海）自由贸易试验区，统一社会信用代码：91310115324311294F；证照编号：41000000201606060567；法定代表人：张俊；营业期限2014年12月10日至不约定期限；经营范围：化工原料及产品的批发，机械设备、橡胶制品、塑料制品的销售，从事货物及技术的进出口业务；地址：中国（上海）自由贸易试验区东方路989号3楼33席。 </w:t>
      </w:r>
    </w:p>
    <w:p>
      <w:pPr>
        <w:pStyle w:val="32"/>
        <w:wordWrap w:val="0"/>
        <w:ind w:firstLine="562"/>
        <w:rPr>
          <w:rFonts w:ascii="宋体" w:eastAsia="宋体" w:cs="宋体"/>
        </w:rPr>
      </w:pPr>
      <w:r>
        <w:rPr>
          <w:rFonts w:hint="eastAsia" w:ascii="宋体" w:eastAsia="宋体" w:cs="宋体"/>
          <w:b/>
          <w:bCs/>
          <w:color w:val="333333"/>
          <w:shd w:val="clear" w:color="auto" w:fill="FFFFFF"/>
        </w:rPr>
        <w:t>②有关人员情况：朱明亚，</w:t>
      </w:r>
      <w:r>
        <w:rPr>
          <w:rFonts w:hint="eastAsia" w:ascii="宋体" w:eastAsia="宋体" w:cs="宋体"/>
          <w:color w:val="333333"/>
          <w:shd w:val="clear" w:color="auto" w:fill="FFFFFF"/>
        </w:rPr>
        <w:t>九江中伟公司原法人代表，实为公司主要控股人。</w:t>
      </w:r>
      <w:r>
        <w:rPr>
          <w:rFonts w:hint="eastAsia" w:ascii="宋体" w:eastAsia="宋体" w:cs="宋体"/>
          <w:b/>
          <w:bCs/>
          <w:color w:val="333333"/>
          <w:shd w:val="clear" w:color="auto" w:fill="FFFFFF"/>
        </w:rPr>
        <w:t>张海峰</w:t>
      </w:r>
      <w:r>
        <w:rPr>
          <w:rFonts w:hint="eastAsia" w:ascii="宋体" w:eastAsia="宋体" w:cs="宋体"/>
          <w:color w:val="333333"/>
          <w:shd w:val="clear" w:color="auto" w:fill="FFFFFF"/>
        </w:rPr>
        <w:t>，九江中伟公司现法人代表，朱明亚女婿。</w:t>
      </w:r>
      <w:r>
        <w:rPr>
          <w:rFonts w:hint="eastAsia" w:ascii="宋体" w:eastAsia="宋体" w:cs="宋体"/>
          <w:b/>
          <w:bCs/>
          <w:color w:val="333333"/>
          <w:shd w:val="clear" w:color="auto" w:fill="FFFFFF"/>
        </w:rPr>
        <w:t>吴佳</w:t>
      </w:r>
      <w:r>
        <w:rPr>
          <w:rFonts w:hint="eastAsia" w:ascii="宋体" w:eastAsia="宋体" w:cs="宋体"/>
          <w:color w:val="333333"/>
          <w:shd w:val="clear" w:color="auto" w:fill="FFFFFF"/>
        </w:rPr>
        <w:t>，上海硅品国际贸易有限公司主要负责人。</w:t>
      </w:r>
      <w:r>
        <w:rPr>
          <w:rFonts w:hint="eastAsia" w:ascii="宋体" w:eastAsia="宋体" w:cs="宋体"/>
          <w:b/>
          <w:bCs/>
          <w:color w:val="333333"/>
          <w:shd w:val="clear" w:color="auto" w:fill="FFFFFF"/>
        </w:rPr>
        <w:t>朱明松</w:t>
      </w:r>
      <w:r>
        <w:rPr>
          <w:rFonts w:hint="eastAsia" w:ascii="宋体" w:eastAsia="宋体" w:cs="宋体"/>
          <w:color w:val="333333"/>
          <w:shd w:val="clear" w:color="auto" w:fill="FFFFFF"/>
        </w:rPr>
        <w:t>，2013年12月进入九江泽美硅材料有限公司，从事维修工工作，曾在九江中伟公司工作，与朱明亚系堂兄弟。</w:t>
      </w:r>
      <w:r>
        <w:rPr>
          <w:rFonts w:hint="eastAsia" w:ascii="宋体" w:eastAsia="宋体" w:cs="宋体"/>
          <w:b/>
          <w:bCs/>
          <w:color w:val="333333"/>
          <w:shd w:val="clear" w:color="auto" w:fill="FFFFFF"/>
        </w:rPr>
        <w:t>顾海峰</w:t>
      </w:r>
      <w:r>
        <w:rPr>
          <w:rFonts w:hint="eastAsia" w:ascii="宋体" w:eastAsia="宋体" w:cs="宋体"/>
          <w:color w:val="333333"/>
          <w:shd w:val="clear" w:color="auto" w:fill="FFFFFF"/>
        </w:rPr>
        <w:t>，九江中伟公司工作人员。</w:t>
      </w:r>
      <w:r>
        <w:rPr>
          <w:rFonts w:hint="eastAsia" w:ascii="宋体" w:eastAsia="宋体" w:cs="宋体"/>
          <w:b/>
          <w:bCs/>
          <w:color w:val="333333"/>
          <w:shd w:val="clear" w:color="auto" w:fill="FFFFFF"/>
        </w:rPr>
        <w:t>黄斌</w:t>
      </w:r>
      <w:r>
        <w:rPr>
          <w:rFonts w:hint="eastAsia" w:ascii="宋体" w:eastAsia="宋体" w:cs="宋体"/>
          <w:color w:val="333333"/>
          <w:shd w:val="clear" w:color="auto" w:fill="FFFFFF"/>
        </w:rPr>
        <w:t>，自然人，焊接与热切割作业特作人员（证号：T360425197204203719，有效期：2012年07月31日至2018年07月31日），与朱明松系朋友关系。</w:t>
      </w:r>
      <w:r>
        <w:rPr>
          <w:rFonts w:hint="eastAsia" w:ascii="宋体" w:eastAsia="宋体" w:cs="宋体"/>
          <w:b/>
          <w:bCs/>
          <w:color w:val="333333"/>
          <w:shd w:val="clear" w:color="auto" w:fill="FFFFFF"/>
        </w:rPr>
        <w:t>杨球</w:t>
      </w:r>
      <w:r>
        <w:rPr>
          <w:rFonts w:hint="eastAsia" w:ascii="宋体" w:eastAsia="宋体" w:cs="宋体"/>
          <w:color w:val="333333"/>
          <w:shd w:val="clear" w:color="auto" w:fill="FFFFFF"/>
        </w:rPr>
        <w:t>，自然人，黄斌临时叫来配合做事的工人。</w:t>
      </w:r>
      <w:r>
        <w:rPr>
          <w:rFonts w:hint="eastAsia" w:ascii="宋体" w:eastAsia="宋体" w:cs="宋体"/>
          <w:b/>
          <w:bCs/>
          <w:color w:val="333333"/>
          <w:shd w:val="clear" w:color="auto" w:fill="FFFFFF"/>
        </w:rPr>
        <w:t>肖赣明</w:t>
      </w:r>
      <w:r>
        <w:rPr>
          <w:rFonts w:hint="eastAsia" w:ascii="宋体" w:eastAsia="宋体" w:cs="宋体"/>
          <w:color w:val="333333"/>
          <w:shd w:val="clear" w:color="auto" w:fill="FFFFFF"/>
        </w:rPr>
        <w:t>，江西洁球环保科技有限公司经理，与吴佳有业务关系；与黄斌曾在永修有机硅厂的同事，系朋友关系，2月9日从外省返回时在湖口歇息，次日回永修。 </w:t>
      </w:r>
    </w:p>
    <w:p>
      <w:pPr>
        <w:pStyle w:val="32"/>
        <w:wordWrap w:val="0"/>
        <w:ind w:firstLine="562"/>
        <w:rPr>
          <w:rFonts w:ascii="宋体" w:eastAsia="宋体" w:cs="宋体"/>
        </w:rPr>
      </w:pPr>
      <w:r>
        <w:rPr>
          <w:rFonts w:hint="eastAsia" w:ascii="宋体" w:eastAsia="宋体" w:cs="宋体"/>
          <w:b/>
          <w:bCs/>
          <w:color w:val="333333"/>
          <w:shd w:val="clear" w:color="auto" w:fill="FFFFFF"/>
        </w:rPr>
        <w:t>③硫酸储罐租赁情况：</w:t>
      </w:r>
      <w:r>
        <w:rPr>
          <w:rFonts w:hint="eastAsia" w:ascii="宋体" w:eastAsia="宋体" w:cs="宋体"/>
          <w:color w:val="333333"/>
          <w:shd w:val="clear" w:color="auto" w:fill="FFFFFF"/>
        </w:rPr>
        <w:t>2018年1月底，朱明松从顾海峰处得知九江中伟公司（甲方）欲出租闲置的两个硫酸储罐用于支付2016年检修期间所欠工人的工资，正在与有关公司人员联系，而朱明松也获悉上海硅品国际贸易有限公司（乙方）要租赁储罐储存甲基含氢硅油（甲基含氢硅油，闪点大于160℃，不属于危险化学品）用于贸易交易，就将信息分别告知了朱明亚和吴佳。朱明亚获悉信息后在外地主动电话联系了吴佳，两人经多次协商达成协议后，朱明亚就叫张海峰联系吴佳签订相关合同。双方于2月4日签订了《储罐租赁合同》，在合同中约定：租赁期限从2018年2月10日至2019年2月9日；甲方需将储罐维修和清理干净，且对储罐交付乙方正常使用前的相关作业（包括但不限于原物料转运、清理清洗置换等）的所有安全负责。乙方对事故储罐的维修和清理作业不承担安全责任。 </w:t>
      </w:r>
    </w:p>
    <w:p>
      <w:pPr>
        <w:pStyle w:val="32"/>
        <w:wordWrap w:val="0"/>
        <w:ind w:firstLine="562"/>
        <w:rPr>
          <w:rFonts w:ascii="宋体" w:eastAsia="宋体" w:cs="宋体"/>
        </w:rPr>
      </w:pPr>
      <w:r>
        <w:rPr>
          <w:rFonts w:hint="eastAsia" w:ascii="宋体" w:eastAsia="宋体" w:cs="宋体"/>
          <w:b/>
          <w:bCs/>
          <w:color w:val="333333"/>
          <w:shd w:val="clear" w:color="auto" w:fill="FFFFFF"/>
        </w:rPr>
        <w:t>二、湖口县安监局监管情况</w:t>
      </w:r>
      <w:r>
        <w:rPr>
          <w:rFonts w:hint="eastAsia" w:ascii="宋体" w:eastAsia="宋体" w:cs="宋体"/>
          <w:color w:val="333333"/>
          <w:shd w:val="clear" w:color="auto" w:fill="FFFFFF"/>
        </w:rPr>
        <w:t> </w:t>
      </w:r>
    </w:p>
    <w:p>
      <w:pPr>
        <w:pStyle w:val="32"/>
        <w:wordWrap w:val="0"/>
        <w:ind w:firstLine="562"/>
        <w:rPr>
          <w:rFonts w:ascii="宋体" w:eastAsia="宋体" w:cs="宋体"/>
        </w:rPr>
      </w:pPr>
      <w:r>
        <w:rPr>
          <w:rFonts w:hint="eastAsia" w:ascii="宋体" w:eastAsia="宋体" w:cs="宋体"/>
          <w:b/>
          <w:bCs/>
          <w:color w:val="333333"/>
          <w:shd w:val="clear" w:color="auto" w:fill="FFFFFF"/>
        </w:rPr>
        <w:t>（一）日常监管情况。</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1）2017年5月份，湖口县人民政府购买服务聘请深圳佳保公司专家对九江中伟公司现场进行了安全诊断，共查出工艺安全类、消防安全类、电气安全类、其他安全类等安全隐患21条，由县安监局督促其整改，但公司因资金不足部分隐患未能整改到位。 </w:t>
      </w:r>
    </w:p>
    <w:p>
      <w:pPr>
        <w:pStyle w:val="32"/>
        <w:wordWrap w:val="0"/>
        <w:ind w:firstLine="560"/>
        <w:rPr>
          <w:rFonts w:ascii="宋体" w:eastAsia="宋体" w:cs="宋体"/>
        </w:rPr>
      </w:pPr>
      <w:r>
        <w:rPr>
          <w:rFonts w:hint="eastAsia" w:ascii="宋体" w:eastAsia="宋体" w:cs="宋体"/>
          <w:color w:val="333333"/>
          <w:shd w:val="clear" w:color="auto" w:fill="FFFFFF"/>
        </w:rPr>
        <w:t>（2）2017年8月19日，县安监局对停产期间的九江中伟公司进行了安全检查和复查，发现有部分隐患仍未整改到位，县局要求其整改到位后必须申请复查，但由于企业多种原因一直不能整改到位。在国庆、十九大及春节期间也多次对九江中伟公司进行了巡查，该公司一直处于停产状态，工业电源已被断掉，现场无人管理。 </w:t>
      </w:r>
    </w:p>
    <w:p>
      <w:pPr>
        <w:pStyle w:val="32"/>
        <w:wordWrap w:val="0"/>
        <w:ind w:firstLine="560"/>
        <w:rPr>
          <w:rFonts w:ascii="宋体" w:eastAsia="宋体" w:cs="宋体"/>
        </w:rPr>
      </w:pPr>
      <w:r>
        <w:rPr>
          <w:rFonts w:hint="eastAsia" w:ascii="宋体" w:eastAsia="宋体" w:cs="宋体"/>
          <w:color w:val="333333"/>
          <w:shd w:val="clear" w:color="auto" w:fill="FFFFFF"/>
        </w:rPr>
        <w:t>（3）</w:t>
      </w:r>
      <w:r>
        <w:rPr>
          <w:rFonts w:hint="eastAsia" w:ascii="宋体" w:eastAsia="宋体" w:cs="宋体"/>
          <w:color w:val="333333"/>
          <w:spacing w:val="-6"/>
          <w:shd w:val="clear" w:color="auto" w:fill="FFFFFF"/>
        </w:rPr>
        <w:t>湖口县安委办已将九江中伟公司列入湖口县安全生产不良记录“黑名单”中（共有12家），于2017年10月9日在九江日报上向社会公布。</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（二）监管中存在的主要问题： </w:t>
      </w:r>
    </w:p>
    <w:p>
      <w:pPr>
        <w:pStyle w:val="32"/>
        <w:wordWrap w:val="0"/>
        <w:ind w:firstLine="560"/>
        <w:rPr>
          <w:rFonts w:ascii="宋体" w:eastAsia="宋体" w:cs="宋体"/>
        </w:rPr>
      </w:pPr>
      <w:r>
        <w:rPr>
          <w:rFonts w:hint="eastAsia" w:ascii="宋体" w:eastAsia="宋体" w:cs="宋体"/>
          <w:color w:val="333333"/>
          <w:shd w:val="clear" w:color="auto" w:fill="FFFFFF"/>
        </w:rPr>
        <w:t>（1）县安监局对九江中伟公司停产期间的安全监管责任履行不到位。一是该公司停产期间未按《危险化品安全管理条例》的有关规定向县安监局报备，县安监局未按照规定进行处理；二是县安监局没有主动会同相关职能部门对该公司停产期间危化品处置情况进行监督检查。 </w:t>
      </w:r>
    </w:p>
    <w:p>
      <w:pPr>
        <w:pStyle w:val="32"/>
        <w:wordWrap w:val="0"/>
        <w:ind w:firstLine="560"/>
        <w:rPr>
          <w:rFonts w:ascii="宋体" w:eastAsia="宋体" w:cs="宋体"/>
        </w:rPr>
      </w:pPr>
      <w:r>
        <w:rPr>
          <w:rFonts w:hint="eastAsia" w:ascii="宋体" w:eastAsia="宋体" w:cs="宋体"/>
          <w:color w:val="333333"/>
          <w:shd w:val="clear" w:color="auto" w:fill="FFFFFF"/>
        </w:rPr>
        <w:t>（2）</w:t>
      </w:r>
      <w:r>
        <w:rPr>
          <w:rFonts w:hint="eastAsia" w:ascii="宋体" w:eastAsia="宋体" w:cs="宋体"/>
          <w:color w:val="333333"/>
          <w:spacing w:val="-6"/>
          <w:shd w:val="clear" w:color="auto" w:fill="FFFFFF"/>
        </w:rPr>
        <w:t>县安监局对安全生产法律法规学习不深、研究不透、执行不力，没有切实履行《危险化学品安全管理条例》第27条和第82条的有关规定，对九江中伟公司缺乏有效监管，对其安全隐患排查浮在面上，流于形式，不实不细末端落实不到位，致使安全隐患没有及时发现和根本消除履职履责不力。</w:t>
      </w:r>
      <w:r>
        <w:rPr>
          <w:rFonts w:hint="eastAsia" w:ascii="宋体" w:eastAsia="宋体" w:cs="宋体"/>
          <w:color w:val="333333"/>
          <w:shd w:val="clear" w:color="auto" w:fill="FFFFFF"/>
        </w:rPr>
        <w:t> </w:t>
      </w:r>
    </w:p>
    <w:p>
      <w:pPr>
        <w:pStyle w:val="32"/>
        <w:wordWrap w:val="0"/>
        <w:ind w:firstLine="562"/>
        <w:rPr>
          <w:rFonts w:ascii="宋体" w:eastAsia="宋体" w:cs="宋体"/>
        </w:rPr>
      </w:pPr>
      <w:r>
        <w:rPr>
          <w:rFonts w:hint="eastAsia" w:ascii="宋体" w:eastAsia="宋体" w:cs="宋体"/>
          <w:b/>
          <w:bCs/>
          <w:color w:val="333333"/>
          <w:shd w:val="clear" w:color="auto" w:fill="FFFFFF"/>
        </w:rPr>
        <w:t>三、事故概况</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（一）事故发生时间：2018年2月10日8时50分许。 </w:t>
      </w:r>
    </w:p>
    <w:p>
      <w:pPr>
        <w:pStyle w:val="32"/>
        <w:wordWrap w:val="0"/>
        <w:ind w:firstLine="560"/>
        <w:rPr>
          <w:rFonts w:ascii="宋体" w:eastAsia="宋体" w:cs="宋体"/>
        </w:rPr>
      </w:pPr>
      <w:r>
        <w:rPr>
          <w:rFonts w:hint="eastAsia" w:ascii="宋体" w:eastAsia="宋体" w:cs="宋体"/>
          <w:color w:val="333333"/>
          <w:shd w:val="clear" w:color="auto" w:fill="FFFFFF"/>
        </w:rPr>
        <w:t>（二）事故发生地点：九江中伟科技化工有限公司硫酸储罐区。 </w:t>
      </w:r>
    </w:p>
    <w:p>
      <w:pPr>
        <w:pStyle w:val="32"/>
        <w:wordWrap w:val="0"/>
        <w:ind w:firstLine="560"/>
        <w:rPr>
          <w:rFonts w:ascii="宋体" w:eastAsia="宋体" w:cs="宋体"/>
        </w:rPr>
      </w:pPr>
      <w:r>
        <w:rPr>
          <w:rFonts w:hint="eastAsia" w:ascii="宋体" w:eastAsia="宋体" w:cs="宋体"/>
          <w:color w:val="333333"/>
          <w:shd w:val="clear" w:color="auto" w:fill="FFFFFF"/>
        </w:rPr>
        <w:t>（三）事故发生单位: 九江中伟科技化工有限公司。 </w:t>
      </w:r>
    </w:p>
    <w:p>
      <w:pPr>
        <w:pStyle w:val="32"/>
        <w:wordWrap w:val="0"/>
        <w:ind w:firstLine="560"/>
        <w:rPr>
          <w:rFonts w:ascii="宋体" w:eastAsia="宋体" w:cs="宋体"/>
        </w:rPr>
      </w:pPr>
      <w:r>
        <w:rPr>
          <w:rFonts w:hint="eastAsia" w:ascii="宋体" w:eastAsia="宋体" w:cs="宋体"/>
          <w:color w:val="333333"/>
          <w:shd w:val="clear" w:color="auto" w:fill="FFFFFF"/>
        </w:rPr>
        <w:t>（四）事故类别：爆炸事故。 </w:t>
      </w:r>
    </w:p>
    <w:p>
      <w:pPr>
        <w:pStyle w:val="32"/>
        <w:wordWrap w:val="0"/>
        <w:ind w:firstLine="560"/>
        <w:rPr>
          <w:rFonts w:ascii="宋体" w:eastAsia="宋体" w:cs="宋体"/>
        </w:rPr>
      </w:pPr>
      <w:r>
        <w:rPr>
          <w:rFonts w:hint="eastAsia" w:ascii="宋体" w:eastAsia="宋体" w:cs="宋体"/>
          <w:color w:val="333333"/>
          <w:shd w:val="clear" w:color="auto" w:fill="FFFFFF"/>
        </w:rPr>
        <w:t>（五）事故伤亡情况：2人死亡。死者：黄斌，男，46岁，江西永修县人，无业人员。死者：杨球，男。54岁，江西湖口县人，无业人员。 </w:t>
      </w:r>
    </w:p>
    <w:p>
      <w:pPr>
        <w:pStyle w:val="32"/>
        <w:wordWrap w:val="0"/>
        <w:ind w:firstLine="560"/>
        <w:rPr>
          <w:rFonts w:ascii="宋体" w:eastAsia="宋体" w:cs="宋体"/>
        </w:rPr>
      </w:pPr>
      <w:r>
        <w:rPr>
          <w:rFonts w:hint="eastAsia" w:ascii="宋体" w:eastAsia="宋体" w:cs="宋体"/>
          <w:color w:val="333333"/>
          <w:shd w:val="clear" w:color="auto" w:fill="FFFFFF"/>
        </w:rPr>
        <w:t>（六）直接经济损失：约170万元。 </w:t>
      </w:r>
    </w:p>
    <w:p>
      <w:pPr>
        <w:pStyle w:val="32"/>
        <w:wordWrap w:val="0"/>
        <w:ind w:firstLine="562"/>
        <w:rPr>
          <w:rFonts w:ascii="宋体" w:eastAsia="宋体" w:cs="宋体"/>
        </w:rPr>
      </w:pPr>
      <w:r>
        <w:rPr>
          <w:rFonts w:hint="eastAsia" w:ascii="宋体" w:eastAsia="宋体" w:cs="宋体"/>
          <w:b/>
          <w:bCs/>
          <w:color w:val="333333"/>
          <w:shd w:val="clear" w:color="auto" w:fill="FFFFFF"/>
        </w:rPr>
        <w:t>四</w:t>
      </w:r>
      <w:r>
        <w:rPr>
          <w:rFonts w:hint="eastAsia" w:ascii="宋体" w:eastAsia="宋体" w:cs="宋体"/>
          <w:color w:val="333333"/>
          <w:shd w:val="clear" w:color="auto" w:fill="FFFFFF"/>
        </w:rPr>
        <w:t>、</w:t>
      </w:r>
      <w:r>
        <w:rPr>
          <w:rFonts w:hint="eastAsia" w:ascii="宋体" w:eastAsia="宋体" w:cs="宋体"/>
          <w:b/>
          <w:bCs/>
          <w:color w:val="333333"/>
          <w:shd w:val="clear" w:color="auto" w:fill="FFFFFF"/>
        </w:rPr>
        <w:t>事故发生经过、事故救援及报告情况</w:t>
      </w:r>
      <w:r>
        <w:rPr>
          <w:rFonts w:hint="eastAsia" w:ascii="宋体" w:eastAsia="宋体" w:cs="宋体"/>
          <w:color w:val="333333"/>
          <w:shd w:val="clear" w:color="auto" w:fill="FFFFFF"/>
        </w:rPr>
        <w:t> </w:t>
      </w:r>
    </w:p>
    <w:p>
      <w:pPr>
        <w:pStyle w:val="32"/>
        <w:wordWrap w:val="0"/>
        <w:ind w:firstLine="562"/>
        <w:rPr>
          <w:rFonts w:ascii="宋体" w:eastAsia="宋体" w:cs="宋体"/>
        </w:rPr>
      </w:pPr>
      <w:r>
        <w:rPr>
          <w:rFonts w:hint="eastAsia" w:ascii="宋体" w:eastAsia="宋体" w:cs="宋体"/>
          <w:b/>
          <w:bCs/>
          <w:color w:val="333333"/>
          <w:shd w:val="clear" w:color="auto" w:fill="FFFFFF"/>
        </w:rPr>
        <w:t>（一）事故发生经过。</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2月4日甲乙双方签订了《储罐租赁合同》，按照合同约定甲方需将长期未使用的硫酸储罐进行维修和清理干净，才能交付给乙方。朱明亚就委托朱明松帮他找人维修和清理硫酸储罐，工钱为5000元。朱明松担心朱明亚支付不起工钱，就让他联系吴佳，让吴佳先垫付5000元工钱。朱明亚联系了吴佳，叫其先支付工钱，再从租金里扣除。得知吴佳先垫付工钱，朱明松就联系了黄斌告知有维修和清理罐子的业务，并口头达成600元/天的协议，黄斌随后联系了杨球一起做事。2月8日上午，朱明松、黄斌和杨球来到了九江中伟公司储罐罐区，朱明松现场支付给黄斌2000元工钱。黄斌在现场察看了储罐后，就叫朱明松把储罐加满水，他和杨球开始拆除储罐下的管道（拆下来的管道内有稀酸泥），并更换了罐子底部的人孔法兰。2月9日9时30分，储罐已住满水，并从罐顶的人孔溢出。当天，杨球配合黄斌在储罐的顶部进行了焊接作业（焊接作业用电是九江中伟公司安排从外围接的线），更换了两个人孔的法兰片。2月10日，肖赣明准备开车回永修，黄斌就叫肖赣明顺带送他和杨球到九江中伟公司。8时30分左右3人到达九江中伟公司，离作业现场有一段距离，杨球下车后就做焊接作业前的准备工作。肖赣明和黄斌在罐区边闲聊了一会后，黄斌就上罐顶进行焊接作业，肖赣明则向停车的方向走去准备回永修，刚打开车门，就听到一声闷响，他就立即返回罐区察看，就看到杨球已被震落到围堰内的地面上，肖赣明绕着罐区转了几圈没有找到黄斌。 </w:t>
      </w:r>
    </w:p>
    <w:p>
      <w:pPr>
        <w:pStyle w:val="32"/>
        <w:wordWrap w:val="0"/>
        <w:ind w:firstLine="562"/>
        <w:rPr>
          <w:rFonts w:ascii="宋体" w:eastAsia="宋体" w:cs="宋体"/>
        </w:rPr>
      </w:pPr>
      <w:r>
        <w:rPr>
          <w:rFonts w:hint="eastAsia" w:ascii="宋体" w:eastAsia="宋体" w:cs="宋体"/>
          <w:b/>
          <w:bCs/>
          <w:color w:val="333333"/>
          <w:shd w:val="clear" w:color="auto" w:fill="FFFFFF"/>
        </w:rPr>
        <w:t>（二）事故救援情况。</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事故发生后，肖赣明立即打电话告知吴佳说九江中伟公司罐区作业出事了。吴佳当即向湖口县安监局报告了事故情况。县安监局、县消防大队、县园区管委会获悉情况后立即赶到事故现场组织救援。杨球被送往县医院救治，经抢救无效死亡。县安监局组织人员打开储罐人孔放水，约两小时后，消防人员从人孔进入罐内搜救，在罐底找到黄斌，经医生现场确认黄斌已亡。  </w:t>
      </w:r>
    </w:p>
    <w:p>
      <w:pPr>
        <w:pStyle w:val="32"/>
        <w:wordWrap w:val="0"/>
        <w:ind w:firstLine="562"/>
        <w:rPr>
          <w:rFonts w:ascii="宋体" w:eastAsia="宋体" w:cs="宋体"/>
        </w:rPr>
      </w:pPr>
      <w:r>
        <w:rPr>
          <w:rFonts w:hint="eastAsia" w:ascii="宋体" w:eastAsia="宋体" w:cs="宋体"/>
          <w:b/>
          <w:bCs/>
          <w:color w:val="333333"/>
          <w:shd w:val="clear" w:color="auto" w:fill="FFFFFF"/>
        </w:rPr>
        <w:t>（</w:t>
      </w:r>
      <w:r>
        <w:rPr>
          <w:rFonts w:hint="eastAsia" w:ascii="宋体" w:eastAsia="宋体" w:cs="宋体"/>
          <w:b/>
          <w:bCs/>
          <w:color w:val="333333"/>
          <w:shd w:val="clear" w:color="auto" w:fill="FFFFFF"/>
          <w:lang w:val="en-US" w:eastAsia="zh-CN"/>
        </w:rPr>
        <w:t>三</w:t>
      </w:r>
      <w:r>
        <w:rPr>
          <w:rFonts w:hint="eastAsia" w:ascii="宋体" w:eastAsia="宋体" w:cs="宋体"/>
          <w:b/>
          <w:bCs/>
          <w:color w:val="333333"/>
          <w:shd w:val="clear" w:color="auto" w:fill="FFFFFF"/>
        </w:rPr>
        <w:t>）善后处理情况。</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事故发生后，湖口县委、县政府积极做好了黄斌、杨球家属安抚和赔偿工作。死者家属对善后工作予以认可。 </w:t>
      </w:r>
    </w:p>
    <w:p>
      <w:pPr>
        <w:pStyle w:val="32"/>
        <w:wordWrap w:val="0"/>
        <w:ind w:firstLine="562"/>
        <w:rPr>
          <w:rFonts w:ascii="宋体" w:eastAsia="宋体" w:cs="宋体"/>
        </w:rPr>
      </w:pPr>
      <w:r>
        <w:rPr>
          <w:rFonts w:hint="eastAsia" w:ascii="宋体" w:eastAsia="宋体" w:cs="宋体"/>
          <w:b/>
          <w:bCs/>
          <w:color w:val="333333"/>
          <w:shd w:val="clear" w:color="auto" w:fill="FFFFFF"/>
        </w:rPr>
        <w:t>五、事故发生的原因</w:t>
      </w:r>
      <w:r>
        <w:rPr>
          <w:rFonts w:hint="eastAsia" w:ascii="宋体" w:eastAsia="宋体" w:cs="宋体"/>
          <w:color w:val="333333"/>
          <w:shd w:val="clear" w:color="auto" w:fill="FFFFFF"/>
        </w:rPr>
        <w:t> </w:t>
      </w:r>
    </w:p>
    <w:p>
      <w:pPr>
        <w:pStyle w:val="32"/>
        <w:wordWrap w:val="0"/>
        <w:ind w:firstLine="562"/>
        <w:rPr>
          <w:rFonts w:ascii="宋体" w:eastAsia="宋体" w:cs="宋体"/>
        </w:rPr>
      </w:pPr>
      <w:r>
        <w:rPr>
          <w:rFonts w:hint="eastAsia" w:ascii="宋体" w:eastAsia="宋体" w:cs="宋体"/>
          <w:b/>
          <w:bCs/>
          <w:color w:val="333333"/>
          <w:shd w:val="clear" w:color="auto" w:fill="FFFFFF"/>
        </w:rPr>
        <w:t>（一）直接原因。</w:t>
      </w:r>
      <w:r>
        <w:rPr>
          <w:rFonts w:hint="eastAsia" w:ascii="宋体" w:eastAsia="宋体" w:cs="宋体"/>
          <w:color w:val="333333"/>
          <w:shd w:val="clear" w:color="auto" w:fill="FFFFFF"/>
        </w:rPr>
        <w:t> </w:t>
      </w:r>
    </w:p>
    <w:p>
      <w:pPr>
        <w:pStyle w:val="32"/>
        <w:wordWrap w:val="0"/>
        <w:ind w:firstLine="536"/>
        <w:rPr>
          <w:rFonts w:ascii="宋体" w:eastAsia="宋体" w:cs="宋体"/>
        </w:rPr>
      </w:pPr>
      <w:r>
        <w:rPr>
          <w:rFonts w:hint="eastAsia" w:ascii="宋体" w:eastAsia="宋体" w:cs="宋体"/>
          <w:color w:val="333333"/>
          <w:spacing w:val="-6"/>
          <w:shd w:val="clear" w:color="auto" w:fill="FFFFFF"/>
        </w:rPr>
        <w:t>作业人员黄斌、杨球违反《化学品生产单位特殊作业安全规范》（GB30871-2014）第5条的有关规定，在原储存过浓硫酸的储罐顶部进行焊接作业，作业过程中产生的火花引爆了罐顶内含氢混合性气体，造成了爆炸事故。</w:t>
      </w:r>
      <w:r>
        <w:rPr>
          <w:rFonts w:hint="eastAsia" w:ascii="宋体" w:eastAsia="宋体" w:cs="宋体"/>
          <w:color w:val="333333"/>
          <w:shd w:val="clear" w:color="auto" w:fill="FFFFFF"/>
        </w:rPr>
        <w:t>  </w:t>
      </w:r>
    </w:p>
    <w:p>
      <w:pPr>
        <w:pStyle w:val="32"/>
        <w:keepNext w:val="0"/>
        <w:keepLines w:val="0"/>
        <w:pageBreakBefore w:val="0"/>
        <w:widowControl/>
        <w:kinsoku/>
        <w:wordWrap w:val="0"/>
        <w:overflowPunct/>
        <w:topLinePunct w:val="0"/>
        <w:autoSpaceDE/>
        <w:autoSpaceDN/>
        <w:bidi w:val="0"/>
        <w:adjustRightInd w:val="0"/>
        <w:snapToGrid w:val="0"/>
        <w:ind w:firstLine="560"/>
        <w:textAlignment w:val="auto"/>
        <w:rPr>
          <w:rFonts w:ascii="宋体" w:eastAsia="宋体" w:cs="宋体"/>
        </w:rPr>
      </w:pPr>
      <w:r>
        <w:rPr>
          <w:rFonts w:hint="eastAsia" w:ascii="宋体" w:eastAsia="宋体" w:cs="宋体"/>
          <w:color w:val="333333"/>
          <w:shd w:val="clear" w:color="auto" w:fill="FFFFFF"/>
        </w:rPr>
        <w:t>从2月8日至2月9日9时30分连续向硫酸储罐注水，直到水从顶盖水平较低处人孔溢出止，较高处人孔距离顶端高度约0.45M左右，形成较为封闭的空间。在连续注水过程中，底部混合泥渣中的浓硫酸稀释后开始腐蚀储罐内壁，发生以下反应：H</w:t>
      </w:r>
      <w:r>
        <w:rPr>
          <w:rFonts w:hint="eastAsia" w:ascii="宋体" w:eastAsia="宋体" w:cs="宋体"/>
          <w:color w:val="333333"/>
          <w:shd w:val="clear" w:color="auto" w:fill="FFFFFF"/>
          <w:vertAlign w:val="subscript"/>
        </w:rPr>
        <w:t>2</w:t>
      </w:r>
      <w:r>
        <w:rPr>
          <w:rFonts w:hint="eastAsia" w:ascii="宋体" w:eastAsia="宋体" w:cs="宋体"/>
          <w:color w:val="333333"/>
          <w:shd w:val="clear" w:color="auto" w:fill="FFFFFF"/>
        </w:rPr>
        <w:t>SO</w:t>
      </w:r>
      <w:r>
        <w:rPr>
          <w:rFonts w:hint="eastAsia" w:ascii="宋体" w:eastAsia="宋体" w:cs="宋体"/>
          <w:color w:val="333333"/>
          <w:shd w:val="clear" w:color="auto" w:fill="FFFFFF"/>
          <w:vertAlign w:val="subscript"/>
        </w:rPr>
        <w:t>4</w:t>
      </w:r>
      <w:r>
        <w:rPr>
          <w:rFonts w:hint="eastAsia" w:ascii="宋体" w:eastAsia="宋体" w:cs="宋体"/>
          <w:color w:val="333333"/>
          <w:shd w:val="clear" w:color="auto" w:fill="FFFFFF"/>
        </w:rPr>
        <w:t>+Fe→FeSO</w:t>
      </w:r>
      <w:r>
        <w:rPr>
          <w:rFonts w:hint="eastAsia" w:ascii="宋体" w:eastAsia="宋体" w:cs="宋体"/>
          <w:color w:val="333333"/>
          <w:shd w:val="clear" w:color="auto" w:fill="FFFFFF"/>
          <w:vertAlign w:val="subscript"/>
        </w:rPr>
        <w:t>4</w:t>
      </w:r>
      <w:r>
        <w:rPr>
          <w:rFonts w:hint="eastAsia" w:ascii="宋体" w:eastAsia="宋体" w:cs="宋体"/>
          <w:color w:val="333333"/>
          <w:shd w:val="clear" w:color="auto" w:fill="FFFFFF"/>
        </w:rPr>
        <w:t>+H</w:t>
      </w:r>
      <w:r>
        <w:rPr>
          <w:rFonts w:hint="eastAsia" w:ascii="宋体" w:eastAsia="宋体" w:cs="宋体"/>
          <w:color w:val="333333"/>
          <w:shd w:val="clear" w:color="auto" w:fill="FFFFFF"/>
          <w:vertAlign w:val="subscript"/>
        </w:rPr>
        <w:t>2</w:t>
      </w:r>
      <w:r>
        <w:rPr>
          <w:rFonts w:hint="eastAsia" w:ascii="宋体" w:eastAsia="宋体" w:cs="宋体"/>
          <w:color w:val="333333"/>
          <w:shd w:val="clear" w:color="auto" w:fill="FFFFFF"/>
          <w:lang w:eastAsia="zh-CN"/>
        </w:rPr>
        <w:t>，</w:t>
      </w:r>
      <w:r>
        <w:rPr>
          <w:rFonts w:hint="eastAsia" w:ascii="宋体" w:eastAsia="宋体" w:cs="宋体"/>
          <w:color w:val="333333"/>
          <w:shd w:val="clear" w:color="auto" w:fill="FFFFFF"/>
        </w:rPr>
        <w:t>除了少量浓硫酸形成的混合泥渣被稀释，同时发生的水解反应生成的氢离子促进了上述反应的</w:t>
      </w:r>
      <w:r>
        <w:rPr>
          <w:rFonts w:hint="eastAsia" w:ascii="宋体" w:eastAsia="宋体" w:cs="宋体"/>
          <w:color w:val="333333"/>
          <w:shd w:val="clear" w:color="auto" w:fill="FFFFFF"/>
          <w:lang w:val="en-US" w:eastAsia="zh-CN"/>
        </w:rPr>
        <w:t>进</w:t>
      </w:r>
      <w:r>
        <w:rPr>
          <w:rFonts w:hint="eastAsia" w:ascii="宋体" w:eastAsia="宋体" w:cs="宋体"/>
          <w:color w:val="333333"/>
          <w:shd w:val="clear" w:color="auto" w:fill="FFFFFF"/>
        </w:rPr>
        <w:t>行。 </w:t>
      </w:r>
    </w:p>
    <w:p>
      <w:pPr>
        <w:pStyle w:val="32"/>
        <w:wordWrap w:val="0"/>
        <w:ind w:firstLine="560"/>
        <w:rPr>
          <w:rFonts w:ascii="宋体" w:eastAsia="宋体" w:cs="宋体"/>
        </w:rPr>
      </w:pPr>
      <w:r>
        <w:rPr>
          <w:rFonts w:hint="eastAsia" w:ascii="宋体" w:eastAsia="宋体" w:cs="宋体"/>
          <w:color w:val="333333"/>
          <w:shd w:val="clear" w:color="auto" w:fill="FFFFFF"/>
        </w:rPr>
        <w:t>随着底部泥渣的逐步湿润分散，以及反应放出的热量，反应逐渐加快，产生的氢气因为比重小，从水体中逸散出来，大部分聚集在顶部近似圆锥形密闭区域，少部分从人孔和顶部的小孔逸散出，以达到压力平衡。由于反应持续进行，产生的氢气逐渐聚集在顶部至少约5M3空间内而形成较高浓度的含氢混合性气体。 </w:t>
      </w:r>
    </w:p>
    <w:p>
      <w:pPr>
        <w:pStyle w:val="32"/>
        <w:wordWrap w:val="0"/>
        <w:ind w:firstLine="562"/>
        <w:rPr>
          <w:rFonts w:ascii="宋体" w:eastAsia="宋体" w:cs="宋体"/>
        </w:rPr>
      </w:pPr>
      <w:r>
        <w:rPr>
          <w:rFonts w:hint="eastAsia" w:ascii="宋体" w:eastAsia="宋体" w:cs="宋体"/>
          <w:b/>
          <w:bCs/>
          <w:color w:val="333333"/>
          <w:shd w:val="clear" w:color="auto" w:fill="FFFFFF"/>
        </w:rPr>
        <w:t>（二）间接原因：</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1.作业人员黄斌、杨球不具备作业场所因注水发生化学反应而产生的危险因素的辨识能力，且违规进行动火作业。 </w:t>
      </w:r>
    </w:p>
    <w:p>
      <w:pPr>
        <w:pStyle w:val="32"/>
        <w:wordWrap w:val="0"/>
        <w:ind w:firstLine="560"/>
        <w:rPr>
          <w:rFonts w:ascii="宋体" w:eastAsia="宋体" w:cs="宋体"/>
        </w:rPr>
      </w:pPr>
      <w:r>
        <w:rPr>
          <w:rFonts w:hint="eastAsia" w:ascii="宋体" w:eastAsia="宋体" w:cs="宋体"/>
          <w:color w:val="333333"/>
          <w:shd w:val="clear" w:color="auto" w:fill="FFFFFF"/>
        </w:rPr>
        <w:t>2.九江中伟公司未落实《化学品生产单位特殊作业安全规范》的有关规定。一是公司未制定罐区动火作业方案；二是未安排专人监火；三是作业前未对作业场所进行动火分析；四是未按《动火作业票管理制度》进行审批，并开具作业票。 </w:t>
      </w:r>
    </w:p>
    <w:p>
      <w:pPr>
        <w:pStyle w:val="32"/>
        <w:wordWrap w:val="0"/>
        <w:ind w:firstLine="560"/>
        <w:rPr>
          <w:rFonts w:ascii="宋体" w:eastAsia="宋体" w:cs="宋体"/>
        </w:rPr>
      </w:pPr>
      <w:r>
        <w:rPr>
          <w:rFonts w:hint="eastAsia" w:ascii="宋体" w:eastAsia="宋体" w:cs="宋体"/>
          <w:color w:val="333333"/>
          <w:shd w:val="clear" w:color="auto" w:fill="FFFFFF"/>
        </w:rPr>
        <w:t>3.九江中伟公司未对临时作业人员进行安全教育培训、未进行安全交底、未告知作业场所和工作岗位可能存在的危险因素及防范措施的情况下就允许作业人员到罐区随意进行动火作业。 </w:t>
      </w:r>
    </w:p>
    <w:p>
      <w:pPr>
        <w:pStyle w:val="32"/>
        <w:wordWrap w:val="0"/>
        <w:ind w:firstLine="560"/>
        <w:rPr>
          <w:rFonts w:ascii="宋体" w:eastAsia="宋体" w:cs="宋体"/>
        </w:rPr>
      </w:pPr>
      <w:r>
        <w:rPr>
          <w:rFonts w:hint="eastAsia" w:ascii="宋体" w:eastAsia="宋体" w:cs="宋体"/>
          <w:color w:val="333333"/>
          <w:shd w:val="clear" w:color="auto" w:fill="FFFFFF"/>
        </w:rPr>
        <w:t>4.九江中伟公司安全管理混乱。主要负责人张海峰安全管理意识淡薄，因公司多年停产没有正常开展安全生产工作，而对罐区临时的维修和清理作业未引起重视，既未安排安全管理人员现场管理和监护，也未到现场检查、指导，对作业现场的安全管理完全失控，因此未能及时发现和制止作业人员的不安全行为，导致事故发生。 </w:t>
      </w:r>
    </w:p>
    <w:p>
      <w:pPr>
        <w:pStyle w:val="32"/>
        <w:wordWrap w:val="0"/>
        <w:ind w:firstLine="562"/>
        <w:rPr>
          <w:rFonts w:ascii="宋体" w:eastAsia="宋体" w:cs="宋体"/>
        </w:rPr>
      </w:pPr>
      <w:r>
        <w:rPr>
          <w:rFonts w:hint="eastAsia" w:ascii="宋体" w:eastAsia="宋体" w:cs="宋体"/>
          <w:b/>
          <w:bCs/>
          <w:color w:val="333333"/>
          <w:shd w:val="clear" w:color="auto" w:fill="FFFFFF"/>
        </w:rPr>
        <w:t>六、事故性质</w:t>
      </w:r>
      <w:r>
        <w:rPr>
          <w:rFonts w:hint="eastAsia" w:ascii="宋体" w:eastAsia="宋体" w:cs="宋体"/>
          <w:color w:val="333333"/>
          <w:shd w:val="clear" w:color="auto" w:fill="FFFFFF"/>
        </w:rPr>
        <w:t> “2·10”爆炸事故是一起一般生产安全责任事故。 </w:t>
      </w:r>
    </w:p>
    <w:p>
      <w:pPr>
        <w:pStyle w:val="32"/>
        <w:wordWrap w:val="0"/>
        <w:ind w:firstLine="562"/>
        <w:rPr>
          <w:rFonts w:ascii="宋体" w:eastAsia="宋体" w:cs="宋体"/>
        </w:rPr>
      </w:pPr>
      <w:r>
        <w:rPr>
          <w:rFonts w:hint="eastAsia" w:ascii="宋体" w:eastAsia="宋体" w:cs="宋体"/>
          <w:b/>
          <w:bCs/>
          <w:color w:val="333333"/>
          <w:shd w:val="clear" w:color="auto" w:fill="FFFFFF"/>
        </w:rPr>
        <w:t>七、对事故有关责任人员及责任单位的处理建议</w:t>
      </w:r>
      <w:r>
        <w:rPr>
          <w:rFonts w:hint="eastAsia" w:ascii="宋体" w:eastAsia="宋体" w:cs="宋体"/>
          <w:color w:val="333333"/>
          <w:shd w:val="clear" w:color="auto" w:fill="FFFFFF"/>
        </w:rPr>
        <w:t> </w:t>
      </w:r>
    </w:p>
    <w:p>
      <w:pPr>
        <w:pStyle w:val="32"/>
        <w:wordWrap w:val="0"/>
        <w:ind w:firstLine="562"/>
        <w:rPr>
          <w:rFonts w:ascii="宋体" w:eastAsia="宋体" w:cs="宋体"/>
        </w:rPr>
      </w:pPr>
      <w:r>
        <w:rPr>
          <w:rFonts w:hint="eastAsia" w:ascii="宋体" w:eastAsia="宋体" w:cs="宋体"/>
          <w:b/>
          <w:bCs/>
          <w:color w:val="333333"/>
          <w:shd w:val="clear" w:color="auto" w:fill="FFFFFF"/>
        </w:rPr>
        <w:t>（一）对有关责任人员的处理建议。</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1.黄斌，男，焊接与热切割特作人员。安全意识淡薄，不能正确辨识作业场所存在的危险因素，在原储存浓硫酸储罐罐体顶部违反《化学品生产单位特殊作业安全规范》的有关规定进行动火作业，造成爆炸事故的发生。黄斌是本次事故的直接责任人，鉴于其在事故中死亡，不予追究责任。 </w:t>
      </w:r>
    </w:p>
    <w:p>
      <w:pPr>
        <w:pStyle w:val="32"/>
        <w:wordWrap w:val="0"/>
        <w:ind w:firstLine="560"/>
        <w:rPr>
          <w:rFonts w:ascii="宋体" w:eastAsia="宋体" w:cs="宋体"/>
        </w:rPr>
      </w:pPr>
      <w:r>
        <w:rPr>
          <w:rFonts w:hint="eastAsia" w:ascii="宋体" w:eastAsia="宋体" w:cs="宋体"/>
          <w:color w:val="333333"/>
          <w:shd w:val="clear" w:color="auto" w:fill="FFFFFF"/>
        </w:rPr>
        <w:t>2.杨球，男，普工。安全意识淡薄，不能正确辨识作业场所存在的危险因素，在原储存浓硫酸储罐罐体顶部配合黄斌进行动火作业，造成爆炸事故的发生。杨球是本次事故的责任人，鉴于其在事故中死亡，不予追究责任。 </w:t>
      </w:r>
    </w:p>
    <w:p>
      <w:pPr>
        <w:pStyle w:val="32"/>
        <w:wordWrap w:val="0"/>
        <w:ind w:firstLine="560"/>
        <w:rPr>
          <w:rFonts w:ascii="宋体" w:eastAsia="宋体" w:cs="宋体"/>
        </w:rPr>
      </w:pPr>
      <w:r>
        <w:rPr>
          <w:rFonts w:hint="eastAsia" w:ascii="宋体" w:eastAsia="宋体" w:cs="宋体"/>
          <w:color w:val="333333"/>
          <w:shd w:val="clear" w:color="auto" w:fill="FFFFFF"/>
        </w:rPr>
        <w:t>3.张海峰，男，九江中伟公司法人代表。作为公司主要负责人，未按照规定组织对硫酸罐区的维修和清理作业、未落实安全教育培训和安全检查制度、对作业现场的安全管理失控，未能履行安全管理职责，对事故的发生负有主要领导责任。由九江市应急管理局依据《安全生产法》第九十二条第（一）项规定处以罚款。 </w:t>
      </w:r>
    </w:p>
    <w:p>
      <w:pPr>
        <w:pStyle w:val="32"/>
        <w:wordWrap w:val="0"/>
        <w:ind w:firstLine="560"/>
        <w:rPr>
          <w:rFonts w:ascii="宋体" w:eastAsia="宋体" w:cs="宋体"/>
        </w:rPr>
      </w:pPr>
      <w:r>
        <w:rPr>
          <w:rFonts w:hint="eastAsia" w:ascii="宋体" w:eastAsia="宋体" w:cs="宋体"/>
          <w:color w:val="333333"/>
          <w:shd w:val="clear" w:color="auto" w:fill="FFFFFF"/>
        </w:rPr>
        <w:t>4.吴美峰，男，原湖口县安监局危化股股长，具体负责危化品安全生产日常监管工作。没有切实履行《危险化学品安全管理条例》第27条和第82条的有关规定，对九江中伟公司缺乏有效监管，履职履责不力，对事故发生负有监管责任。由湖口县监察委根据《中国共产党问责条例》第六条之规定，对其进诫勉谈话。 </w:t>
      </w:r>
    </w:p>
    <w:p>
      <w:pPr>
        <w:pStyle w:val="32"/>
        <w:wordWrap w:val="0"/>
        <w:ind w:firstLine="560"/>
        <w:rPr>
          <w:rFonts w:ascii="宋体" w:eastAsia="宋体" w:cs="宋体"/>
        </w:rPr>
      </w:pPr>
      <w:r>
        <w:rPr>
          <w:rFonts w:hint="eastAsia" w:ascii="宋体" w:eastAsia="宋体" w:cs="宋体"/>
          <w:color w:val="333333"/>
          <w:shd w:val="clear" w:color="auto" w:fill="FFFFFF"/>
        </w:rPr>
        <w:t>5.杨秋林，男，原湖口县安监局副局长，分管危险化学品安全生产监督管理工作，负责对全县危化品生产、储存等情况进行监管。没有切实履行《危险化学品安全管理条例》第27条和第82条的有关规定，对九江中伟公司缺乏有效监管，对其安全隐患排查浮在面上，流于形式，不实不细，末端落实不到位，致使安全隐患没有及时发现和根本消除，履职履责不力，对事故发生负有领导责任。由湖口县监察委根据《公务员法》第五十七条之规定，对其进行警告处分。 </w:t>
      </w:r>
    </w:p>
    <w:p>
      <w:pPr>
        <w:pStyle w:val="32"/>
        <w:wordWrap w:val="0"/>
        <w:ind w:firstLine="560"/>
        <w:rPr>
          <w:rFonts w:ascii="宋体" w:eastAsia="宋体" w:cs="宋体"/>
        </w:rPr>
      </w:pPr>
      <w:r>
        <w:rPr>
          <w:rFonts w:hint="eastAsia" w:ascii="宋体" w:eastAsia="宋体" w:cs="宋体"/>
          <w:color w:val="333333"/>
          <w:shd w:val="clear" w:color="auto" w:fill="FFFFFF"/>
        </w:rPr>
        <w:t>6.孙浔波，男，原湖口县安监局局长，负责全局的安全生产工作。未将县委、县政府关于安全生产工作的相关要求认真落实到位，压力传导不够，抓末端落实不够，履职履责不力，对事故发生负有主要领导责任。由湖口县监察委根据《中国共产党问责条例》第六条之规定，责令其向湖口县委、县政府作出书面检查。 </w:t>
      </w:r>
    </w:p>
    <w:p>
      <w:pPr>
        <w:pStyle w:val="32"/>
        <w:wordWrap w:val="0"/>
        <w:ind w:firstLine="562"/>
        <w:rPr>
          <w:rFonts w:ascii="宋体" w:eastAsia="宋体" w:cs="宋体"/>
        </w:rPr>
      </w:pPr>
      <w:r>
        <w:rPr>
          <w:rFonts w:hint="eastAsia" w:ascii="宋体" w:eastAsia="宋体" w:cs="宋体"/>
          <w:b/>
          <w:bCs/>
          <w:color w:val="333333"/>
          <w:shd w:val="clear" w:color="auto" w:fill="FFFFFF"/>
        </w:rPr>
        <w:t>（二）对事故责任单位的处理建议</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九江中伟公司在罐区对硫酸储罐进行维修和清理作业过程中，未落实安全生产责任制，未落实安全生产教育培训制度、安全检查制度，特别是未执行《化学品生产单位特殊作业安全规范》的有关规定，违反了《安全生产法》第二十五条第一款、第四十条、第四十一条等有关规定，导致了“2·10”事故的发生，是事故的主体责任单位。由九江市应急管理局按照《安全生产法》第一百零九条第（一）项的规定处以罚款。 </w:t>
      </w:r>
    </w:p>
    <w:p>
      <w:pPr>
        <w:pStyle w:val="32"/>
        <w:wordWrap w:val="0"/>
        <w:ind w:firstLine="562"/>
        <w:rPr>
          <w:rFonts w:ascii="宋体" w:eastAsia="宋体" w:cs="宋体"/>
        </w:rPr>
      </w:pPr>
      <w:r>
        <w:rPr>
          <w:rFonts w:hint="eastAsia" w:ascii="宋体" w:eastAsia="宋体" w:cs="宋体"/>
          <w:b/>
          <w:bCs/>
          <w:color w:val="333333"/>
          <w:shd w:val="clear" w:color="auto" w:fill="FFFFFF"/>
        </w:rPr>
        <w:t>八、事故防范和整改措施建议</w:t>
      </w:r>
      <w:r>
        <w:rPr>
          <w:rFonts w:hint="eastAsia" w:ascii="宋体" w:eastAsia="宋体" w:cs="宋体"/>
          <w:color w:val="333333"/>
          <w:shd w:val="clear" w:color="auto" w:fill="FFFFFF"/>
        </w:rPr>
        <w:t> </w:t>
      </w:r>
    </w:p>
    <w:p>
      <w:pPr>
        <w:pStyle w:val="32"/>
        <w:wordWrap w:val="0"/>
        <w:ind w:firstLine="536"/>
        <w:rPr>
          <w:rFonts w:ascii="宋体" w:eastAsia="宋体" w:cs="宋体"/>
        </w:rPr>
      </w:pPr>
      <w:r>
        <w:rPr>
          <w:rFonts w:hint="eastAsia" w:ascii="宋体" w:eastAsia="宋体" w:cs="宋体"/>
          <w:color w:val="333333"/>
          <w:spacing w:val="-6"/>
          <w:shd w:val="clear" w:color="auto" w:fill="FFFFFF"/>
        </w:rPr>
        <w:t>湖口县应急管理局、九江中伟公司要深刻吸取事故教训，举一反三，全面落实安全生产责任制，加强安全生产工作，杜绝类似事故的再次发生。</w:t>
      </w:r>
      <w:r>
        <w:rPr>
          <w:rFonts w:hint="eastAsia" w:ascii="宋体" w:eastAsia="宋体" w:cs="宋体"/>
          <w:color w:val="333333"/>
          <w:shd w:val="clear" w:color="auto" w:fill="FFFFFF"/>
        </w:rPr>
        <w:t>  </w:t>
      </w:r>
    </w:p>
    <w:p>
      <w:pPr>
        <w:pStyle w:val="32"/>
        <w:wordWrap w:val="0"/>
        <w:ind w:firstLine="560"/>
        <w:rPr>
          <w:rFonts w:ascii="宋体" w:eastAsia="宋体" w:cs="宋体"/>
        </w:rPr>
      </w:pPr>
      <w:r>
        <w:rPr>
          <w:rFonts w:hint="eastAsia" w:ascii="宋体" w:eastAsia="宋体" w:cs="宋体"/>
          <w:color w:val="333333"/>
          <w:shd w:val="clear" w:color="auto" w:fill="FFFFFF"/>
        </w:rPr>
        <w:t>1.湖口县应急管理局要全面排查危化生产经营单位的安全隐患，加大监察执法力度。在全省安全生产大检查基础上，按照全省危险化学品综合治理职责分工，认真开展危险化学品专项整治，根据《化工和危险化学品生产经营单位重大生产安全事故隐患判定标准（试行）》排查重大安全隐患，对检查发现的安全隐患，要依法下达执法文书，督促企业落实整改，同时建立隐患排查治理工作制度和监管台帐，做到专人管理、专人跟踪督办、定期销号，防患于未然。</w:t>
      </w:r>
    </w:p>
    <w:p>
      <w:pPr>
        <w:pStyle w:val="32"/>
        <w:wordWrap w:val="0"/>
        <w:ind w:firstLine="560"/>
        <w:rPr>
          <w:rFonts w:ascii="宋体" w:eastAsia="宋体" w:cs="宋体"/>
        </w:rPr>
      </w:pPr>
      <w:r>
        <w:rPr>
          <w:rFonts w:hint="eastAsia" w:ascii="宋体" w:eastAsia="宋体" w:cs="宋体"/>
          <w:color w:val="333333"/>
          <w:shd w:val="clear" w:color="auto" w:fill="FFFFFF"/>
        </w:rPr>
        <w:t>　2.湖口县应急管理局要加强对化工企业的安全监管工作。</w:t>
      </w:r>
      <w:r>
        <w:rPr>
          <w:rFonts w:hint="eastAsia" w:ascii="宋体" w:eastAsia="宋体" w:cs="宋体"/>
          <w:b/>
          <w:bCs/>
          <w:color w:val="333333"/>
          <w:shd w:val="clear" w:color="auto" w:fill="FFFFFF"/>
        </w:rPr>
        <w:t>一是</w:t>
      </w:r>
      <w:r>
        <w:rPr>
          <w:rFonts w:hint="eastAsia" w:ascii="宋体" w:eastAsia="宋体" w:cs="宋体"/>
          <w:color w:val="333333"/>
          <w:shd w:val="clear" w:color="auto" w:fill="FFFFFF"/>
        </w:rPr>
        <w:t>对辖区内长期停产、关闭、设备腐蚀严重的企业生产储存装置进行全面摸排，督促该类企业制定设备拆除方案，安全拆除生产设备，防止将设备、厂房非法租赁或转让给其他单位和个人进行危险化学品生产、储存，确保关闭企业关死关实，防止“死灰复燃”现象发生，杜绝关闭企业发生安全生产事故。</w:t>
      </w:r>
      <w:r>
        <w:rPr>
          <w:rFonts w:hint="eastAsia" w:ascii="宋体" w:eastAsia="宋体" w:cs="宋体"/>
          <w:b/>
          <w:bCs/>
          <w:color w:val="333333"/>
          <w:shd w:val="clear" w:color="auto" w:fill="FFFFFF"/>
        </w:rPr>
        <w:t>二是</w:t>
      </w:r>
      <w:r>
        <w:rPr>
          <w:rFonts w:hint="eastAsia" w:ascii="宋体" w:eastAsia="宋体" w:cs="宋体"/>
          <w:color w:val="333333"/>
          <w:shd w:val="clear" w:color="auto" w:fill="FFFFFF"/>
        </w:rPr>
        <w:t>对停产的企业督促制定和落实停产方案，明确程序和各项管理技术措施，统计原材料、产品、中间产品的数量，确保安全停车；同时要妥善处理设备中剩余危险物料，对设备、管道内残留的危险化学品物料进行清扫置换，清扫置换完成经分析合格后，报县安监局备案</w:t>
      </w:r>
      <w:r>
        <w:rPr>
          <w:rFonts w:hint="eastAsia" w:ascii="宋体" w:eastAsia="宋体" w:cs="宋体"/>
          <w:b/>
          <w:bCs/>
          <w:color w:val="333333"/>
          <w:shd w:val="clear" w:color="auto" w:fill="FFFFFF"/>
        </w:rPr>
        <w:t>。三是</w:t>
      </w:r>
      <w:r>
        <w:rPr>
          <w:rFonts w:hint="eastAsia" w:ascii="宋体" w:eastAsia="宋体" w:cs="宋体"/>
          <w:color w:val="333333"/>
          <w:shd w:val="clear" w:color="auto" w:fill="FFFFFF"/>
        </w:rPr>
        <w:t>停产企业复工前，要制定并落实开车方案，细化操作规程，做好各个环节的安全管理，由企业组织专家对企业生产运行情况进行复核，具备安全生产条件后向当地应急管理部门报备，经县政府分管领导允许后方可恢复生产。四是严格规范动火作业、受限空间等八大特殊作业安全管理。督促各行业、企业的八大特殊作业要严格执行《化学品生产单位特殊作业安全规范》，其中动火、受限空间作业前要报县级应急管理部门，办理备案手续，同意后方可实施作业。 </w:t>
      </w:r>
    </w:p>
    <w:p>
      <w:pPr>
        <w:pStyle w:val="32"/>
        <w:wordWrap w:val="0"/>
        <w:ind w:firstLine="560"/>
        <w:rPr>
          <w:rFonts w:ascii="宋体" w:eastAsia="宋体" w:cs="宋体"/>
        </w:rPr>
      </w:pPr>
      <w:r>
        <w:rPr>
          <w:rFonts w:hint="eastAsia" w:ascii="宋体" w:eastAsia="宋体" w:cs="宋体"/>
          <w:color w:val="333333"/>
          <w:shd w:val="clear" w:color="auto" w:fill="FFFFFF"/>
        </w:rPr>
        <w:t>3.湖口县应急管理局严格化工企业生产厂房、车间或生产装置的租赁行为。一是要严格控制租赁生产厂房、车间或生产装置从事危险化学品生产的建设项目，凡租赁厂房、车间或生产装置从事危险化学品生产的，一律按照新建项目管理，其安全间距、建（构）筑物结构等必须符合有关法规和规范要求，不得擅自设置“厂中厂”。二是化工企业将其厂房、车间或生产装置出租进行化工生产的，要实行出租方报告制度。出租方要与承租人签订安全协议，要将承租人、出租用途等情况书面报告县应急</w:t>
      </w:r>
      <w:r>
        <w:rPr>
          <w:rFonts w:hint="eastAsia" w:ascii="宋体" w:eastAsia="宋体" w:cs="宋体"/>
          <w:color w:val="333333"/>
          <w:shd w:val="clear" w:color="auto" w:fill="FFFFFF"/>
        </w:rPr>
        <w:drawing>
          <wp:inline distT="0" distB="0" distL="114300" distR="114300">
            <wp:extent cx="9525" cy="9525"/>
            <wp:effectExtent l="0" t="0" r="0" b="0"/>
            <wp:docPr id="2"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8"/>
                    <pic:cNvPicPr>
                      <a:picLocks noChangeAspect="1"/>
                    </pic:cNvPicPr>
                  </pic:nvPicPr>
                  <pic:blipFill>
                    <a:blip r:embed="rId54"/>
                    <a:stretch>
                      <a:fillRect/>
                    </a:stretch>
                  </pic:blipFill>
                  <pic:spPr>
                    <a:xfrm>
                      <a:off x="0" y="0"/>
                      <a:ext cx="9525" cy="9525"/>
                    </a:xfrm>
                    <a:prstGeom prst="rect">
                      <a:avLst/>
                    </a:prstGeom>
                    <a:noFill/>
                    <a:ln w="9525">
                      <a:noFill/>
                    </a:ln>
                  </pic:spPr>
                </pic:pic>
              </a:graphicData>
            </a:graphic>
          </wp:inline>
        </w:drawing>
      </w:r>
      <w:r>
        <w:rPr>
          <w:rFonts w:hint="eastAsia" w:ascii="宋体" w:eastAsia="宋体" w:cs="宋体"/>
          <w:color w:val="333333"/>
          <w:shd w:val="clear" w:color="auto" w:fill="FFFFFF"/>
        </w:rPr>
        <w:t>局。未执行报告制度擅自出租的，一经发现，将严肃处理；造成事故的，同时追究租赁双方的责任。 </w:t>
      </w:r>
    </w:p>
    <w:p>
      <w:pPr>
        <w:pStyle w:val="32"/>
        <w:wordWrap w:val="0"/>
        <w:ind w:firstLine="560"/>
        <w:rPr>
          <w:rFonts w:ascii="宋体" w:eastAsia="宋体" w:cs="宋体"/>
        </w:rPr>
      </w:pPr>
      <w:r>
        <w:rPr>
          <w:rFonts w:hint="eastAsia" w:ascii="宋体" w:eastAsia="宋体" w:cs="宋体"/>
          <w:color w:val="333333"/>
          <w:shd w:val="clear" w:color="auto" w:fill="FFFFFF"/>
        </w:rPr>
        <w:t>4.九江中伟公司加强停产停工期间的安全管理。一是加强设施、设备的检查、维修作业的安全管理。在排查治理安全隐患时，若需进行检、维修作业，必须严格执行有关规定和安全操作规程；二是加强门卫值班值守和日常巡查，防止外来人员随意进出。</w:t>
      </w:r>
    </w:p>
    <w:p>
      <w:pPr>
        <w:pStyle w:val="3"/>
        <w:keepNext w:val="0"/>
        <w:keepLines w:val="0"/>
        <w:ind w:firstLine="562"/>
        <w:rPr>
          <w:rFonts w:ascii="黑体" w:hAnsi="黑体" w:eastAsia="黑体" w:cs="黑体"/>
        </w:rPr>
      </w:pPr>
      <w:bookmarkStart w:id="3720" w:name="_Toc27393"/>
      <w:bookmarkStart w:id="3721" w:name="_Toc31392"/>
      <w:bookmarkStart w:id="3722" w:name="_Toc3034"/>
      <w:bookmarkStart w:id="3723" w:name="_Toc5964"/>
      <w:bookmarkStart w:id="3724" w:name="_Toc1979"/>
      <w:bookmarkStart w:id="3725" w:name="_Toc2288"/>
      <w:bookmarkStart w:id="3726" w:name="_Toc15874"/>
      <w:bookmarkStart w:id="3727" w:name="_Toc20302"/>
      <w:bookmarkStart w:id="3728" w:name="_Toc31290"/>
      <w:bookmarkStart w:id="3729" w:name="_Toc20553"/>
      <w:bookmarkStart w:id="3730" w:name="_Toc10905"/>
      <w:bookmarkStart w:id="3731" w:name="_Toc18003"/>
      <w:bookmarkStart w:id="3732" w:name="_Toc13532"/>
      <w:bookmarkStart w:id="3733" w:name="_Toc9858"/>
      <w:bookmarkStart w:id="3734" w:name="_Toc3312"/>
      <w:bookmarkStart w:id="3735" w:name="_Toc25744"/>
      <w:r>
        <w:rPr>
          <w:rFonts w:hint="eastAsia" w:ascii="黑体" w:hAnsi="黑体" w:eastAsia="黑体" w:cs="黑体"/>
        </w:rPr>
        <w:t>F2.7 危险化学品重大危险源辨识</w:t>
      </w:r>
      <w:bookmarkEnd w:id="3699"/>
      <w:bookmarkEnd w:id="3700"/>
      <w:bookmarkEnd w:id="3701"/>
      <w:bookmarkEnd w:id="3702"/>
      <w:bookmarkEnd w:id="3703"/>
      <w:bookmarkEnd w:id="3704"/>
      <w:bookmarkEnd w:id="3705"/>
      <w:bookmarkEnd w:id="3706"/>
      <w:bookmarkEnd w:id="3707"/>
      <w:bookmarkEnd w:id="3708"/>
      <w:bookmarkEnd w:id="3709"/>
      <w:bookmarkEnd w:id="3710"/>
      <w:bookmarkEnd w:id="3711"/>
      <w:bookmarkEnd w:id="3712"/>
      <w:bookmarkEnd w:id="3713"/>
      <w:bookmarkEnd w:id="3714"/>
      <w:bookmarkEnd w:id="3715"/>
      <w:bookmarkEnd w:id="3716"/>
      <w:bookmarkEnd w:id="3717"/>
      <w:bookmarkEnd w:id="3718"/>
      <w:bookmarkEnd w:id="3719"/>
      <w:bookmarkEnd w:id="3720"/>
      <w:bookmarkEnd w:id="3721"/>
      <w:bookmarkEnd w:id="3722"/>
      <w:bookmarkEnd w:id="3723"/>
      <w:bookmarkEnd w:id="3724"/>
      <w:bookmarkEnd w:id="3725"/>
      <w:bookmarkEnd w:id="3726"/>
      <w:bookmarkEnd w:id="3727"/>
      <w:bookmarkEnd w:id="3728"/>
      <w:bookmarkEnd w:id="3729"/>
      <w:bookmarkEnd w:id="3730"/>
      <w:bookmarkEnd w:id="3731"/>
      <w:bookmarkEnd w:id="3732"/>
      <w:bookmarkEnd w:id="3733"/>
      <w:bookmarkEnd w:id="3734"/>
      <w:bookmarkEnd w:id="3735"/>
    </w:p>
    <w:p>
      <w:pPr>
        <w:adjustRightInd/>
        <w:ind w:firstLine="560"/>
        <w:rPr>
          <w:rFonts w:ascii="宋体" w:hAnsi="宋体" w:cs="宋体"/>
          <w:bCs/>
          <w:color w:val="000000" w:themeColor="text1"/>
          <w:szCs w:val="28"/>
        </w:rPr>
      </w:pPr>
      <w:r>
        <w:rPr>
          <w:rFonts w:hint="eastAsia" w:ascii="宋体" w:hAnsi="宋体" w:cs="宋体"/>
          <w:bCs/>
          <w:color w:val="000000" w:themeColor="text1"/>
          <w:szCs w:val="28"/>
        </w:rPr>
        <w:t>根据《危险化学品重大危险源辨识》（GB18218-2018）辨识。</w:t>
      </w:r>
    </w:p>
    <w:p>
      <w:pPr>
        <w:adjustRightInd/>
        <w:ind w:firstLine="562"/>
        <w:rPr>
          <w:rFonts w:ascii="宋体" w:hAnsi="宋体" w:cs="宋体"/>
          <w:b/>
          <w:bCs/>
          <w:color w:val="000000" w:themeColor="text1"/>
          <w:szCs w:val="28"/>
        </w:rPr>
      </w:pPr>
      <w:r>
        <w:rPr>
          <w:rFonts w:ascii="宋体" w:hAnsi="宋体" w:cs="宋体"/>
          <w:b/>
          <w:bCs/>
          <w:color w:val="000000" w:themeColor="text1"/>
          <w:szCs w:val="28"/>
        </w:rPr>
        <w:t>1）辨识的依据、方法</w:t>
      </w:r>
    </w:p>
    <w:p>
      <w:pPr>
        <w:adjustRightInd/>
        <w:ind w:firstLine="560"/>
        <w:rPr>
          <w:rFonts w:ascii="宋体" w:hAnsi="宋体" w:cs="宋体"/>
          <w:color w:val="000000" w:themeColor="text1"/>
          <w:szCs w:val="28"/>
        </w:rPr>
      </w:pPr>
      <w:r>
        <w:rPr>
          <w:rFonts w:ascii="宋体" w:hAnsi="宋体" w:cs="宋体"/>
          <w:color w:val="000000" w:themeColor="text1"/>
          <w:szCs w:val="28"/>
        </w:rPr>
        <w:t>根据《危险化学品重大危险源辨识》（GB18218-20</w:t>
      </w:r>
      <w:r>
        <w:rPr>
          <w:rFonts w:hint="eastAsia" w:ascii="宋体" w:hAnsi="宋体" w:cs="宋体"/>
          <w:color w:val="000000" w:themeColor="text1"/>
          <w:szCs w:val="28"/>
        </w:rPr>
        <w:t>18</w:t>
      </w:r>
      <w:r>
        <w:rPr>
          <w:rFonts w:ascii="宋体" w:hAnsi="宋体" w:cs="宋体"/>
          <w:color w:val="000000" w:themeColor="text1"/>
          <w:szCs w:val="28"/>
        </w:rPr>
        <w:t>），</w:t>
      </w:r>
      <w:r>
        <w:rPr>
          <w:rFonts w:hint="eastAsia" w:ascii="宋体" w:hAnsi="宋体" w:cs="宋体"/>
          <w:color w:val="000000" w:themeColor="text1"/>
          <w:szCs w:val="28"/>
        </w:rPr>
        <w:t>有如下定义，危险化学品：具有毒害、腐蚀、爆炸、燃烧、助燃等性质，对人体、设施、环境具有危害的剧毒化学品和其他化学品；单元：涉及危险化学品的生产、储存装置、设施或场所，分为生产单元和储存单元；临界量：某种或某类危险化学品构成重大危险源所规定的最小数量；危险化学品重大危险源：长期或临时地生产、储存、使用和经营危险化学品，且危险化学品的数量等于或超过临界量的单元；生产单元：危险化学品的生产、加工及使用等的装置及设施，当装置及设施之间有切断阀时，以切断阀作为分隔界限划分为独立的单元；储存单元：用于储存危险化学品的储罐或仓库组成的相对独立的区域，贮存区以罐区防火堤为界限划分为独立单元，仓库以独立库房（独立建筑物）为界限划分为独立单元；混合物：两种或者多种物质组成的混合体或者溶液。</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规范性引用文件</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GB30000.2，化学品分类和标签规范，第2部分：爆炸物；</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GB30000.3，化学品分类和标签规范，第3部分：易燃气体；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GB30000.4，化学品分类和标签规范，第4部分：气溶胶；</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GB30000.5，化学品分类和标签规范，第5部分：氧化性气体；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GB30000.7，化学品分类和标签规范，第7部分：易燃液体；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GB30000.8，化学品分类和标签规范，第8部分：易燃固体；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GB30000.9，化学品分类和标签规范，第9部分：自反应物质和混合物；</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GB30000.10，化学品分类和标签规范，第10部分：自然液体；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GB30000.11，化学品分类和标签规范，第11部分：自然固体；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GB30000.12，化学品分类和标签规范，第12部分：自热物质和混合物；</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GB30000.13，化学品分类和标签规范，第13部分：遇水放出易燃气体的物质和混合物；</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GB30000.14，化学品分类和标签规范，第14部分：氧化性液体；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GB30000.15，化学品分类和标签规范，第15部分：氧化性固体；</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GB30000.16，化学品分类和标签规范，第16部分：有机过氧化物；</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GB30000.18，化学品分类和标签规范，第18部分：急性毒性。</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危险化学品应依据其危险特性及其数量进行重大危险源辨识，具体见表1和表2。危险化学品的纯物质及其混合物应按规范性引用文件的规定进行分类。危险化学品重大危险源可分为生产单元危险化学品重大危险源和储存单元危险化学品重大危险源。</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生产单元、储存单元内存在的危险化学品的数量等于或超过表1、表2规定的临界量，即被定义为重大危险源。单元内存在的危险化学品的数量根据危险化学品种类的多少区分为以下两种情况</w:t>
      </w:r>
      <w:r>
        <w:rPr>
          <w:rFonts w:ascii="宋体" w:hAnsi="宋体" w:cs="宋体"/>
          <w:color w:val="000000" w:themeColor="text1"/>
          <w:szCs w:val="28"/>
        </w:rPr>
        <w:t>：</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（1）生产单元、储存单元内存在的危险化学品为单一品种时，该危险化学品的数量即为单元内危险化学品的总量，若等于或超过相应的临界量，则定义为重大危险源。</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（2）生产单元、储存单元内存在的危险化学品为多品种时，按下式进行计算，若满足公式，则定义为重大危险源</w:t>
      </w:r>
      <w:r>
        <w:rPr>
          <w:rFonts w:ascii="宋体" w:hAnsi="宋体" w:cs="宋体"/>
          <w:color w:val="000000" w:themeColor="text1"/>
          <w:szCs w:val="28"/>
        </w:rPr>
        <w:t>：</w:t>
      </w:r>
    </w:p>
    <w:p>
      <w:pPr>
        <w:adjustRightInd/>
        <w:ind w:firstLine="560"/>
        <w:rPr>
          <w:rFonts w:ascii="宋体" w:hAnsi="宋体" w:cs="宋体"/>
          <w:color w:val="000000" w:themeColor="text1"/>
          <w:szCs w:val="28"/>
        </w:rPr>
      </w:pPr>
      <w:r>
        <w:rPr>
          <w:rFonts w:hint="eastAsia" w:ascii="宋体" w:hAnsi="宋体" w:cs="宋体"/>
          <w:color w:val="000000" w:themeColor="text1"/>
          <w:szCs w:val="28"/>
        </w:rPr>
        <w:t>S=</w:t>
      </w:r>
      <w:r>
        <w:rPr>
          <w:rFonts w:ascii="宋体" w:hAnsi="宋体" w:cs="宋体"/>
          <w:color w:val="000000" w:themeColor="text1"/>
          <w:szCs w:val="28"/>
        </w:rPr>
        <w:t>q</w:t>
      </w:r>
      <w:r>
        <w:rPr>
          <w:rFonts w:ascii="宋体" w:hAnsi="宋体" w:cs="宋体"/>
          <w:color w:val="000000" w:themeColor="text1"/>
          <w:szCs w:val="28"/>
          <w:vertAlign w:val="subscript"/>
        </w:rPr>
        <w:t>1</w:t>
      </w:r>
      <w:r>
        <w:rPr>
          <w:rFonts w:ascii="宋体" w:hAnsi="宋体" w:cs="宋体"/>
          <w:color w:val="000000" w:themeColor="text1"/>
          <w:szCs w:val="28"/>
        </w:rPr>
        <w:t>/Q</w:t>
      </w:r>
      <w:r>
        <w:rPr>
          <w:rFonts w:ascii="宋体" w:hAnsi="宋体" w:cs="宋体"/>
          <w:color w:val="000000" w:themeColor="text1"/>
          <w:szCs w:val="28"/>
          <w:vertAlign w:val="subscript"/>
        </w:rPr>
        <w:t>1</w:t>
      </w:r>
      <w:r>
        <w:rPr>
          <w:rFonts w:ascii="宋体" w:hAnsi="宋体" w:cs="宋体"/>
          <w:color w:val="000000" w:themeColor="text1"/>
          <w:szCs w:val="28"/>
        </w:rPr>
        <w:t>+q</w:t>
      </w:r>
      <w:r>
        <w:rPr>
          <w:rFonts w:ascii="宋体" w:hAnsi="宋体" w:cs="宋体"/>
          <w:color w:val="000000" w:themeColor="text1"/>
          <w:szCs w:val="28"/>
          <w:vertAlign w:val="subscript"/>
        </w:rPr>
        <w:t>2</w:t>
      </w:r>
      <w:r>
        <w:rPr>
          <w:rFonts w:ascii="宋体" w:hAnsi="宋体" w:cs="宋体"/>
          <w:color w:val="000000" w:themeColor="text1"/>
          <w:szCs w:val="28"/>
        </w:rPr>
        <w:t>/Q</w:t>
      </w:r>
      <w:r>
        <w:rPr>
          <w:rFonts w:ascii="宋体" w:hAnsi="宋体" w:cs="宋体"/>
          <w:color w:val="000000" w:themeColor="text1"/>
          <w:szCs w:val="28"/>
          <w:vertAlign w:val="subscript"/>
        </w:rPr>
        <w:t>2</w:t>
      </w:r>
      <w:r>
        <w:rPr>
          <w:rFonts w:ascii="宋体" w:hAnsi="宋体" w:cs="宋体"/>
          <w:color w:val="000000" w:themeColor="text1"/>
          <w:szCs w:val="28"/>
        </w:rPr>
        <w:t>+…+q</w:t>
      </w:r>
      <w:r>
        <w:rPr>
          <w:rFonts w:ascii="宋体" w:hAnsi="宋体" w:cs="宋体"/>
          <w:color w:val="000000" w:themeColor="text1"/>
          <w:szCs w:val="28"/>
          <w:vertAlign w:val="subscript"/>
        </w:rPr>
        <w:t>n</w:t>
      </w:r>
      <w:r>
        <w:rPr>
          <w:rFonts w:ascii="宋体" w:hAnsi="宋体" w:cs="宋体"/>
          <w:color w:val="000000" w:themeColor="text1"/>
          <w:szCs w:val="28"/>
        </w:rPr>
        <w:t>/Q</w:t>
      </w:r>
      <w:r>
        <w:rPr>
          <w:rFonts w:ascii="宋体" w:hAnsi="宋体" w:cs="宋体"/>
          <w:color w:val="000000" w:themeColor="text1"/>
          <w:szCs w:val="28"/>
          <w:vertAlign w:val="subscript"/>
        </w:rPr>
        <w:t>n</w:t>
      </w:r>
      <w:r>
        <w:rPr>
          <w:rFonts w:ascii="宋体" w:hAnsi="宋体" w:cs="宋体"/>
          <w:color w:val="000000" w:themeColor="text1"/>
          <w:szCs w:val="28"/>
        </w:rPr>
        <w:t>≥1</w:t>
      </w:r>
    </w:p>
    <w:p>
      <w:pPr>
        <w:adjustRightInd/>
        <w:ind w:firstLine="560"/>
        <w:rPr>
          <w:rFonts w:ascii="宋体" w:hAnsi="宋体" w:cs="宋体"/>
          <w:color w:val="000000" w:themeColor="text1"/>
          <w:szCs w:val="28"/>
        </w:rPr>
      </w:pPr>
      <w:r>
        <w:rPr>
          <w:rFonts w:ascii="宋体" w:hAnsi="宋体" w:cs="宋体"/>
          <w:color w:val="000000" w:themeColor="text1"/>
          <w:szCs w:val="28"/>
        </w:rPr>
        <w:t>式中：</w:t>
      </w:r>
      <w:r>
        <w:rPr>
          <w:rFonts w:hint="eastAsia" w:ascii="宋体" w:hAnsi="宋体" w:cs="宋体"/>
          <w:color w:val="000000" w:themeColor="text1"/>
          <w:szCs w:val="28"/>
        </w:rPr>
        <w:t>S</w:t>
      </w:r>
      <w:r>
        <w:rPr>
          <w:rFonts w:ascii="宋体" w:hAnsi="宋体" w:cs="宋体"/>
          <w:color w:val="000000" w:themeColor="text1"/>
          <w:szCs w:val="28"/>
        </w:rPr>
        <w:t>——————</w:t>
      </w:r>
      <w:r>
        <w:rPr>
          <w:rFonts w:hint="eastAsia" w:ascii="宋体" w:hAnsi="宋体" w:cs="宋体"/>
          <w:color w:val="000000" w:themeColor="text1"/>
          <w:szCs w:val="28"/>
        </w:rPr>
        <w:t>辨识指标；</w:t>
      </w:r>
    </w:p>
    <w:p>
      <w:pPr>
        <w:adjustRightInd/>
        <w:ind w:firstLine="1400" w:firstLineChars="500"/>
        <w:rPr>
          <w:rFonts w:ascii="宋体" w:hAnsi="宋体" w:cs="宋体"/>
          <w:color w:val="000000" w:themeColor="text1"/>
          <w:szCs w:val="28"/>
        </w:rPr>
      </w:pPr>
      <w:r>
        <w:rPr>
          <w:rFonts w:ascii="宋体" w:hAnsi="宋体" w:cs="宋体"/>
          <w:color w:val="000000" w:themeColor="text1"/>
          <w:szCs w:val="28"/>
        </w:rPr>
        <w:t>q</w:t>
      </w:r>
      <w:r>
        <w:rPr>
          <w:rFonts w:ascii="宋体" w:hAnsi="宋体" w:cs="宋体"/>
          <w:color w:val="000000" w:themeColor="text1"/>
          <w:szCs w:val="28"/>
          <w:vertAlign w:val="subscript"/>
        </w:rPr>
        <w:t>1</w:t>
      </w:r>
      <w:r>
        <w:rPr>
          <w:rFonts w:ascii="宋体" w:hAnsi="宋体" w:cs="宋体"/>
          <w:color w:val="000000" w:themeColor="text1"/>
          <w:szCs w:val="28"/>
        </w:rPr>
        <w:t>,q</w:t>
      </w:r>
      <w:r>
        <w:rPr>
          <w:rFonts w:ascii="宋体" w:hAnsi="宋体" w:cs="宋体"/>
          <w:color w:val="000000" w:themeColor="text1"/>
          <w:szCs w:val="28"/>
          <w:vertAlign w:val="subscript"/>
        </w:rPr>
        <w:t>2</w:t>
      </w:r>
      <w:r>
        <w:rPr>
          <w:rFonts w:ascii="宋体" w:hAnsi="宋体" w:cs="宋体"/>
          <w:color w:val="000000" w:themeColor="text1"/>
          <w:szCs w:val="28"/>
        </w:rPr>
        <w:t>,…,q</w:t>
      </w:r>
      <w:r>
        <w:rPr>
          <w:rFonts w:ascii="宋体" w:hAnsi="宋体" w:cs="宋体"/>
          <w:color w:val="000000" w:themeColor="text1"/>
          <w:szCs w:val="28"/>
          <w:vertAlign w:val="subscript"/>
        </w:rPr>
        <w:t>n</w:t>
      </w:r>
      <w:r>
        <w:rPr>
          <w:rFonts w:ascii="宋体" w:hAnsi="宋体" w:cs="宋体"/>
          <w:color w:val="000000" w:themeColor="text1"/>
          <w:szCs w:val="28"/>
        </w:rPr>
        <w:t>——每种危险化学品实际存在量，单位为吨（t）；</w:t>
      </w:r>
    </w:p>
    <w:p>
      <w:pPr>
        <w:adjustRightInd/>
        <w:ind w:firstLine="1400" w:firstLineChars="500"/>
        <w:rPr>
          <w:rFonts w:ascii="宋体" w:hAnsi="宋体" w:cs="宋体"/>
          <w:color w:val="000000" w:themeColor="text1"/>
          <w:szCs w:val="28"/>
        </w:rPr>
      </w:pPr>
      <w:r>
        <w:rPr>
          <w:rFonts w:ascii="宋体" w:hAnsi="宋体" w:cs="宋体"/>
          <w:color w:val="000000" w:themeColor="text1"/>
          <w:szCs w:val="28"/>
        </w:rPr>
        <w:t>Q</w:t>
      </w:r>
      <w:r>
        <w:rPr>
          <w:rFonts w:ascii="宋体" w:hAnsi="宋体" w:cs="宋体"/>
          <w:color w:val="000000" w:themeColor="text1"/>
          <w:szCs w:val="28"/>
          <w:vertAlign w:val="subscript"/>
        </w:rPr>
        <w:t>1</w:t>
      </w:r>
      <w:r>
        <w:rPr>
          <w:rFonts w:ascii="宋体" w:hAnsi="宋体" w:cs="宋体"/>
          <w:color w:val="000000" w:themeColor="text1"/>
          <w:szCs w:val="28"/>
        </w:rPr>
        <w:t>,Q</w:t>
      </w:r>
      <w:r>
        <w:rPr>
          <w:rFonts w:ascii="宋体" w:hAnsi="宋体" w:cs="宋体"/>
          <w:color w:val="000000" w:themeColor="text1"/>
          <w:szCs w:val="28"/>
          <w:vertAlign w:val="subscript"/>
        </w:rPr>
        <w:t>2</w:t>
      </w:r>
      <w:r>
        <w:rPr>
          <w:rFonts w:ascii="宋体" w:hAnsi="宋体" w:cs="宋体"/>
          <w:color w:val="000000" w:themeColor="text1"/>
          <w:szCs w:val="28"/>
        </w:rPr>
        <w:t>,…,Q</w:t>
      </w:r>
      <w:r>
        <w:rPr>
          <w:rFonts w:ascii="宋体" w:hAnsi="宋体" w:cs="宋体"/>
          <w:color w:val="000000" w:themeColor="text1"/>
          <w:szCs w:val="28"/>
          <w:vertAlign w:val="subscript"/>
        </w:rPr>
        <w:t>n</w:t>
      </w:r>
      <w:r>
        <w:rPr>
          <w:rFonts w:ascii="宋体" w:hAnsi="宋体" w:cs="宋体"/>
          <w:color w:val="000000" w:themeColor="text1"/>
          <w:szCs w:val="28"/>
        </w:rPr>
        <w:t>——与各危险化学品相对应的临界量，单位为吨（t）。</w:t>
      </w:r>
    </w:p>
    <w:p>
      <w:pPr>
        <w:adjustRightInd/>
        <w:ind w:firstLine="562"/>
        <w:rPr>
          <w:rFonts w:ascii="宋体" w:hAnsi="宋体" w:cs="宋体"/>
          <w:b/>
          <w:bCs/>
          <w:color w:val="000000" w:themeColor="text1"/>
          <w:szCs w:val="28"/>
        </w:rPr>
      </w:pPr>
      <w:r>
        <w:rPr>
          <w:rFonts w:ascii="宋体" w:hAnsi="宋体" w:cs="宋体"/>
          <w:b/>
          <w:bCs/>
          <w:color w:val="000000" w:themeColor="text1"/>
          <w:szCs w:val="28"/>
        </w:rPr>
        <w:t>2）辨识过程</w:t>
      </w:r>
    </w:p>
    <w:p>
      <w:pPr>
        <w:topLinePunct/>
        <w:ind w:firstLine="560"/>
        <w:rPr>
          <w:rFonts w:ascii="宋体" w:hAnsi="宋体"/>
          <w:color w:val="auto"/>
          <w:szCs w:val="28"/>
        </w:rPr>
      </w:pPr>
      <w:bookmarkStart w:id="3736" w:name="_Toc21247"/>
      <w:bookmarkStart w:id="3737" w:name="_Toc31212"/>
      <w:bookmarkStart w:id="3738" w:name="_Toc25268"/>
      <w:bookmarkStart w:id="3739" w:name="_Toc25763"/>
      <w:bookmarkStart w:id="3740" w:name="_Toc7825"/>
      <w:bookmarkStart w:id="3741" w:name="_Toc19489"/>
      <w:bookmarkStart w:id="3742" w:name="_Toc4775"/>
      <w:bookmarkStart w:id="3743" w:name="_Toc62740972"/>
      <w:bookmarkStart w:id="3744" w:name="_Toc14326"/>
      <w:bookmarkStart w:id="3745" w:name="_Toc17241"/>
      <w:bookmarkStart w:id="3746" w:name="_Toc10125"/>
      <w:bookmarkStart w:id="3747" w:name="_Toc29158"/>
      <w:bookmarkStart w:id="3748" w:name="_Toc27297"/>
      <w:bookmarkStart w:id="3749" w:name="_Toc16839"/>
      <w:bookmarkStart w:id="3750" w:name="_Toc26435"/>
      <w:bookmarkStart w:id="3751" w:name="_Toc15052"/>
      <w:bookmarkStart w:id="3752" w:name="_Toc45"/>
      <w:bookmarkStart w:id="3753" w:name="_Toc6800"/>
      <w:bookmarkStart w:id="3754" w:name="_Toc3229"/>
      <w:bookmarkStart w:id="3755" w:name="_Toc11374"/>
      <w:bookmarkStart w:id="3756" w:name="_Toc128056516"/>
      <w:bookmarkStart w:id="3757" w:name="_Toc24361"/>
      <w:bookmarkStart w:id="3758" w:name="_Toc29191"/>
      <w:bookmarkStart w:id="3759" w:name="_Toc14863"/>
      <w:bookmarkStart w:id="3760" w:name="_Toc2740"/>
      <w:r>
        <w:rPr>
          <w:rFonts w:hint="eastAsia" w:ascii="宋体" w:hAnsi="宋体"/>
          <w:color w:val="auto"/>
          <w:szCs w:val="28"/>
        </w:rPr>
        <w:t>本项目涉及的危险化学品有硫酸、二氧化硫、三氧化硫、五氧化二钒、</w:t>
      </w:r>
      <w:r>
        <w:rPr>
          <w:rFonts w:hint="eastAsia" w:hAnsi="宋体" w:cs="宋体"/>
          <w:szCs w:val="28"/>
        </w:rPr>
        <w:t>双氧水</w:t>
      </w:r>
      <w:r>
        <w:rPr>
          <w:rFonts w:hint="eastAsia" w:ascii="宋体" w:hAnsi="宋体"/>
          <w:color w:val="auto"/>
          <w:szCs w:val="28"/>
        </w:rPr>
        <w:t>和柴油。生产过程中，根据《危险化学品重大危险源辨识》（GB18218- 2018）中的规定：硫酸、五氧化二钒未被列入此标准中。根据《</w:t>
      </w:r>
      <w:bookmarkStart w:id="3761" w:name="_Hlk71991187"/>
      <w:r>
        <w:rPr>
          <w:rFonts w:hint="eastAsia" w:ascii="宋体" w:hAnsi="宋体"/>
          <w:color w:val="auto"/>
          <w:szCs w:val="28"/>
        </w:rPr>
        <w:t>危险化学品重大危险源辨识》表一识别</w:t>
      </w:r>
      <w:bookmarkEnd w:id="3761"/>
      <w:r>
        <w:rPr>
          <w:rFonts w:hint="eastAsia" w:ascii="宋体" w:hAnsi="宋体"/>
          <w:color w:val="auto"/>
          <w:szCs w:val="28"/>
        </w:rPr>
        <w:t>，二氧化硫、三氧化硫的临界量分别是20t、75t；根据危险化学品重大危险源辨识》表二识别，氢氧化钠属于氧化性固体和液体类别2，临界量为2</w:t>
      </w:r>
      <w:r>
        <w:rPr>
          <w:rFonts w:ascii="宋体" w:hAnsi="宋体"/>
          <w:color w:val="auto"/>
          <w:szCs w:val="28"/>
        </w:rPr>
        <w:t>00</w:t>
      </w:r>
      <w:r>
        <w:rPr>
          <w:rFonts w:hint="eastAsia" w:ascii="宋体" w:hAnsi="宋体"/>
          <w:color w:val="auto"/>
          <w:szCs w:val="28"/>
        </w:rPr>
        <w:t>t,根据危险化学品重大危险源辨识》表二识别，柴油属于其他易燃液体类别3，临界量为5000吨。辨识范围为整个厂区，辨识计算过程如下：</w:t>
      </w:r>
    </w:p>
    <w:p>
      <w:pPr>
        <w:topLinePunct/>
        <w:ind w:firstLine="560"/>
        <w:rPr>
          <w:rFonts w:ascii="宋体" w:hAnsi="宋体"/>
          <w:color w:val="auto"/>
          <w:szCs w:val="28"/>
        </w:rPr>
      </w:pPr>
      <w:r>
        <w:rPr>
          <w:rFonts w:hint="eastAsia" w:ascii="宋体" w:hAnsi="宋体"/>
          <w:color w:val="auto"/>
          <w:szCs w:val="28"/>
        </w:rPr>
        <w:t>（1）二氧化硫的最大储量：</w:t>
      </w:r>
    </w:p>
    <w:p>
      <w:pPr>
        <w:topLinePunct/>
        <w:ind w:firstLine="560"/>
        <w:rPr>
          <w:rFonts w:ascii="宋体" w:hAnsi="宋体"/>
          <w:color w:val="auto"/>
          <w:szCs w:val="28"/>
        </w:rPr>
      </w:pPr>
      <w:r>
        <w:rPr>
          <w:rFonts w:hint="eastAsia" w:ascii="宋体" w:hAnsi="宋体"/>
          <w:color w:val="auto"/>
          <w:szCs w:val="28"/>
        </w:rPr>
        <w:t>本装置SO</w:t>
      </w:r>
      <w:r>
        <w:rPr>
          <w:rFonts w:hint="eastAsia" w:ascii="宋体" w:hAnsi="宋体"/>
          <w:color w:val="auto"/>
          <w:szCs w:val="28"/>
          <w:vertAlign w:val="subscript"/>
        </w:rPr>
        <w:t>2</w:t>
      </w:r>
      <w:r>
        <w:rPr>
          <w:rFonts w:hint="eastAsia" w:ascii="宋体" w:hAnsi="宋体"/>
          <w:color w:val="auto"/>
          <w:szCs w:val="28"/>
        </w:rPr>
        <w:t>风机前的烟气为负压，二氧化硫浓度为</w:t>
      </w:r>
      <w:r>
        <w:rPr>
          <w:rFonts w:ascii="宋体" w:hAnsi="宋体"/>
          <w:color w:val="auto"/>
          <w:szCs w:val="28"/>
        </w:rPr>
        <w:t>8</w:t>
      </w:r>
      <w:r>
        <w:rPr>
          <w:rFonts w:hint="eastAsia" w:ascii="宋体" w:hAnsi="宋体"/>
          <w:color w:val="auto"/>
          <w:szCs w:val="28"/>
        </w:rPr>
        <w:t>%-13%，取浓度最大值13%计算，分子量为64；4万t</w:t>
      </w:r>
      <w:r>
        <w:rPr>
          <w:rFonts w:ascii="宋体" w:hAnsi="宋体"/>
          <w:color w:val="auto"/>
          <w:szCs w:val="28"/>
        </w:rPr>
        <w:t>/a</w:t>
      </w:r>
      <w:r>
        <w:rPr>
          <w:rFonts w:hint="eastAsia" w:ascii="宋体" w:hAnsi="宋体"/>
          <w:color w:val="auto"/>
          <w:szCs w:val="28"/>
        </w:rPr>
        <w:t>生产线中从沸腾炉至SO</w:t>
      </w:r>
      <w:r>
        <w:rPr>
          <w:rFonts w:hint="eastAsia" w:ascii="宋体" w:hAnsi="宋体"/>
          <w:color w:val="auto"/>
          <w:szCs w:val="28"/>
          <w:vertAlign w:val="subscript"/>
        </w:rPr>
        <w:t>2</w:t>
      </w:r>
      <w:r>
        <w:rPr>
          <w:rFonts w:hint="eastAsia" w:ascii="宋体" w:hAnsi="宋体"/>
          <w:color w:val="auto"/>
          <w:szCs w:val="28"/>
        </w:rPr>
        <w:t>风机房的管道有φ</w:t>
      </w:r>
      <w:r>
        <w:rPr>
          <w:rFonts w:ascii="宋体" w:hAnsi="宋体"/>
          <w:color w:val="auto"/>
          <w:szCs w:val="28"/>
        </w:rPr>
        <w:t>850</w:t>
      </w:r>
      <w:r>
        <w:rPr>
          <w:rFonts w:hint="eastAsia" w:ascii="宋体" w:hAnsi="宋体"/>
          <w:color w:val="auto"/>
          <w:szCs w:val="28"/>
        </w:rPr>
        <w:t>、φ500的管道，管道按最大管径φ</w:t>
      </w:r>
      <w:r>
        <w:rPr>
          <w:rFonts w:ascii="宋体" w:hAnsi="宋体"/>
          <w:color w:val="auto"/>
          <w:szCs w:val="28"/>
        </w:rPr>
        <w:t>850</w:t>
      </w:r>
      <w:r>
        <w:rPr>
          <w:rFonts w:hint="eastAsia" w:ascii="宋体" w:hAnsi="宋体"/>
          <w:color w:val="auto"/>
          <w:szCs w:val="28"/>
        </w:rPr>
        <w:t>计算，</w:t>
      </w:r>
      <w:r>
        <w:rPr>
          <w:rFonts w:ascii="宋体" w:hAnsi="宋体"/>
          <w:color w:val="auto"/>
          <w:szCs w:val="28"/>
        </w:rPr>
        <w:t>8</w:t>
      </w:r>
      <w:r>
        <w:rPr>
          <w:rFonts w:hint="eastAsia" w:ascii="宋体" w:hAnsi="宋体"/>
          <w:color w:val="auto"/>
          <w:szCs w:val="28"/>
        </w:rPr>
        <w:t>万t</w:t>
      </w:r>
      <w:r>
        <w:rPr>
          <w:rFonts w:ascii="宋体" w:hAnsi="宋体"/>
          <w:color w:val="auto"/>
          <w:szCs w:val="28"/>
        </w:rPr>
        <w:t>/a</w:t>
      </w:r>
      <w:r>
        <w:rPr>
          <w:rFonts w:hint="eastAsia" w:ascii="宋体" w:hAnsi="宋体"/>
          <w:color w:val="auto"/>
          <w:szCs w:val="28"/>
        </w:rPr>
        <w:t>生产线中从沸腾炉至SO</w:t>
      </w:r>
      <w:r>
        <w:rPr>
          <w:rFonts w:hint="eastAsia" w:ascii="宋体" w:hAnsi="宋体"/>
          <w:color w:val="auto"/>
          <w:szCs w:val="28"/>
          <w:vertAlign w:val="subscript"/>
        </w:rPr>
        <w:t>2</w:t>
      </w:r>
      <w:r>
        <w:rPr>
          <w:rFonts w:hint="eastAsia" w:ascii="宋体" w:hAnsi="宋体"/>
          <w:color w:val="auto"/>
          <w:szCs w:val="28"/>
        </w:rPr>
        <w:t>风机房的管道有φ</w:t>
      </w:r>
      <w:r>
        <w:rPr>
          <w:rFonts w:ascii="宋体" w:hAnsi="宋体"/>
          <w:color w:val="auto"/>
          <w:szCs w:val="28"/>
        </w:rPr>
        <w:t>1000</w:t>
      </w:r>
      <w:r>
        <w:rPr>
          <w:rFonts w:hint="eastAsia" w:ascii="宋体" w:hAnsi="宋体"/>
          <w:color w:val="auto"/>
          <w:szCs w:val="28"/>
        </w:rPr>
        <w:t>、φ</w:t>
      </w:r>
      <w:r>
        <w:rPr>
          <w:rFonts w:ascii="宋体" w:hAnsi="宋体"/>
          <w:color w:val="auto"/>
          <w:szCs w:val="28"/>
        </w:rPr>
        <w:t>85</w:t>
      </w:r>
      <w:r>
        <w:rPr>
          <w:rFonts w:hint="eastAsia" w:ascii="宋体" w:hAnsi="宋体"/>
          <w:color w:val="auto"/>
          <w:szCs w:val="28"/>
        </w:rPr>
        <w:t>0的管道，管道按最大管径φ</w:t>
      </w:r>
      <w:r>
        <w:rPr>
          <w:rFonts w:ascii="宋体" w:hAnsi="宋体"/>
          <w:color w:val="auto"/>
          <w:szCs w:val="28"/>
        </w:rPr>
        <w:t>1000</w:t>
      </w:r>
      <w:r>
        <w:rPr>
          <w:rFonts w:hint="eastAsia" w:ascii="宋体" w:hAnsi="宋体"/>
          <w:color w:val="auto"/>
          <w:szCs w:val="28"/>
        </w:rPr>
        <w:t>计算本装置中二氧化硫驻留的烟气管道统计见下表：</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8"/>
        <w:gridCol w:w="2057"/>
        <w:gridCol w:w="1843"/>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exact"/>
          <w:jc w:val="center"/>
        </w:trPr>
        <w:tc>
          <w:tcPr>
            <w:tcW w:w="8524" w:type="dxa"/>
            <w:gridSpan w:val="4"/>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bookmarkStart w:id="3762" w:name="_Hlk40980928"/>
            <w:r>
              <w:rPr>
                <w:rFonts w:hint="eastAsia" w:ascii="宋体" w:hAnsi="宋体" w:eastAsia="宋体" w:cs="宋体"/>
                <w:color w:val="auto"/>
                <w:kern w:val="0"/>
                <w:sz w:val="21"/>
                <w:szCs w:val="21"/>
              </w:rPr>
              <w:t>4万t/a二氧化硫在烟气管道的驻留量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起点</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终点</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长度/m</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直径/m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沸腾炉</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余热锅炉</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16</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余热锅炉</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旋风除尘器</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14</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旋风除尘器</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静电除尘</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16</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静电除尘</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文氏管洗涤塔</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24</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文氏管洗涤塔</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泡沫洗涤塔</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16</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泡馍馍洗涤塔</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电除雾</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48</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电除雾</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干燥塔</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54</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干燥塔</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SO</w:t>
            </w:r>
            <w:r>
              <w:rPr>
                <w:rFonts w:hint="eastAsia" w:ascii="宋体" w:hAnsi="宋体" w:eastAsia="宋体" w:cs="宋体"/>
                <w:color w:val="auto"/>
                <w:kern w:val="0"/>
                <w:sz w:val="21"/>
                <w:szCs w:val="21"/>
                <w:vertAlign w:val="subscript"/>
              </w:rPr>
              <w:t>2</w:t>
            </w:r>
            <w:r>
              <w:rPr>
                <w:rFonts w:hint="eastAsia" w:ascii="宋体" w:hAnsi="宋体" w:eastAsia="宋体" w:cs="宋体"/>
                <w:color w:val="auto"/>
                <w:kern w:val="0"/>
                <w:sz w:val="21"/>
                <w:szCs w:val="21"/>
              </w:rPr>
              <w:t>风机</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48</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0.85</w:t>
            </w:r>
          </w:p>
        </w:tc>
      </w:tr>
      <w:bookmarkEnd w:id="376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524" w:type="dxa"/>
            <w:gridSpan w:val="4"/>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8万t/a二氧化硫在烟气管道的驻留量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起点</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终点</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长度/m</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直径/m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沸腾炉</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余热锅炉</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16</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余热锅炉</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旋风除尘器</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14</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旋风除尘器</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静电除尘</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16</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静电除尘</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文氏管洗涤塔</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24</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文氏管洗涤塔</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泡沫洗涤塔</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16</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泡馍馍洗涤塔</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电除雾</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48</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电除雾</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干燥塔</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54</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348"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干燥塔</w:t>
            </w:r>
          </w:p>
        </w:tc>
        <w:tc>
          <w:tcPr>
            <w:tcW w:w="2057"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SO</w:t>
            </w:r>
            <w:r>
              <w:rPr>
                <w:rFonts w:hint="eastAsia" w:ascii="宋体" w:hAnsi="宋体" w:eastAsia="宋体" w:cs="宋体"/>
                <w:color w:val="auto"/>
                <w:kern w:val="0"/>
                <w:sz w:val="21"/>
                <w:szCs w:val="21"/>
                <w:vertAlign w:val="subscript"/>
              </w:rPr>
              <w:t>2</w:t>
            </w:r>
            <w:r>
              <w:rPr>
                <w:rFonts w:hint="eastAsia" w:ascii="宋体" w:hAnsi="宋体" w:eastAsia="宋体" w:cs="宋体"/>
                <w:color w:val="auto"/>
                <w:kern w:val="0"/>
                <w:sz w:val="21"/>
                <w:szCs w:val="21"/>
              </w:rPr>
              <w:t>风机</w:t>
            </w:r>
          </w:p>
        </w:tc>
        <w:tc>
          <w:tcPr>
            <w:tcW w:w="1843"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70</w:t>
            </w:r>
          </w:p>
        </w:tc>
        <w:tc>
          <w:tcPr>
            <w:tcW w:w="2276" w:type="dxa"/>
            <w:vAlign w:val="center"/>
          </w:tcPr>
          <w:p>
            <w:pPr>
              <w:keepNext w:val="0"/>
              <w:keepLines w:val="0"/>
              <w:pageBreakBefore w:val="0"/>
              <w:widowControl w:val="0"/>
              <w:kinsoku/>
              <w:wordWrap/>
              <w:overflowPunct/>
              <w:topLinePunct w:val="0"/>
              <w:autoSpaceDE/>
              <w:autoSpaceDN/>
              <w:bidi w:val="0"/>
              <w:adjustRightInd/>
              <w:snapToGrid/>
              <w:spacing w:beforeLines="50"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1.0</w:t>
            </w:r>
          </w:p>
        </w:tc>
      </w:tr>
    </w:tbl>
    <w:p>
      <w:pPr>
        <w:topLinePunct/>
        <w:spacing w:before="240" w:line="520" w:lineRule="exact"/>
        <w:ind w:firstLine="560"/>
        <w:rPr>
          <w:rFonts w:ascii="宋体" w:hAnsi="宋体"/>
          <w:color w:val="auto"/>
          <w:szCs w:val="28"/>
        </w:rPr>
      </w:pPr>
      <w:bookmarkStart w:id="3763" w:name="_Hlk68536097"/>
      <w:bookmarkStart w:id="3764" w:name="_Hlk68129713"/>
      <w:r>
        <w:rPr>
          <w:rFonts w:ascii="宋体" w:hAnsi="宋体"/>
          <w:color w:val="auto"/>
          <w:szCs w:val="28"/>
        </w:rPr>
        <w:t>4</w:t>
      </w:r>
      <w:r>
        <w:rPr>
          <w:rFonts w:hint="eastAsia" w:ascii="宋体" w:hAnsi="宋体"/>
          <w:color w:val="auto"/>
          <w:szCs w:val="28"/>
        </w:rPr>
        <w:t>万</w:t>
      </w:r>
      <w:r>
        <w:rPr>
          <w:rFonts w:ascii="宋体" w:hAnsi="宋体"/>
          <w:color w:val="auto"/>
          <w:szCs w:val="28"/>
        </w:rPr>
        <w:t>t/a</w:t>
      </w:r>
      <w:r>
        <w:rPr>
          <w:rFonts w:hint="eastAsia" w:ascii="宋体" w:hAnsi="宋体"/>
          <w:color w:val="auto"/>
          <w:szCs w:val="28"/>
        </w:rPr>
        <w:t>生产线</w:t>
      </w:r>
      <w:bookmarkEnd w:id="3763"/>
      <w:r>
        <w:rPr>
          <w:rFonts w:hint="eastAsia" w:ascii="宋体" w:hAnsi="宋体"/>
          <w:color w:val="auto"/>
          <w:szCs w:val="28"/>
        </w:rPr>
        <w:t>SO</w:t>
      </w:r>
      <w:r>
        <w:rPr>
          <w:rFonts w:hint="eastAsia" w:ascii="宋体" w:hAnsi="宋体"/>
          <w:color w:val="auto"/>
          <w:szCs w:val="28"/>
          <w:vertAlign w:val="subscript"/>
        </w:rPr>
        <w:t>2</w:t>
      </w:r>
      <w:r>
        <w:rPr>
          <w:rFonts w:hint="eastAsia" w:ascii="宋体" w:hAnsi="宋体"/>
          <w:color w:val="auto"/>
          <w:szCs w:val="28"/>
        </w:rPr>
        <w:t>风机至转化器之间的二氧化硫为正压，管道直径为</w:t>
      </w:r>
      <w:r>
        <w:rPr>
          <w:rFonts w:ascii="宋体" w:hAnsi="宋体"/>
          <w:color w:val="auto"/>
          <w:szCs w:val="28"/>
        </w:rPr>
        <w:t>0.85</w:t>
      </w:r>
      <w:r>
        <w:rPr>
          <w:rFonts w:hint="eastAsia" w:ascii="宋体" w:hAnsi="宋体"/>
          <w:color w:val="auto"/>
          <w:szCs w:val="28"/>
        </w:rPr>
        <w:t>m，长度为</w:t>
      </w:r>
      <w:r>
        <w:rPr>
          <w:rFonts w:ascii="宋体" w:hAnsi="宋体"/>
          <w:color w:val="auto"/>
          <w:szCs w:val="28"/>
        </w:rPr>
        <w:t>236</w:t>
      </w:r>
      <w:r>
        <w:rPr>
          <w:rFonts w:hint="eastAsia" w:ascii="宋体" w:hAnsi="宋体"/>
          <w:color w:val="auto"/>
          <w:szCs w:val="28"/>
        </w:rPr>
        <w:t>m。</w:t>
      </w:r>
    </w:p>
    <w:bookmarkEnd w:id="3764"/>
    <w:p>
      <w:pPr>
        <w:topLinePunct/>
        <w:spacing w:line="520" w:lineRule="exact"/>
        <w:ind w:firstLine="560"/>
        <w:rPr>
          <w:rFonts w:ascii="宋体" w:hAnsi="宋体"/>
          <w:color w:val="auto"/>
          <w:szCs w:val="28"/>
        </w:rPr>
      </w:pPr>
      <w:r>
        <w:rPr>
          <w:rFonts w:ascii="宋体" w:hAnsi="宋体"/>
          <w:color w:val="auto"/>
          <w:szCs w:val="28"/>
        </w:rPr>
        <w:t>8</w:t>
      </w:r>
      <w:r>
        <w:rPr>
          <w:rFonts w:hint="eastAsia" w:ascii="宋体" w:hAnsi="宋体"/>
          <w:color w:val="auto"/>
          <w:szCs w:val="28"/>
        </w:rPr>
        <w:t>万t/a生产线SO</w:t>
      </w:r>
      <w:r>
        <w:rPr>
          <w:rFonts w:hint="eastAsia" w:ascii="宋体" w:hAnsi="宋体"/>
          <w:color w:val="auto"/>
          <w:szCs w:val="28"/>
          <w:vertAlign w:val="subscript"/>
        </w:rPr>
        <w:t>2</w:t>
      </w:r>
      <w:r>
        <w:rPr>
          <w:rFonts w:hint="eastAsia" w:ascii="宋体" w:hAnsi="宋体"/>
          <w:color w:val="auto"/>
          <w:szCs w:val="28"/>
        </w:rPr>
        <w:t>风机至转化器之间的二氧化硫为正压，管道直径为1.</w:t>
      </w:r>
      <w:r>
        <w:rPr>
          <w:rFonts w:ascii="宋体" w:hAnsi="宋体"/>
          <w:color w:val="auto"/>
          <w:szCs w:val="28"/>
        </w:rPr>
        <w:t>0</w:t>
      </w:r>
      <w:r>
        <w:rPr>
          <w:rFonts w:hint="eastAsia" w:ascii="宋体" w:hAnsi="宋体"/>
          <w:color w:val="auto"/>
          <w:szCs w:val="28"/>
        </w:rPr>
        <w:t>m，长度为</w:t>
      </w:r>
      <w:r>
        <w:rPr>
          <w:rFonts w:ascii="宋体" w:hAnsi="宋体"/>
          <w:color w:val="auto"/>
          <w:szCs w:val="28"/>
        </w:rPr>
        <w:t>258</w:t>
      </w:r>
      <w:r>
        <w:rPr>
          <w:rFonts w:hint="eastAsia" w:ascii="宋体" w:hAnsi="宋体"/>
          <w:color w:val="auto"/>
          <w:szCs w:val="28"/>
        </w:rPr>
        <w:t>m。</w:t>
      </w:r>
    </w:p>
    <w:p>
      <w:pPr>
        <w:topLinePunct/>
        <w:spacing w:line="520" w:lineRule="exact"/>
        <w:ind w:firstLine="560"/>
        <w:rPr>
          <w:rFonts w:ascii="宋体" w:hAnsi="宋体"/>
          <w:color w:val="auto"/>
          <w:szCs w:val="28"/>
        </w:rPr>
      </w:pPr>
      <w:r>
        <w:rPr>
          <w:rFonts w:hint="eastAsia" w:ascii="宋体" w:hAnsi="宋体"/>
          <w:color w:val="auto"/>
          <w:szCs w:val="28"/>
        </w:rPr>
        <w:t>据上表计算，4万t/a生产线二氧化硫进入转化器前的最大存在量为：Q=（3.14×0.</w:t>
      </w:r>
      <w:r>
        <w:rPr>
          <w:rFonts w:ascii="宋体" w:hAnsi="宋体"/>
          <w:color w:val="auto"/>
          <w:szCs w:val="28"/>
        </w:rPr>
        <w:t>425</w:t>
      </w:r>
      <w:r>
        <w:rPr>
          <w:rFonts w:hint="eastAsia" w:ascii="宋体" w:hAnsi="宋体"/>
          <w:color w:val="auto"/>
          <w:szCs w:val="28"/>
        </w:rPr>
        <w:t>×0.</w:t>
      </w:r>
      <w:r>
        <w:rPr>
          <w:rFonts w:ascii="宋体" w:hAnsi="宋体"/>
          <w:color w:val="auto"/>
          <w:szCs w:val="28"/>
        </w:rPr>
        <w:t>425</w:t>
      </w:r>
      <w:r>
        <w:rPr>
          <w:rFonts w:hint="eastAsia" w:ascii="宋体" w:hAnsi="宋体"/>
          <w:color w:val="auto"/>
          <w:szCs w:val="28"/>
        </w:rPr>
        <w:t>×</w:t>
      </w:r>
      <w:r>
        <w:rPr>
          <w:rFonts w:ascii="宋体" w:hAnsi="宋体"/>
          <w:color w:val="auto"/>
          <w:szCs w:val="28"/>
        </w:rPr>
        <w:t>236</w:t>
      </w:r>
      <w:r>
        <w:rPr>
          <w:rFonts w:hint="eastAsia" w:ascii="宋体" w:hAnsi="宋体"/>
          <w:color w:val="auto"/>
          <w:szCs w:val="28"/>
        </w:rPr>
        <w:t>×0.13×1000×64/22.4）/1000000t=0.</w:t>
      </w:r>
      <w:r>
        <w:rPr>
          <w:rFonts w:ascii="宋体" w:hAnsi="宋体"/>
          <w:color w:val="auto"/>
          <w:szCs w:val="28"/>
        </w:rPr>
        <w:t>0497</w:t>
      </w:r>
      <w:r>
        <w:rPr>
          <w:rFonts w:hint="eastAsia" w:ascii="宋体" w:hAnsi="宋体"/>
          <w:color w:val="auto"/>
          <w:szCs w:val="28"/>
        </w:rPr>
        <w:t>t</w:t>
      </w:r>
    </w:p>
    <w:p>
      <w:pPr>
        <w:topLinePunct/>
        <w:spacing w:line="520" w:lineRule="exact"/>
        <w:ind w:firstLine="560"/>
        <w:rPr>
          <w:rFonts w:ascii="宋体" w:hAnsi="宋体"/>
          <w:color w:val="auto"/>
          <w:szCs w:val="28"/>
        </w:rPr>
      </w:pPr>
      <w:r>
        <w:rPr>
          <w:rFonts w:ascii="宋体" w:hAnsi="宋体"/>
          <w:color w:val="auto"/>
          <w:szCs w:val="28"/>
        </w:rPr>
        <w:t>8</w:t>
      </w:r>
      <w:r>
        <w:rPr>
          <w:rFonts w:hint="eastAsia" w:ascii="宋体" w:hAnsi="宋体"/>
          <w:color w:val="auto"/>
          <w:szCs w:val="28"/>
        </w:rPr>
        <w:t>万t/a生产线二氧化硫进入转化器前的最大存在量为：Q=（3.14×0.</w:t>
      </w:r>
      <w:r>
        <w:rPr>
          <w:rFonts w:ascii="宋体" w:hAnsi="宋体"/>
          <w:color w:val="auto"/>
          <w:szCs w:val="28"/>
        </w:rPr>
        <w:t>5</w:t>
      </w:r>
      <w:r>
        <w:rPr>
          <w:rFonts w:hint="eastAsia" w:ascii="宋体" w:hAnsi="宋体"/>
          <w:color w:val="auto"/>
          <w:szCs w:val="28"/>
        </w:rPr>
        <w:t>×0.</w:t>
      </w:r>
      <w:r>
        <w:rPr>
          <w:rFonts w:ascii="宋体" w:hAnsi="宋体"/>
          <w:color w:val="auto"/>
          <w:szCs w:val="28"/>
        </w:rPr>
        <w:t>5</w:t>
      </w:r>
      <w:r>
        <w:rPr>
          <w:rFonts w:hint="eastAsia" w:ascii="宋体" w:hAnsi="宋体"/>
          <w:color w:val="auto"/>
          <w:szCs w:val="28"/>
        </w:rPr>
        <w:t>×</w:t>
      </w:r>
      <w:r>
        <w:rPr>
          <w:rFonts w:ascii="宋体" w:hAnsi="宋体"/>
          <w:color w:val="auto"/>
          <w:szCs w:val="28"/>
        </w:rPr>
        <w:t>258</w:t>
      </w:r>
      <w:r>
        <w:rPr>
          <w:rFonts w:hint="eastAsia" w:ascii="宋体" w:hAnsi="宋体"/>
          <w:color w:val="auto"/>
          <w:szCs w:val="28"/>
        </w:rPr>
        <w:t>×0.13×1000×64/22.4）/1000000t=0.</w:t>
      </w:r>
      <w:r>
        <w:rPr>
          <w:rFonts w:ascii="宋体" w:hAnsi="宋体"/>
          <w:color w:val="auto"/>
          <w:szCs w:val="28"/>
        </w:rPr>
        <w:t>0752</w:t>
      </w:r>
      <w:r>
        <w:rPr>
          <w:rFonts w:hint="eastAsia" w:ascii="宋体" w:hAnsi="宋体"/>
          <w:color w:val="auto"/>
          <w:szCs w:val="28"/>
        </w:rPr>
        <w:t>t</w:t>
      </w:r>
    </w:p>
    <w:p>
      <w:pPr>
        <w:topLinePunct/>
        <w:spacing w:line="520" w:lineRule="exact"/>
        <w:ind w:firstLine="560"/>
        <w:rPr>
          <w:rFonts w:ascii="宋体" w:hAnsi="宋体"/>
          <w:color w:val="auto"/>
          <w:szCs w:val="28"/>
        </w:rPr>
      </w:pPr>
      <w:r>
        <w:rPr>
          <w:rFonts w:ascii="宋体" w:hAnsi="宋体"/>
          <w:color w:val="auto"/>
          <w:szCs w:val="28"/>
        </w:rPr>
        <w:t>4</w:t>
      </w:r>
      <w:r>
        <w:rPr>
          <w:rFonts w:hint="eastAsia" w:ascii="宋体" w:hAnsi="宋体"/>
          <w:color w:val="auto"/>
          <w:szCs w:val="28"/>
        </w:rPr>
        <w:t>万</w:t>
      </w:r>
      <w:r>
        <w:rPr>
          <w:rFonts w:ascii="宋体" w:hAnsi="宋体"/>
          <w:color w:val="auto"/>
          <w:szCs w:val="28"/>
        </w:rPr>
        <w:t>t/a</w:t>
      </w:r>
      <w:r>
        <w:rPr>
          <w:rFonts w:hint="eastAsia" w:ascii="宋体" w:hAnsi="宋体"/>
          <w:color w:val="auto"/>
          <w:szCs w:val="28"/>
        </w:rPr>
        <w:t>生产线二氧化硫进入转化器进行转化，进过一次转化（转化率为95%）后，二氧化硫剩余量为0.00</w:t>
      </w:r>
      <w:r>
        <w:rPr>
          <w:rFonts w:ascii="宋体" w:hAnsi="宋体"/>
          <w:color w:val="auto"/>
          <w:szCs w:val="28"/>
        </w:rPr>
        <w:t>2485</w:t>
      </w:r>
      <w:r>
        <w:rPr>
          <w:rFonts w:hint="eastAsia" w:ascii="宋体" w:hAnsi="宋体"/>
          <w:color w:val="auto"/>
          <w:szCs w:val="28"/>
        </w:rPr>
        <w:t>t。进过二次转化后（转化率为3～4%），二次转化率取最大值3%计算，二氧化硫剩余量为0.00</w:t>
      </w:r>
      <w:r>
        <w:rPr>
          <w:rFonts w:ascii="宋体" w:hAnsi="宋体"/>
          <w:color w:val="auto"/>
          <w:szCs w:val="28"/>
        </w:rPr>
        <w:t>24</w:t>
      </w:r>
      <w:r>
        <w:rPr>
          <w:rFonts w:hint="eastAsia" w:ascii="宋体" w:hAnsi="宋体"/>
          <w:color w:val="auto"/>
          <w:szCs w:val="28"/>
        </w:rPr>
        <w:t>t。</w:t>
      </w:r>
    </w:p>
    <w:p>
      <w:pPr>
        <w:topLinePunct/>
        <w:spacing w:line="520" w:lineRule="exact"/>
        <w:ind w:firstLine="560"/>
        <w:rPr>
          <w:rFonts w:ascii="宋体" w:hAnsi="宋体"/>
          <w:color w:val="auto"/>
          <w:szCs w:val="28"/>
        </w:rPr>
      </w:pPr>
      <w:r>
        <w:rPr>
          <w:rFonts w:ascii="宋体" w:hAnsi="宋体"/>
          <w:color w:val="auto"/>
          <w:szCs w:val="28"/>
        </w:rPr>
        <w:t>8</w:t>
      </w:r>
      <w:r>
        <w:rPr>
          <w:rFonts w:hint="eastAsia" w:ascii="宋体" w:hAnsi="宋体"/>
          <w:color w:val="auto"/>
          <w:szCs w:val="28"/>
        </w:rPr>
        <w:t>万</w:t>
      </w:r>
      <w:r>
        <w:rPr>
          <w:rFonts w:ascii="宋体" w:hAnsi="宋体"/>
          <w:color w:val="auto"/>
          <w:szCs w:val="28"/>
        </w:rPr>
        <w:t>t/a</w:t>
      </w:r>
      <w:r>
        <w:rPr>
          <w:rFonts w:hint="eastAsia" w:ascii="宋体" w:hAnsi="宋体"/>
          <w:color w:val="auto"/>
          <w:szCs w:val="28"/>
        </w:rPr>
        <w:t>生产线二氧化硫进入转化器进行转化，进过一次转化（转化率为95%）后，二氧化硫剩余量为0.00</w:t>
      </w:r>
      <w:r>
        <w:rPr>
          <w:rFonts w:ascii="宋体" w:hAnsi="宋体"/>
          <w:color w:val="auto"/>
          <w:szCs w:val="28"/>
        </w:rPr>
        <w:t>376</w:t>
      </w:r>
      <w:r>
        <w:rPr>
          <w:rFonts w:hint="eastAsia" w:ascii="宋体" w:hAnsi="宋体"/>
          <w:color w:val="auto"/>
          <w:szCs w:val="28"/>
        </w:rPr>
        <w:t>t。进过二次转化后（转化率为3～4%），二次转化率取最大值3%计算，二氧化硫剩余量为0.</w:t>
      </w:r>
      <w:r>
        <w:rPr>
          <w:rFonts w:ascii="宋体" w:hAnsi="宋体"/>
          <w:color w:val="auto"/>
          <w:szCs w:val="28"/>
        </w:rPr>
        <w:t>0036</w:t>
      </w:r>
      <w:r>
        <w:rPr>
          <w:rFonts w:hint="eastAsia" w:ascii="宋体" w:hAnsi="宋体"/>
          <w:color w:val="auto"/>
          <w:szCs w:val="28"/>
        </w:rPr>
        <w:t>t。</w:t>
      </w:r>
    </w:p>
    <w:p>
      <w:pPr>
        <w:topLinePunct/>
        <w:spacing w:line="520" w:lineRule="exact"/>
        <w:ind w:firstLine="560"/>
        <w:rPr>
          <w:rFonts w:ascii="宋体" w:hAnsi="宋体"/>
          <w:color w:val="auto"/>
          <w:szCs w:val="28"/>
        </w:rPr>
      </w:pPr>
      <w:r>
        <w:rPr>
          <w:rFonts w:hint="eastAsia" w:ascii="宋体" w:hAnsi="宋体"/>
          <w:color w:val="auto"/>
          <w:szCs w:val="28"/>
        </w:rPr>
        <w:t>综上所述：本装置二氧化硫的总驻留量为：0.</w:t>
      </w:r>
      <w:r>
        <w:rPr>
          <w:rFonts w:ascii="宋体" w:hAnsi="宋体"/>
          <w:color w:val="auto"/>
          <w:szCs w:val="28"/>
        </w:rPr>
        <w:t>1371</w:t>
      </w:r>
      <w:r>
        <w:rPr>
          <w:rFonts w:hint="eastAsia" w:ascii="宋体" w:hAnsi="宋体"/>
          <w:color w:val="auto"/>
          <w:szCs w:val="28"/>
        </w:rPr>
        <w:t>t。</w:t>
      </w:r>
    </w:p>
    <w:p>
      <w:pPr>
        <w:topLinePunct/>
        <w:spacing w:line="520" w:lineRule="exact"/>
        <w:ind w:firstLine="560"/>
        <w:rPr>
          <w:rFonts w:ascii="宋体" w:hAnsi="宋体"/>
          <w:color w:val="auto"/>
          <w:szCs w:val="28"/>
        </w:rPr>
      </w:pPr>
      <w:r>
        <w:rPr>
          <w:rFonts w:hint="eastAsia" w:ascii="宋体" w:hAnsi="宋体"/>
          <w:color w:val="auto"/>
          <w:szCs w:val="28"/>
        </w:rPr>
        <w:t>S</w:t>
      </w:r>
      <w:r>
        <w:rPr>
          <w:rFonts w:ascii="宋体" w:hAnsi="宋体"/>
          <w:color w:val="auto"/>
          <w:szCs w:val="28"/>
          <w:vertAlign w:val="subscript"/>
        </w:rPr>
        <w:t>1</w:t>
      </w:r>
      <w:r>
        <w:rPr>
          <w:rFonts w:hint="eastAsia" w:ascii="宋体" w:hAnsi="宋体"/>
          <w:color w:val="auto"/>
          <w:szCs w:val="28"/>
        </w:rPr>
        <w:t>=</w:t>
      </w:r>
      <w:r>
        <w:rPr>
          <w:rFonts w:ascii="宋体" w:hAnsi="宋体"/>
          <w:color w:val="auto"/>
          <w:szCs w:val="28"/>
        </w:rPr>
        <w:t>0.1371/20</w:t>
      </w:r>
      <w:r>
        <w:rPr>
          <w:rFonts w:hint="eastAsia" w:ascii="宋体" w:hAnsi="宋体"/>
          <w:color w:val="auto"/>
          <w:szCs w:val="28"/>
        </w:rPr>
        <w:t>=</w:t>
      </w:r>
      <w:r>
        <w:rPr>
          <w:rFonts w:ascii="宋体" w:hAnsi="宋体"/>
          <w:color w:val="auto"/>
          <w:szCs w:val="28"/>
        </w:rPr>
        <w:t>0.0069</w:t>
      </w:r>
      <w:r>
        <w:rPr>
          <w:rFonts w:hint="eastAsia" w:ascii="宋体" w:hAnsi="宋体" w:cs="宋体"/>
          <w:color w:val="auto"/>
          <w:szCs w:val="28"/>
        </w:rPr>
        <w:t>＜1</w:t>
      </w:r>
    </w:p>
    <w:p>
      <w:pPr>
        <w:topLinePunct/>
        <w:spacing w:line="520" w:lineRule="exact"/>
        <w:ind w:firstLine="560"/>
        <w:rPr>
          <w:rFonts w:ascii="宋体" w:hAnsi="宋体"/>
          <w:color w:val="auto"/>
          <w:szCs w:val="28"/>
        </w:rPr>
      </w:pPr>
      <w:r>
        <w:rPr>
          <w:rFonts w:hint="eastAsia" w:ascii="宋体" w:hAnsi="宋体"/>
          <w:color w:val="auto"/>
          <w:szCs w:val="28"/>
        </w:rPr>
        <w:t>（2）三氧化硫的最大存在量：</w:t>
      </w:r>
    </w:p>
    <w:p>
      <w:pPr>
        <w:topLinePunct/>
        <w:spacing w:line="520" w:lineRule="exact"/>
        <w:ind w:firstLine="560"/>
        <w:rPr>
          <w:rFonts w:ascii="宋体" w:hAnsi="宋体"/>
          <w:color w:val="auto"/>
          <w:szCs w:val="28"/>
        </w:rPr>
      </w:pPr>
      <w:r>
        <w:rPr>
          <w:rFonts w:hint="eastAsia" w:ascii="宋体" w:hAnsi="宋体"/>
          <w:color w:val="auto"/>
          <w:szCs w:val="28"/>
        </w:rPr>
        <w:t>烟气中三氧化硫主要驻留于转化工段中，本装置中转化器之前的二氧化硫驻留量为</w:t>
      </w:r>
      <w:r>
        <w:rPr>
          <w:rFonts w:ascii="宋体" w:hAnsi="宋体"/>
          <w:color w:val="auto"/>
          <w:szCs w:val="28"/>
        </w:rPr>
        <w:t>0.1249</w:t>
      </w:r>
      <w:r>
        <w:rPr>
          <w:rFonts w:hint="eastAsia" w:ascii="宋体" w:hAnsi="宋体"/>
          <w:color w:val="auto"/>
          <w:szCs w:val="28"/>
        </w:rPr>
        <w:t>t，分子量为80，三氧化硫转化率为99.5%。三氧化硫的总量为： 0.</w:t>
      </w:r>
      <w:r>
        <w:rPr>
          <w:rFonts w:ascii="宋体" w:hAnsi="宋体"/>
          <w:color w:val="auto"/>
          <w:szCs w:val="28"/>
        </w:rPr>
        <w:t>1249</w:t>
      </w:r>
      <w:r>
        <w:rPr>
          <w:rFonts w:hint="eastAsia" w:ascii="宋体" w:hAnsi="宋体"/>
          <w:color w:val="auto"/>
          <w:szCs w:val="28"/>
        </w:rPr>
        <w:t>×（64/80）×0.995=0.</w:t>
      </w:r>
      <w:r>
        <w:rPr>
          <w:rFonts w:ascii="宋体" w:hAnsi="宋体"/>
          <w:color w:val="auto"/>
          <w:szCs w:val="28"/>
        </w:rPr>
        <w:t>155</w:t>
      </w:r>
      <w:r>
        <w:rPr>
          <w:rFonts w:hint="eastAsia" w:ascii="宋体" w:hAnsi="宋体"/>
          <w:color w:val="auto"/>
          <w:szCs w:val="28"/>
        </w:rPr>
        <w:t>t</w:t>
      </w:r>
    </w:p>
    <w:p>
      <w:pPr>
        <w:topLinePunct/>
        <w:spacing w:line="520" w:lineRule="exact"/>
        <w:ind w:firstLine="560"/>
        <w:rPr>
          <w:rFonts w:ascii="宋体" w:hAnsi="宋体"/>
          <w:color w:val="auto"/>
          <w:szCs w:val="28"/>
        </w:rPr>
      </w:pPr>
      <w:r>
        <w:rPr>
          <w:rFonts w:hint="eastAsia" w:ascii="宋体" w:hAnsi="宋体"/>
          <w:color w:val="auto"/>
          <w:szCs w:val="28"/>
        </w:rPr>
        <w:t>S</w:t>
      </w:r>
      <w:r>
        <w:rPr>
          <w:rFonts w:ascii="宋体" w:hAnsi="宋体"/>
          <w:color w:val="auto"/>
          <w:szCs w:val="28"/>
          <w:vertAlign w:val="subscript"/>
        </w:rPr>
        <w:t>2</w:t>
      </w:r>
      <w:r>
        <w:rPr>
          <w:rFonts w:hint="eastAsia" w:ascii="宋体" w:hAnsi="宋体"/>
          <w:color w:val="auto"/>
          <w:szCs w:val="28"/>
        </w:rPr>
        <w:t>=</w:t>
      </w:r>
      <w:r>
        <w:rPr>
          <w:rFonts w:ascii="宋体" w:hAnsi="宋体"/>
          <w:color w:val="auto"/>
          <w:szCs w:val="28"/>
        </w:rPr>
        <w:t>0.155/75</w:t>
      </w:r>
      <w:r>
        <w:rPr>
          <w:rFonts w:hint="eastAsia" w:ascii="宋体" w:hAnsi="宋体"/>
          <w:color w:val="auto"/>
          <w:szCs w:val="28"/>
        </w:rPr>
        <w:t>=</w:t>
      </w:r>
      <w:r>
        <w:rPr>
          <w:rFonts w:ascii="宋体" w:hAnsi="宋体"/>
          <w:color w:val="auto"/>
          <w:szCs w:val="28"/>
        </w:rPr>
        <w:t>0.0021</w:t>
      </w:r>
      <w:r>
        <w:rPr>
          <w:rFonts w:hint="eastAsia" w:ascii="宋体" w:hAnsi="宋体" w:cs="宋体"/>
          <w:color w:val="auto"/>
          <w:szCs w:val="28"/>
        </w:rPr>
        <w:t>＜1</w:t>
      </w:r>
    </w:p>
    <w:p>
      <w:pPr>
        <w:topLinePunct/>
        <w:ind w:firstLine="560"/>
        <w:rPr>
          <w:rFonts w:ascii="宋体" w:hAnsi="宋体" w:cs="宋体"/>
          <w:color w:val="auto"/>
          <w:szCs w:val="28"/>
        </w:rPr>
      </w:pPr>
      <w:r>
        <w:rPr>
          <w:rFonts w:hint="eastAsia" w:ascii="宋体" w:hAnsi="宋体" w:cs="宋体"/>
          <w:color w:val="auto"/>
          <w:szCs w:val="28"/>
        </w:rPr>
        <w:t>（3）柴油的最大储量</w:t>
      </w:r>
    </w:p>
    <w:p>
      <w:pPr>
        <w:topLinePunct/>
        <w:ind w:firstLine="560"/>
        <w:rPr>
          <w:rFonts w:ascii="宋体" w:hAnsi="宋体" w:cs="宋体"/>
          <w:color w:val="auto"/>
          <w:szCs w:val="28"/>
        </w:rPr>
      </w:pPr>
      <w:r>
        <w:rPr>
          <w:rFonts w:hint="eastAsia" w:ascii="宋体" w:hAnsi="宋体" w:cs="宋体"/>
          <w:color w:val="auto"/>
          <w:szCs w:val="28"/>
        </w:rPr>
        <w:t>跃进公司柴油为用多少买多少，公司柴油最大储量为4桶（800升），1升柴油=0.86克/立方厘米</w:t>
      </w:r>
      <w:r>
        <w:rPr>
          <w:rFonts w:hint="eastAsia" w:ascii="宋体" w:hAnsi="宋体" w:cs="宋体"/>
          <w:szCs w:val="28"/>
        </w:rPr>
        <w:t>×</w:t>
      </w:r>
      <w:r>
        <w:rPr>
          <w:rFonts w:hint="eastAsia" w:ascii="宋体" w:hAnsi="宋体" w:cs="宋体"/>
          <w:color w:val="auto"/>
          <w:szCs w:val="28"/>
        </w:rPr>
        <w:t>1000立方厘米=860克=0.00086吨，公司柴油最大储量为800</w:t>
      </w:r>
      <w:r>
        <w:rPr>
          <w:rFonts w:hint="eastAsia" w:ascii="宋体" w:hAnsi="宋体" w:cs="宋体"/>
          <w:szCs w:val="28"/>
        </w:rPr>
        <w:t>×</w:t>
      </w:r>
      <w:r>
        <w:rPr>
          <w:rFonts w:hint="eastAsia" w:ascii="宋体" w:hAnsi="宋体" w:cs="宋体"/>
          <w:color w:val="auto"/>
          <w:szCs w:val="28"/>
        </w:rPr>
        <w:t>0.00086=0.688吨，S</w:t>
      </w:r>
      <w:r>
        <w:rPr>
          <w:rFonts w:hint="eastAsia" w:ascii="宋体" w:hAnsi="宋体" w:cs="宋体"/>
          <w:color w:val="auto"/>
          <w:szCs w:val="28"/>
          <w:vertAlign w:val="subscript"/>
        </w:rPr>
        <w:t>3</w:t>
      </w:r>
      <w:r>
        <w:rPr>
          <w:rFonts w:hint="eastAsia" w:ascii="宋体" w:hAnsi="宋体" w:cs="宋体"/>
          <w:color w:val="auto"/>
          <w:szCs w:val="28"/>
        </w:rPr>
        <w:t>=0.688/5000=0.0001376＜1</w:t>
      </w:r>
    </w:p>
    <w:p>
      <w:pPr>
        <w:topLinePunct/>
        <w:ind w:firstLine="560"/>
        <w:rPr>
          <w:rFonts w:ascii="宋体" w:hAnsi="宋体" w:cs="宋体"/>
          <w:color w:val="auto"/>
          <w:szCs w:val="28"/>
        </w:rPr>
      </w:pPr>
      <w:r>
        <w:rPr>
          <w:rFonts w:hint="eastAsia" w:ascii="宋体" w:hAnsi="宋体" w:cs="宋体"/>
          <w:color w:val="auto"/>
          <w:szCs w:val="28"/>
        </w:rPr>
        <w:t>（4）</w:t>
      </w:r>
      <w:r>
        <w:rPr>
          <w:rFonts w:hint="eastAsia" w:hAnsi="宋体" w:cs="宋体"/>
          <w:szCs w:val="28"/>
        </w:rPr>
        <w:t>双氧水</w:t>
      </w:r>
      <w:r>
        <w:rPr>
          <w:rFonts w:hint="eastAsia" w:ascii="宋体" w:hAnsi="宋体" w:cs="宋体"/>
          <w:color w:val="auto"/>
          <w:szCs w:val="28"/>
        </w:rPr>
        <w:t>的最大存在量</w:t>
      </w:r>
    </w:p>
    <w:p>
      <w:pPr>
        <w:pStyle w:val="36"/>
        <w:topLinePunct/>
        <w:ind w:firstLine="560"/>
        <w:rPr>
          <w:rFonts w:ascii="宋体" w:hAnsi="宋体" w:cs="宋体"/>
          <w:color w:val="auto"/>
          <w:szCs w:val="28"/>
        </w:rPr>
      </w:pPr>
      <w:r>
        <w:rPr>
          <w:rFonts w:hint="eastAsia" w:ascii="宋体" w:hAnsi="宋体" w:cs="宋体"/>
          <w:color w:val="auto"/>
          <w:szCs w:val="28"/>
        </w:rPr>
        <w:t>本项目双氧水的浓度为27.5%，</w:t>
      </w:r>
      <w:r>
        <w:rPr>
          <w:rFonts w:hint="eastAsia" w:hAnsi="宋体" w:cs="宋体"/>
          <w:szCs w:val="28"/>
        </w:rPr>
        <w:t>双氧水</w:t>
      </w:r>
      <w:r>
        <w:rPr>
          <w:rFonts w:hint="eastAsia" w:ascii="宋体" w:hAnsi="宋体" w:cs="宋体"/>
          <w:color w:val="auto"/>
          <w:szCs w:val="28"/>
        </w:rPr>
        <w:t>最大储存量为42</w:t>
      </w:r>
      <w:r>
        <w:rPr>
          <w:rFonts w:hint="eastAsia" w:ascii="宋体" w:hAnsi="宋体" w:cs="宋体"/>
          <w:szCs w:val="28"/>
        </w:rPr>
        <w:t>×</w:t>
      </w:r>
      <w:r>
        <w:rPr>
          <w:rFonts w:hint="eastAsia" w:ascii="宋体" w:hAnsi="宋体" w:cs="宋体"/>
          <w:color w:val="auto"/>
          <w:szCs w:val="28"/>
        </w:rPr>
        <w:t>27.5%=11.55，S</w:t>
      </w:r>
      <w:r>
        <w:rPr>
          <w:rFonts w:hint="eastAsia" w:ascii="宋体" w:hAnsi="宋体" w:cs="宋体"/>
          <w:color w:val="auto"/>
          <w:szCs w:val="28"/>
          <w:vertAlign w:val="subscript"/>
        </w:rPr>
        <w:t>4</w:t>
      </w:r>
      <w:r>
        <w:rPr>
          <w:rFonts w:hint="eastAsia" w:ascii="宋体" w:hAnsi="宋体" w:cs="宋体"/>
          <w:color w:val="auto"/>
          <w:szCs w:val="28"/>
        </w:rPr>
        <w:t>=11.55/200=0.0577＜1</w:t>
      </w:r>
    </w:p>
    <w:p>
      <w:pPr>
        <w:topLinePunct/>
        <w:ind w:firstLine="560"/>
        <w:rPr>
          <w:rFonts w:ascii="宋体" w:hAnsi="宋体"/>
          <w:b/>
          <w:color w:val="auto"/>
          <w:szCs w:val="28"/>
        </w:rPr>
      </w:pPr>
      <w:r>
        <w:rPr>
          <w:rFonts w:hint="eastAsia" w:ascii="宋体" w:hAnsi="宋体"/>
          <w:color w:val="auto"/>
          <w:szCs w:val="28"/>
        </w:rPr>
        <w:t>综上所述，可知</w:t>
      </w:r>
      <w:r>
        <w:rPr>
          <w:rFonts w:hint="eastAsia" w:ascii="宋体" w:hAnsi="宋体"/>
          <w:b/>
          <w:bCs/>
          <w:color w:val="auto"/>
          <w:szCs w:val="28"/>
        </w:rPr>
        <w:t>漾濞县跃进化工有限责任公司未构成危险化学品重大危险源。</w:t>
      </w:r>
    </w:p>
    <w:p>
      <w:pPr>
        <w:pStyle w:val="3"/>
        <w:keepNext w:val="0"/>
        <w:keepLines w:val="0"/>
        <w:ind w:firstLine="562"/>
        <w:rPr>
          <w:rFonts w:ascii="黑体" w:hAnsi="黑体" w:eastAsia="黑体" w:cs="黑体"/>
        </w:rPr>
      </w:pPr>
      <w:bookmarkStart w:id="3765" w:name="_Toc72763224"/>
      <w:bookmarkStart w:id="3766" w:name="_Toc27462"/>
      <w:bookmarkStart w:id="3767" w:name="_Toc21616"/>
      <w:bookmarkStart w:id="3768" w:name="_Toc20268"/>
      <w:bookmarkStart w:id="3769" w:name="_Toc13893"/>
      <w:bookmarkStart w:id="3770" w:name="_Toc12208"/>
      <w:bookmarkStart w:id="3771" w:name="_Toc15955"/>
      <w:bookmarkStart w:id="3772" w:name="_Toc31971"/>
      <w:bookmarkStart w:id="3773" w:name="_Toc19913"/>
      <w:bookmarkStart w:id="3774" w:name="_Toc15499"/>
      <w:bookmarkStart w:id="3775" w:name="_Toc16167"/>
      <w:bookmarkStart w:id="3776" w:name="_Toc3542"/>
      <w:bookmarkStart w:id="3777" w:name="_Toc20317"/>
      <w:r>
        <w:rPr>
          <w:rFonts w:hint="eastAsia" w:ascii="黑体" w:hAnsi="黑体" w:eastAsia="黑体" w:cs="黑体"/>
        </w:rPr>
        <w:t xml:space="preserve">F2.8 </w:t>
      </w:r>
      <w:bookmarkEnd w:id="3765"/>
      <w:r>
        <w:rPr>
          <w:rFonts w:hint="eastAsia" w:ascii="黑体" w:hAnsi="黑体" w:eastAsia="黑体" w:cs="黑体"/>
        </w:rPr>
        <w:t>剧毒品、易制毒危险化学品、易制爆危险化学品辨识</w:t>
      </w:r>
      <w:bookmarkEnd w:id="3766"/>
      <w:bookmarkEnd w:id="3767"/>
      <w:bookmarkEnd w:id="3768"/>
      <w:bookmarkEnd w:id="3769"/>
      <w:bookmarkEnd w:id="3770"/>
      <w:bookmarkEnd w:id="3771"/>
      <w:bookmarkEnd w:id="3772"/>
      <w:bookmarkEnd w:id="3773"/>
      <w:bookmarkEnd w:id="3774"/>
      <w:bookmarkEnd w:id="3775"/>
      <w:bookmarkEnd w:id="3776"/>
      <w:bookmarkEnd w:id="3777"/>
    </w:p>
    <w:p>
      <w:pPr>
        <w:pStyle w:val="62"/>
        <w:topLinePunct/>
        <w:ind w:firstLine="536"/>
        <w:rPr>
          <w:rFonts w:ascii="宋体" w:hAnsi="宋体"/>
          <w:color w:val="auto"/>
          <w:spacing w:val="-6"/>
          <w:szCs w:val="28"/>
        </w:rPr>
      </w:pPr>
      <w:r>
        <w:rPr>
          <w:rFonts w:hint="eastAsia" w:ascii="宋体" w:hAnsi="宋体"/>
          <w:color w:val="auto"/>
          <w:spacing w:val="-6"/>
          <w:szCs w:val="28"/>
        </w:rPr>
        <w:t>根据《危险化学品目录》（2022调整版），本项目涉及硫酸、二氧化硫、三氧化硫、触媒（含五氧化二钒）、柴油、</w:t>
      </w:r>
      <w:r>
        <w:rPr>
          <w:rFonts w:hint="eastAsia" w:hAnsi="宋体" w:cs="宋体"/>
          <w:szCs w:val="28"/>
        </w:rPr>
        <w:t>双氧水</w:t>
      </w:r>
      <w:r>
        <w:rPr>
          <w:rFonts w:hint="eastAsia" w:ascii="宋体" w:hAnsi="宋体"/>
          <w:color w:val="auto"/>
          <w:spacing w:val="-6"/>
          <w:szCs w:val="28"/>
        </w:rPr>
        <w:t>不属于剧毒化学品。</w:t>
      </w:r>
    </w:p>
    <w:p>
      <w:pPr>
        <w:pStyle w:val="62"/>
        <w:topLinePunct/>
        <w:ind w:firstLine="560"/>
        <w:rPr>
          <w:rFonts w:ascii="宋体" w:hAnsi="宋体"/>
          <w:color w:val="auto"/>
          <w:szCs w:val="28"/>
        </w:rPr>
      </w:pPr>
      <w:r>
        <w:rPr>
          <w:rFonts w:hint="eastAsia" w:ascii="宋体" w:hAnsi="宋体"/>
          <w:color w:val="auto"/>
          <w:szCs w:val="28"/>
        </w:rPr>
        <w:t>根据《易制毒化学品管理条例》（中华人民共和国国务院令第445号，第653号第一次修订，第666号第二次修订，第703号第三次修订，2018年9月18日起施行）有关规定，对跃进化工生产过程涉及的危险化学品进行辩识，硫酸属于第三类易制毒危险化学品。</w:t>
      </w:r>
    </w:p>
    <w:p>
      <w:pPr>
        <w:pStyle w:val="62"/>
        <w:keepNext w:val="0"/>
        <w:keepLines w:val="0"/>
        <w:pageBreakBefore w:val="0"/>
        <w:widowControl w:val="0"/>
        <w:kinsoku/>
        <w:wordWrap/>
        <w:overflowPunct/>
        <w:topLinePunct/>
        <w:autoSpaceDE/>
        <w:autoSpaceDN/>
        <w:bidi w:val="0"/>
        <w:adjustRightInd w:val="0"/>
        <w:snapToGrid w:val="0"/>
        <w:spacing w:line="360" w:lineRule="auto"/>
        <w:ind w:firstLine="560"/>
        <w:textAlignment w:val="auto"/>
        <w:rPr>
          <w:rFonts w:ascii="宋体" w:hAnsi="宋体"/>
          <w:color w:val="auto"/>
          <w:szCs w:val="28"/>
        </w:rPr>
      </w:pPr>
      <w:r>
        <w:rPr>
          <w:rFonts w:hint="eastAsia" w:ascii="宋体" w:hAnsi="宋体"/>
          <w:color w:val="auto"/>
          <w:szCs w:val="28"/>
        </w:rPr>
        <w:t>根据《易制爆化学品名录》（2017年版）有关规定，对跃进化工生产过程涉及的危险化学品进行辩识，</w:t>
      </w:r>
      <w:r>
        <w:rPr>
          <w:rFonts w:hint="eastAsia" w:hAnsi="宋体" w:cs="宋体"/>
          <w:szCs w:val="28"/>
        </w:rPr>
        <w:t>双氧水</w:t>
      </w:r>
      <w:r>
        <w:rPr>
          <w:rFonts w:hint="eastAsia" w:ascii="宋体" w:hAnsi="宋体"/>
          <w:color w:val="auto"/>
          <w:szCs w:val="28"/>
        </w:rPr>
        <w:t>属于易制爆危险化学品。</w:t>
      </w:r>
    </w:p>
    <w:p>
      <w:pPr>
        <w:pStyle w:val="3"/>
        <w:keepNext w:val="0"/>
        <w:keepLines w:val="0"/>
        <w:pageBreakBefore w:val="0"/>
        <w:widowControl w:val="0"/>
        <w:kinsoku/>
        <w:wordWrap/>
        <w:overflowPunct/>
        <w:autoSpaceDE/>
        <w:autoSpaceDN/>
        <w:bidi w:val="0"/>
        <w:adjustRightInd w:val="0"/>
        <w:snapToGrid w:val="0"/>
        <w:spacing w:line="360" w:lineRule="auto"/>
        <w:ind w:firstLine="562"/>
        <w:textAlignment w:val="auto"/>
        <w:rPr>
          <w:rFonts w:ascii="黑体" w:hAnsi="黑体" w:eastAsia="黑体" w:cs="黑体"/>
        </w:rPr>
      </w:pPr>
      <w:bookmarkStart w:id="3778" w:name="_Toc31792"/>
      <w:bookmarkStart w:id="3779" w:name="_Toc10523"/>
      <w:bookmarkStart w:id="3780" w:name="_Toc22153"/>
      <w:bookmarkStart w:id="3781" w:name="_Toc8457"/>
      <w:bookmarkStart w:id="3782" w:name="_Toc8196"/>
      <w:bookmarkStart w:id="3783" w:name="_Toc12119"/>
      <w:bookmarkStart w:id="3784" w:name="_Toc30040"/>
      <w:bookmarkStart w:id="3785" w:name="_Toc18982"/>
      <w:bookmarkStart w:id="3786" w:name="_Toc12020"/>
      <w:bookmarkStart w:id="3787" w:name="_Toc30147"/>
      <w:bookmarkStart w:id="3788" w:name="_Toc9876"/>
      <w:bookmarkStart w:id="3789" w:name="_Toc25825"/>
      <w:r>
        <w:rPr>
          <w:rFonts w:hint="eastAsia" w:ascii="黑体" w:hAnsi="黑体" w:eastAsia="黑体" w:cs="黑体"/>
        </w:rPr>
        <w:t>F2.9重点监管的危险化学品辨识</w:t>
      </w:r>
      <w:bookmarkEnd w:id="3778"/>
      <w:bookmarkEnd w:id="3779"/>
      <w:bookmarkEnd w:id="3780"/>
      <w:bookmarkEnd w:id="3781"/>
      <w:bookmarkEnd w:id="3782"/>
      <w:bookmarkEnd w:id="3783"/>
      <w:bookmarkEnd w:id="3784"/>
      <w:bookmarkEnd w:id="3785"/>
      <w:bookmarkEnd w:id="3786"/>
      <w:bookmarkEnd w:id="3787"/>
      <w:bookmarkEnd w:id="3788"/>
      <w:bookmarkEnd w:id="3789"/>
    </w:p>
    <w:p>
      <w:pPr>
        <w:pStyle w:val="62"/>
        <w:keepNext w:val="0"/>
        <w:keepLines w:val="0"/>
        <w:pageBreakBefore w:val="0"/>
        <w:widowControl w:val="0"/>
        <w:kinsoku/>
        <w:wordWrap/>
        <w:overflowPunct/>
        <w:topLinePunct/>
        <w:autoSpaceDE/>
        <w:autoSpaceDN/>
        <w:bidi w:val="0"/>
        <w:adjustRightInd w:val="0"/>
        <w:snapToGrid w:val="0"/>
        <w:spacing w:line="360" w:lineRule="auto"/>
        <w:ind w:firstLine="560"/>
        <w:textAlignment w:val="auto"/>
        <w:rPr>
          <w:rFonts w:ascii="宋体" w:hAnsi="宋体"/>
          <w:color w:val="auto"/>
          <w:szCs w:val="28"/>
        </w:rPr>
      </w:pPr>
      <w:r>
        <w:rPr>
          <w:rFonts w:hint="eastAsia" w:ascii="宋体" w:hAnsi="宋体"/>
          <w:color w:val="auto"/>
          <w:szCs w:val="28"/>
        </w:rPr>
        <w:t>依据《国家安全监管总局关于公布首批重点监管的危险化学品名录的通知》（安监总管三〔2011〕95号）有关规定，本项目生产过程涉及的危险化学品中，二氧化硫、三氧化硫为首批重点监管的危险化学品，但在本装置中二氧化硫、三氧化硫在烟气和尾气中的含量较低，为中间产物，且不涉及上述物料的储存。</w:t>
      </w:r>
    </w:p>
    <w:p>
      <w:pPr>
        <w:pStyle w:val="62"/>
        <w:keepNext w:val="0"/>
        <w:keepLines w:val="0"/>
        <w:pageBreakBefore w:val="0"/>
        <w:widowControl w:val="0"/>
        <w:kinsoku/>
        <w:wordWrap/>
        <w:overflowPunct/>
        <w:topLinePunct/>
        <w:autoSpaceDE/>
        <w:autoSpaceDN/>
        <w:bidi w:val="0"/>
        <w:adjustRightInd w:val="0"/>
        <w:snapToGrid w:val="0"/>
        <w:spacing w:line="360" w:lineRule="auto"/>
        <w:ind w:firstLine="560"/>
        <w:textAlignment w:val="auto"/>
        <w:rPr>
          <w:rFonts w:ascii="宋体" w:hAnsi="宋体"/>
          <w:color w:val="auto"/>
          <w:szCs w:val="28"/>
        </w:rPr>
      </w:pPr>
      <w:r>
        <w:rPr>
          <w:rFonts w:hint="eastAsia" w:ascii="宋体" w:hAnsi="宋体"/>
          <w:color w:val="auto"/>
          <w:szCs w:val="28"/>
        </w:rPr>
        <w:t>根据国家安全监管总局《关于公布第二批重点监管危险化学品名录的通知》（安监总管三〔2013〕12号）有关规定，跃进化工生产过程涉及的危险化学品中，未涉及第二批重点监管的危险化学品。</w:t>
      </w:r>
    </w:p>
    <w:p>
      <w:pPr>
        <w:pStyle w:val="3"/>
        <w:keepNext w:val="0"/>
        <w:keepLines w:val="0"/>
        <w:ind w:firstLine="562"/>
        <w:rPr>
          <w:rFonts w:ascii="黑体" w:hAnsi="黑体" w:eastAsia="黑体" w:cs="黑体"/>
        </w:rPr>
      </w:pPr>
      <w:bookmarkStart w:id="3790" w:name="_Toc13487"/>
      <w:bookmarkStart w:id="3791" w:name="_Toc3125"/>
      <w:bookmarkStart w:id="3792" w:name="_Toc14093"/>
      <w:bookmarkStart w:id="3793" w:name="_Toc16515"/>
      <w:bookmarkStart w:id="3794" w:name="_Toc16910"/>
      <w:bookmarkStart w:id="3795" w:name="_Toc26941"/>
      <w:bookmarkStart w:id="3796" w:name="_Toc1175"/>
      <w:bookmarkStart w:id="3797" w:name="_Toc2841"/>
      <w:bookmarkStart w:id="3798" w:name="_Toc19106"/>
      <w:bookmarkStart w:id="3799" w:name="_Toc4710"/>
      <w:bookmarkStart w:id="3800" w:name="_Toc25377"/>
      <w:bookmarkStart w:id="3801" w:name="_Toc18103"/>
      <w:r>
        <w:rPr>
          <w:rFonts w:hint="eastAsia" w:ascii="黑体" w:hAnsi="黑体" w:eastAsia="黑体" w:cs="黑体"/>
        </w:rPr>
        <w:t>F2.10重点监管的危险化工工艺辨识</w:t>
      </w:r>
      <w:bookmarkEnd w:id="3790"/>
      <w:bookmarkEnd w:id="3791"/>
      <w:bookmarkEnd w:id="3792"/>
      <w:bookmarkEnd w:id="3793"/>
      <w:bookmarkEnd w:id="3794"/>
      <w:bookmarkEnd w:id="3795"/>
      <w:bookmarkEnd w:id="3796"/>
      <w:bookmarkEnd w:id="3797"/>
      <w:bookmarkEnd w:id="3798"/>
      <w:bookmarkEnd w:id="3799"/>
      <w:bookmarkEnd w:id="3800"/>
      <w:bookmarkEnd w:id="3801"/>
    </w:p>
    <w:p>
      <w:pPr>
        <w:ind w:firstLine="560"/>
        <w:rPr>
          <w:rFonts w:ascii="宋体" w:hAnsi="宋体"/>
        </w:rPr>
      </w:pPr>
      <w:r>
        <w:rPr>
          <w:rFonts w:hint="eastAsia"/>
        </w:rPr>
        <w:t>根据《国家安全监管总局关于公布首批重点监管的危险化工工艺目录的通知》（安监总管三〔2009〕116号）及《国家安全监管总局关于公布第二批重点监管危险化工工艺目录和调整首批重点监管危险化工工艺中部分典型工艺的通知》（安监总管三〔2013〕3号），</w:t>
      </w:r>
      <w:r>
        <w:rPr>
          <w:rFonts w:hint="eastAsia" w:ascii="宋体" w:hAnsi="宋体"/>
        </w:rPr>
        <w:t>跃进化工</w:t>
      </w:r>
      <w:r>
        <w:rPr>
          <w:rFonts w:ascii="宋体" w:hAnsi="宋体"/>
        </w:rPr>
        <w:t>生产工艺</w:t>
      </w:r>
      <w:r>
        <w:rPr>
          <w:rFonts w:hint="eastAsia" w:ascii="宋体" w:hAnsi="宋体"/>
        </w:rPr>
        <w:t>不</w:t>
      </w:r>
      <w:r>
        <w:rPr>
          <w:rFonts w:ascii="宋体" w:hAnsi="宋体"/>
        </w:rPr>
        <w:t>属于重点监管的危险化工工艺</w:t>
      </w:r>
      <w:r>
        <w:rPr>
          <w:rFonts w:hint="eastAsia" w:ascii="宋体" w:hAnsi="宋体"/>
        </w:rPr>
        <w:t>。</w:t>
      </w:r>
    </w:p>
    <w:p>
      <w:pPr>
        <w:pStyle w:val="3"/>
        <w:keepNext w:val="0"/>
        <w:keepLines w:val="0"/>
        <w:ind w:firstLine="562"/>
        <w:rPr>
          <w:rFonts w:ascii="黑体" w:hAnsi="黑体" w:eastAsia="黑体" w:cs="黑体"/>
        </w:rPr>
      </w:pPr>
      <w:bookmarkStart w:id="3802" w:name="_Toc13310"/>
      <w:bookmarkStart w:id="3803" w:name="_Toc26745"/>
      <w:bookmarkStart w:id="3804" w:name="_Toc17198"/>
      <w:bookmarkStart w:id="3805" w:name="_Toc16041"/>
      <w:bookmarkStart w:id="3806" w:name="_Toc4497"/>
      <w:bookmarkStart w:id="3807" w:name="_Toc9925"/>
      <w:bookmarkStart w:id="3808" w:name="_Toc31648"/>
      <w:bookmarkStart w:id="3809" w:name="_Toc28375"/>
      <w:bookmarkStart w:id="3810" w:name="_Toc26946"/>
      <w:bookmarkStart w:id="3811" w:name="_Toc7688"/>
      <w:bookmarkStart w:id="3812" w:name="_Toc14217"/>
      <w:bookmarkStart w:id="3813" w:name="_Toc31961"/>
      <w:r>
        <w:rPr>
          <w:rFonts w:hint="eastAsia" w:ascii="黑体" w:hAnsi="黑体" w:eastAsia="黑体" w:cs="黑体"/>
        </w:rPr>
        <w:t>F2.11高毒物品辨识</w:t>
      </w:r>
      <w:bookmarkEnd w:id="3802"/>
      <w:bookmarkEnd w:id="3803"/>
      <w:bookmarkEnd w:id="3804"/>
      <w:bookmarkEnd w:id="3805"/>
      <w:bookmarkEnd w:id="3806"/>
      <w:bookmarkEnd w:id="3807"/>
      <w:bookmarkEnd w:id="3808"/>
      <w:bookmarkEnd w:id="3809"/>
      <w:bookmarkEnd w:id="3810"/>
      <w:bookmarkEnd w:id="3811"/>
      <w:bookmarkEnd w:id="3812"/>
      <w:bookmarkEnd w:id="3813"/>
    </w:p>
    <w:p>
      <w:pPr>
        <w:pStyle w:val="62"/>
        <w:topLinePunct/>
        <w:ind w:firstLine="560"/>
        <w:rPr>
          <w:rFonts w:ascii="宋体" w:hAnsi="宋体"/>
          <w:color w:val="auto"/>
          <w:szCs w:val="28"/>
        </w:rPr>
      </w:pPr>
      <w:r>
        <w:rPr>
          <w:rFonts w:hint="eastAsia" w:ascii="宋体" w:hAnsi="宋体"/>
          <w:color w:val="auto"/>
          <w:szCs w:val="28"/>
        </w:rPr>
        <w:t>根据《高毒物品目录》（2003年版）有关规定，跃进化工生产经营过程不涉及高毒物品。</w:t>
      </w:r>
    </w:p>
    <w:p>
      <w:pPr>
        <w:pStyle w:val="3"/>
        <w:keepNext w:val="0"/>
        <w:keepLines w:val="0"/>
        <w:ind w:firstLine="562"/>
        <w:rPr>
          <w:rFonts w:ascii="黑体" w:hAnsi="黑体" w:eastAsia="黑体" w:cs="黑体"/>
        </w:rPr>
      </w:pPr>
      <w:bookmarkStart w:id="3814" w:name="_Toc11120"/>
      <w:bookmarkStart w:id="3815" w:name="_Toc15392"/>
      <w:bookmarkStart w:id="3816" w:name="_Toc25283"/>
      <w:bookmarkStart w:id="3817" w:name="_Toc18005"/>
      <w:bookmarkStart w:id="3818" w:name="_Toc15663"/>
      <w:bookmarkStart w:id="3819" w:name="_Toc30741"/>
      <w:bookmarkStart w:id="3820" w:name="_Toc6300"/>
      <w:bookmarkStart w:id="3821" w:name="_Toc921"/>
      <w:bookmarkStart w:id="3822" w:name="_Toc5287"/>
      <w:bookmarkStart w:id="3823" w:name="_Toc22863"/>
      <w:bookmarkStart w:id="3824" w:name="_Toc21372"/>
      <w:bookmarkStart w:id="3825" w:name="_Toc17360"/>
      <w:r>
        <w:rPr>
          <w:rFonts w:hint="eastAsia" w:ascii="黑体" w:hAnsi="黑体" w:eastAsia="黑体" w:cs="黑体"/>
        </w:rPr>
        <w:t>F2.12特别管控危险化学品辨识</w:t>
      </w:r>
      <w:bookmarkEnd w:id="3814"/>
      <w:bookmarkEnd w:id="3815"/>
      <w:bookmarkEnd w:id="3816"/>
      <w:bookmarkEnd w:id="3817"/>
      <w:bookmarkEnd w:id="3818"/>
      <w:bookmarkEnd w:id="3819"/>
      <w:bookmarkEnd w:id="3820"/>
      <w:bookmarkEnd w:id="3821"/>
      <w:bookmarkEnd w:id="3822"/>
      <w:bookmarkEnd w:id="3823"/>
      <w:bookmarkEnd w:id="3824"/>
      <w:bookmarkEnd w:id="3825"/>
    </w:p>
    <w:p>
      <w:pPr>
        <w:pStyle w:val="62"/>
        <w:topLinePunct/>
        <w:ind w:firstLine="560"/>
        <w:rPr>
          <w:rFonts w:ascii="宋体" w:hAnsi="宋体"/>
          <w:color w:val="auto"/>
          <w:szCs w:val="28"/>
        </w:rPr>
      </w:pPr>
      <w:r>
        <w:rPr>
          <w:rFonts w:hint="eastAsia" w:ascii="宋体" w:hAnsi="宋体"/>
          <w:color w:val="auto"/>
          <w:szCs w:val="28"/>
        </w:rPr>
        <w:t>根据《特别管控危险化学品目录》</w:t>
      </w:r>
      <w:r>
        <w:rPr>
          <w:rFonts w:ascii="宋体" w:hAnsi="宋体"/>
          <w:color w:val="auto"/>
          <w:szCs w:val="28"/>
        </w:rPr>
        <w:t>（2020年第1号）</w:t>
      </w:r>
      <w:r>
        <w:rPr>
          <w:rFonts w:hint="eastAsia" w:ascii="宋体" w:hAnsi="宋体"/>
          <w:color w:val="auto"/>
          <w:szCs w:val="28"/>
        </w:rPr>
        <w:t>有关规定，跃进化工硫酸生产过程涉及的危险化学品中不涉及特别管控的危险化学品。</w:t>
      </w:r>
    </w:p>
    <w:p>
      <w:pPr>
        <w:pStyle w:val="3"/>
        <w:keepNext w:val="0"/>
        <w:keepLines w:val="0"/>
        <w:ind w:firstLine="562"/>
        <w:rPr>
          <w:rFonts w:hint="eastAsia" w:ascii="黑体" w:hAnsi="黑体" w:eastAsia="黑体" w:cs="黑体"/>
          <w:color w:val="000000" w:themeColor="text1"/>
        </w:rPr>
      </w:pPr>
      <w:bookmarkStart w:id="3826" w:name="_Toc9206"/>
      <w:bookmarkStart w:id="3827" w:name="_Toc7174"/>
      <w:bookmarkStart w:id="3828" w:name="_Toc5609"/>
      <w:bookmarkStart w:id="3829" w:name="_Toc2388"/>
      <w:r>
        <w:rPr>
          <w:rFonts w:hint="eastAsia" w:ascii="黑体" w:hAnsi="黑体" w:eastAsia="黑体" w:cs="黑体"/>
        </w:rPr>
        <w:t>F2.1</w:t>
      </w:r>
      <w:r>
        <w:rPr>
          <w:rFonts w:hint="eastAsia" w:ascii="黑体" w:hAnsi="黑体" w:eastAsia="黑体" w:cs="黑体"/>
          <w:lang w:val="en-US" w:eastAsia="zh-CN"/>
        </w:rPr>
        <w:t>3</w:t>
      </w:r>
      <w:r>
        <w:rPr>
          <w:rFonts w:hint="eastAsia" w:ascii="黑体" w:hAnsi="黑体" w:eastAsia="黑体" w:cs="黑体"/>
          <w:color w:val="000000" w:themeColor="text1"/>
        </w:rPr>
        <w:t>淘汰落后危险化学品安全生产工艺技术设备辨识</w:t>
      </w:r>
      <w:bookmarkEnd w:id="3826"/>
      <w:bookmarkEnd w:id="3827"/>
      <w:bookmarkEnd w:id="3828"/>
      <w:bookmarkEnd w:id="3829"/>
    </w:p>
    <w:p>
      <w:pPr>
        <w:tabs>
          <w:tab w:val="left" w:pos="0"/>
        </w:tabs>
        <w:ind w:firstLine="560"/>
        <w:rPr>
          <w:rFonts w:hint="eastAsia" w:ascii="宋体" w:hAnsi="宋体"/>
          <w:color w:val="auto"/>
          <w:szCs w:val="28"/>
        </w:rPr>
      </w:pPr>
      <w:r>
        <w:rPr>
          <w:rFonts w:ascii="宋体" w:hAnsi="宋体"/>
        </w:rPr>
        <w:t>根据</w:t>
      </w:r>
      <w:r>
        <w:rPr>
          <w:rFonts w:hint="eastAsia" w:ascii="宋体" w:hAnsi="宋体" w:cs="宋体"/>
          <w:color w:val="000000" w:themeColor="text1"/>
        </w:rPr>
        <w:t>《淘汰落后危险化学品安全生产工艺技术设备目录（第一批）》（应急厅〔2020〕38号，2020年10月23日公布）</w:t>
      </w:r>
      <w:r>
        <w:rPr>
          <w:rFonts w:hint="eastAsia" w:ascii="宋体" w:hAnsi="宋体" w:cs="宋体"/>
          <w:color w:val="000000" w:themeColor="text1"/>
          <w:lang w:eastAsia="zh-CN"/>
        </w:rPr>
        <w:t>、</w:t>
      </w:r>
      <w:r>
        <w:rPr>
          <w:rFonts w:hint="eastAsia" w:ascii="宋体" w:hAnsi="宋体" w:eastAsia="宋体" w:cs="宋体"/>
          <w:b w:val="0"/>
          <w:bCs w:val="0"/>
          <w:color w:val="auto"/>
          <w:sz w:val="28"/>
          <w:szCs w:val="28"/>
          <w:u w:val="none" w:color="auto"/>
          <w:lang w:val="en-US" w:eastAsia="zh-CN"/>
        </w:rPr>
        <w:t>应急管理部办公厅关于印发《淘汰落后危险化学品安全生产工艺技术设备目录（第二批）》的通知（应急厅〔2024〕86号）</w:t>
      </w:r>
      <w:r>
        <w:rPr>
          <w:rFonts w:hint="eastAsia" w:ascii="宋体" w:hAnsi="宋体"/>
          <w:color w:val="auto"/>
          <w:szCs w:val="28"/>
        </w:rPr>
        <w:t>有关规定</w:t>
      </w:r>
      <w:r>
        <w:rPr>
          <w:rFonts w:hint="eastAsia" w:ascii="宋体" w:hAnsi="宋体"/>
          <w:lang w:eastAsia="zh-CN"/>
        </w:rPr>
        <w:t>，</w:t>
      </w:r>
      <w:r>
        <w:rPr>
          <w:rFonts w:hint="eastAsia" w:ascii="宋体" w:hAnsi="宋体"/>
          <w:color w:val="auto"/>
          <w:szCs w:val="28"/>
        </w:rPr>
        <w:t>跃进化工</w:t>
      </w:r>
      <w:r>
        <w:rPr>
          <w:rFonts w:hint="eastAsia" w:ascii="宋体" w:hAnsi="宋体"/>
          <w:color w:val="auto"/>
          <w:szCs w:val="28"/>
          <w:lang w:val="en-US" w:eastAsia="zh-CN"/>
        </w:rPr>
        <w:t>安全</w:t>
      </w:r>
      <w:r>
        <w:rPr>
          <w:rFonts w:hint="eastAsia" w:ascii="宋体" w:hAnsi="宋体"/>
          <w:color w:val="auto"/>
          <w:szCs w:val="28"/>
        </w:rPr>
        <w:t>生产</w:t>
      </w:r>
      <w:r>
        <w:rPr>
          <w:rFonts w:hint="eastAsia" w:ascii="宋体" w:hAnsi="宋体"/>
          <w:color w:val="auto"/>
          <w:szCs w:val="28"/>
          <w:lang w:val="en-US" w:eastAsia="zh-CN"/>
        </w:rPr>
        <w:t>工艺技术设备不</w:t>
      </w:r>
      <w:r>
        <w:rPr>
          <w:rFonts w:hint="eastAsia" w:ascii="宋体" w:hAnsi="宋体"/>
          <w:color w:val="auto"/>
          <w:szCs w:val="28"/>
        </w:rPr>
        <w:t>涉及</w:t>
      </w:r>
      <w:r>
        <w:rPr>
          <w:rFonts w:hint="eastAsia" w:ascii="宋体" w:hAnsi="宋体" w:eastAsia="宋体" w:cs="宋体"/>
          <w:b w:val="0"/>
          <w:bCs w:val="0"/>
          <w:sz w:val="28"/>
          <w:szCs w:val="28"/>
          <w:u w:val="none" w:color="auto"/>
          <w:shd w:val="clear" w:fill="FFFFFF"/>
        </w:rPr>
        <w:t>淘汰落后危险化学品安全生产工艺技术设备的</w:t>
      </w:r>
      <w:r>
        <w:rPr>
          <w:rFonts w:hint="eastAsia" w:ascii="宋体" w:hAnsi="宋体" w:eastAsia="宋体" w:cs="宋体"/>
          <w:b w:val="0"/>
          <w:bCs w:val="0"/>
          <w:sz w:val="28"/>
          <w:szCs w:val="28"/>
          <w:u w:val="none" w:color="auto"/>
          <w:shd w:val="clear" w:fill="FFFFFF"/>
          <w:lang w:val="en-US" w:eastAsia="zh-CN"/>
        </w:rPr>
        <w:t>内容</w:t>
      </w:r>
      <w:r>
        <w:rPr>
          <w:rFonts w:hint="eastAsia" w:ascii="宋体" w:hAnsi="宋体"/>
          <w:color w:val="auto"/>
          <w:szCs w:val="28"/>
        </w:rPr>
        <w:t>。</w:t>
      </w:r>
    </w:p>
    <w:p>
      <w:pPr>
        <w:tabs>
          <w:tab w:val="left" w:pos="0"/>
        </w:tabs>
        <w:ind w:firstLine="560"/>
        <w:jc w:val="center"/>
        <w:rPr>
          <w:rFonts w:hint="eastAsia" w:ascii="宋体" w:hAnsi="宋体"/>
          <w:b/>
          <w:bCs/>
          <w:color w:val="auto"/>
          <w:sz w:val="21"/>
          <w:szCs w:val="21"/>
          <w:lang w:val="en-US" w:eastAsia="zh-CN"/>
        </w:rPr>
      </w:pPr>
    </w:p>
    <w:p>
      <w:pPr>
        <w:tabs>
          <w:tab w:val="left" w:pos="0"/>
        </w:tabs>
        <w:ind w:firstLine="560"/>
        <w:jc w:val="center"/>
        <w:rPr>
          <w:rFonts w:hint="default" w:ascii="宋体" w:hAnsi="宋体" w:eastAsia="宋体"/>
          <w:b/>
          <w:bCs/>
          <w:color w:val="auto"/>
          <w:sz w:val="21"/>
          <w:szCs w:val="21"/>
          <w:lang w:val="en-US" w:eastAsia="zh-CN"/>
        </w:rPr>
      </w:pPr>
      <w:r>
        <w:rPr>
          <w:rFonts w:hint="eastAsia" w:ascii="宋体" w:hAnsi="宋体"/>
          <w:b/>
          <w:bCs/>
          <w:color w:val="auto"/>
          <w:sz w:val="21"/>
          <w:szCs w:val="21"/>
          <w:lang w:val="en-US" w:eastAsia="zh-CN"/>
        </w:rPr>
        <w:t>F表2.13-1</w:t>
      </w:r>
      <w:r>
        <w:rPr>
          <w:rFonts w:hint="eastAsia" w:ascii="宋体" w:hAnsi="宋体" w:cs="宋体"/>
          <w:b/>
          <w:bCs/>
          <w:color w:val="000000" w:themeColor="text1"/>
          <w:sz w:val="21"/>
          <w:szCs w:val="21"/>
        </w:rPr>
        <w:t>淘汰落后危险化学品安全生产工艺技术设备目录（第一批）辨识</w:t>
      </w:r>
    </w:p>
    <w:tbl>
      <w:tblPr>
        <w:tblStyle w:val="3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367"/>
        <w:gridCol w:w="1420"/>
        <w:gridCol w:w="1950"/>
        <w:gridCol w:w="543"/>
        <w:gridCol w:w="1227"/>
        <w:gridCol w:w="1275"/>
        <w:gridCol w:w="1798"/>
        <w:gridCol w:w="5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2"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序号</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淘汰落后工艺技术装备名称</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淘汰原因</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淘汰</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类型</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限制范围</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代替的技术</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或装备名称</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依据</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92" w:hRule="atLeast"/>
        </w:trPr>
        <w:tc>
          <w:tcPr>
            <w:tcW w:w="6782" w:type="dxa"/>
            <w:gridSpan w:val="6"/>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一、淘汰落后的工艺技术</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 </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0"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1</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采用氨冷冻盐水的氯气液化工艺</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氨漏入盐水中形成氨盐，再漏入液氯中，形成三氯化氮，易发生爆炸。</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限制</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两年内改造完毕</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环保型冷冻剂</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《安全生产法》第三十五条</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0"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2</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用火直接加热的涂料用树脂生产工艺</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安全风险大。</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禁止</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 </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 </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列入国家发展改革委《产业结构调整指导目录（2019年本）》“淘汰类”</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3</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常压固定床间歇煤气化工艺</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自动化程度相对较低，人工加煤、下灰时易发生火灾、爆炸、灼烫等事故。</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限制</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新、扩建项目禁止采用</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新型煤气化技术</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《安全生产法》第三十五条</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0"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4</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常压中和法硝酸铵生产工艺</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常压反应釜内物料量大，反应速度慢且不均匀，尾气逸出量大，安全风险大。</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禁止</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三聚氰胺尾气综合利用项目除外</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加压中和法或管式反应器法硝酸铵生产工艺</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《安全生产法》第三十五条</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trPr>
        <w:tc>
          <w:tcPr>
            <w:tcW w:w="6782" w:type="dxa"/>
            <w:gridSpan w:val="6"/>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二、淘汰落后的设备</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 </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64"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1</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敞开式离心机</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6"/>
                <w:sz w:val="18"/>
                <w:szCs w:val="18"/>
              </w:rPr>
              <w:t>缺乏有效密封，工作过程中物料及蒸气逸出带来的安全风险高。</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限制</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涉及易燃、有毒物料禁用</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密闭式离心机</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《安全生产法》第三十五条</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0"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2</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多节钟罩的氯乙烯气柜</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气柜导轨容易发生卡涩，使物料泄漏。</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限制</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新、扩建项目禁止，现有多节气柜按照单节气柜改造运行</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单节钟罩气柜</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《安全生产法》第三十五条</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1"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3</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煤制甲醇装置气体净化工序三元换热器</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在此环境下，易发生腐蚀造成泄漏。</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禁止</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 </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常规列管换热器、板式换热器等</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《安全生产法》第三十五条</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0"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4</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未设置密闭及自动吸收系统的液氯储存仓库</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安全风险高，易发生中毒事故。</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限制</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一年内改造完毕</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仓库密闭，并设置与报警联锁的自动吸收装置</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《危险化学品企业安全隐患排查治理导则》</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5</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采用明火高温加热方式生产石油制品的釜式蒸馏装置</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安全风险高，易发生火灾爆炸事故。</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禁止</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 </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常减压蒸馏塔</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列入国家发展改革委《产业结构调整指导目录（2019年本）》“淘汰类”</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50"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6</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开放式（又称敞开式）、内燃式（又称半密闭式或半开放式）电石炉</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安全风险高，易发生火灾、爆炸、灼烫事故。</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禁止</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 </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密闭式电石炉</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电石行业产业政策</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0"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7</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无火焰监测和熄火保护系统的燃气加热炉、导热油炉</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燃气加热炉、导热油炉缺乏火焰监测和熄火保护系统的，容易导致炉膛爆炸。</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限制</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一年内改造完毕，科研实验用炉不受限制</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带有火焰监测和熄火保护系统的燃气加热炉、导热油炉</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《安全生产法》第三十五条</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0" w:hRule="atLeast"/>
        </w:trPr>
        <w:tc>
          <w:tcPr>
            <w:tcW w:w="36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8</w:t>
            </w:r>
          </w:p>
        </w:tc>
        <w:tc>
          <w:tcPr>
            <w:tcW w:w="142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液化烃、液氯、液氨管道用软管</w:t>
            </w:r>
          </w:p>
        </w:tc>
        <w:tc>
          <w:tcPr>
            <w:tcW w:w="1950"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缺乏检测要求，安全可靠性低。</w:t>
            </w:r>
          </w:p>
        </w:tc>
        <w:tc>
          <w:tcPr>
            <w:tcW w:w="543"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禁止</w:t>
            </w:r>
          </w:p>
        </w:tc>
        <w:tc>
          <w:tcPr>
            <w:tcW w:w="1227"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20"/>
                <w:sz w:val="18"/>
                <w:szCs w:val="18"/>
              </w:rPr>
              <w:t>码头使用的金属软管和电子级产品使用的软管除外</w:t>
            </w:r>
          </w:p>
        </w:tc>
        <w:tc>
          <w:tcPr>
            <w:tcW w:w="1275"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金属制压力管道或万向充装系统</w:t>
            </w:r>
          </w:p>
        </w:tc>
        <w:tc>
          <w:tcPr>
            <w:tcW w:w="1798"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color w:val="333333"/>
                <w:sz w:val="18"/>
                <w:szCs w:val="18"/>
              </w:rPr>
            </w:pPr>
            <w:r>
              <w:rPr>
                <w:rFonts w:hint="eastAsia" w:ascii="宋体" w:hAnsi="宋体" w:eastAsia="宋体" w:cs="宋体"/>
                <w:i w:val="0"/>
                <w:iCs w:val="0"/>
                <w:caps w:val="0"/>
                <w:color w:val="333333"/>
                <w:spacing w:val="0"/>
                <w:sz w:val="18"/>
                <w:szCs w:val="18"/>
              </w:rPr>
              <w:t>《石油化工企业设计防火规范》（GB 50160-2008）（2018版）</w:t>
            </w:r>
          </w:p>
        </w:tc>
        <w:tc>
          <w:tcPr>
            <w:tcW w:w="599" w:type="dxa"/>
            <w:tcBorders>
              <w:top w:val="single" w:color="000000" w:sz="6" w:space="0"/>
              <w:left w:val="single" w:color="000000" w:sz="6" w:space="0"/>
              <w:bottom w:val="single" w:color="000000" w:sz="6" w:space="0"/>
              <w:right w:val="single" w:color="000000" w:sz="6" w:space="0"/>
            </w:tcBorders>
            <w:shd w:val="clear" w:color="auto" w:fill="FFFFFF"/>
            <w:tcMar>
              <w:top w:w="8" w:type="dxa"/>
              <w:left w:w="8" w:type="dxa"/>
              <w:bottom w:w="8" w:type="dxa"/>
              <w:right w:w="8" w:type="dxa"/>
            </w:tcMar>
            <w:vAlign w:val="center"/>
          </w:tcPr>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宋体" w:hAnsi="宋体" w:eastAsia="宋体" w:cs="宋体"/>
                <w:i w:val="0"/>
                <w:iCs w:val="0"/>
                <w:caps w:val="0"/>
                <w:color w:val="333333"/>
                <w:spacing w:val="0"/>
                <w:sz w:val="18"/>
                <w:szCs w:val="18"/>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bl>
    <w:p>
      <w:pPr>
        <w:pStyle w:val="16"/>
        <w:ind w:left="0" w:leftChars="0" w:firstLine="0" w:firstLineChars="0"/>
        <w:rPr>
          <w:rFonts w:hint="eastAsia" w:ascii="宋体" w:hAnsi="宋体"/>
          <w:color w:val="auto"/>
          <w:sz w:val="15"/>
          <w:szCs w:val="15"/>
        </w:rPr>
      </w:pPr>
    </w:p>
    <w:p>
      <w:pPr>
        <w:tabs>
          <w:tab w:val="left" w:pos="0"/>
        </w:tabs>
        <w:ind w:firstLine="560"/>
        <w:jc w:val="center"/>
        <w:rPr>
          <w:rFonts w:hint="default" w:ascii="宋体" w:hAnsi="宋体"/>
          <w:color w:val="auto"/>
          <w:szCs w:val="28"/>
          <w:lang w:val="en-US" w:eastAsia="zh-CN"/>
        </w:rPr>
      </w:pPr>
      <w:r>
        <w:rPr>
          <w:rFonts w:hint="eastAsia" w:ascii="宋体" w:hAnsi="宋体"/>
          <w:b/>
          <w:bCs/>
          <w:color w:val="auto"/>
          <w:sz w:val="21"/>
          <w:szCs w:val="21"/>
          <w:lang w:val="en-US" w:eastAsia="zh-CN"/>
        </w:rPr>
        <w:t>F表2.13-2</w:t>
      </w:r>
      <w:r>
        <w:rPr>
          <w:rFonts w:hint="eastAsia" w:ascii="宋体" w:hAnsi="宋体" w:cs="宋体"/>
          <w:b/>
          <w:bCs/>
          <w:color w:val="000000" w:themeColor="text1"/>
          <w:sz w:val="21"/>
          <w:szCs w:val="21"/>
          <w:lang w:val="en-US" w:eastAsia="zh-CN"/>
        </w:rPr>
        <w:t>淘汰落后危险化学品安全生产工艺技术设备目录（第二批）</w:t>
      </w:r>
      <w:r>
        <w:rPr>
          <w:rFonts w:hint="eastAsia" w:ascii="宋体" w:hAnsi="宋体" w:cs="宋体"/>
          <w:b/>
          <w:bCs/>
          <w:color w:val="000000" w:themeColor="text1"/>
          <w:sz w:val="21"/>
          <w:szCs w:val="21"/>
        </w:rPr>
        <w:t>辨识</w:t>
      </w:r>
    </w:p>
    <w:tbl>
      <w:tblPr>
        <w:tblStyle w:val="38"/>
        <w:tblW w:w="4996" w:type="pct"/>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23"/>
        <w:gridCol w:w="1296"/>
        <w:gridCol w:w="3355"/>
        <w:gridCol w:w="731"/>
        <w:gridCol w:w="1429"/>
        <w:gridCol w:w="1186"/>
        <w:gridCol w:w="76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81" w:type="pc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序号</w:t>
            </w:r>
          </w:p>
        </w:tc>
        <w:tc>
          <w:tcPr>
            <w:tcW w:w="698"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淘汰落后工艺技术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设备名称</w:t>
            </w:r>
          </w:p>
        </w:tc>
        <w:tc>
          <w:tcPr>
            <w:tcW w:w="1807"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淘汰原因</w:t>
            </w:r>
          </w:p>
        </w:tc>
        <w:tc>
          <w:tcPr>
            <w:tcW w:w="393"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淘汰类型</w:t>
            </w:r>
          </w:p>
        </w:tc>
        <w:tc>
          <w:tcPr>
            <w:tcW w:w="769"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限制范围</w:t>
            </w:r>
          </w:p>
        </w:tc>
        <w:tc>
          <w:tcPr>
            <w:tcW w:w="638"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依据</w:t>
            </w:r>
          </w:p>
        </w:tc>
        <w:tc>
          <w:tcPr>
            <w:tcW w:w="410"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val="0"/>
                <w:i w:val="0"/>
                <w:iCs w:val="0"/>
                <w:color w:val="444444"/>
                <w:kern w:val="0"/>
                <w:sz w:val="18"/>
                <w:szCs w:val="18"/>
                <w:u w:val="none" w:color="auto"/>
                <w:lang w:val="en-US" w:eastAsia="zh-CN" w:bidi="ar"/>
              </w:rPr>
            </w:pPr>
            <w:r>
              <w:rPr>
                <w:rFonts w:hint="eastAsia" w:ascii="宋体" w:hAnsi="宋体" w:eastAsia="宋体" w:cs="宋体"/>
                <w:b w:val="0"/>
                <w:bCs w:val="0"/>
                <w:i w:val="0"/>
                <w:iCs w:val="0"/>
                <w:color w:val="444444"/>
                <w:kern w:val="0"/>
                <w:sz w:val="18"/>
                <w:szCs w:val="18"/>
                <w:u w:val="none" w:color="auto"/>
                <w:lang w:val="en-US" w:eastAsia="zh-CN" w:bidi="ar"/>
              </w:rPr>
              <w:t>检查内容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81"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1</w:t>
            </w:r>
          </w:p>
        </w:tc>
        <w:tc>
          <w:tcPr>
            <w:tcW w:w="69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酸碱交替的固定床过氧化氢生产工艺</w:t>
            </w:r>
          </w:p>
        </w:tc>
        <w:tc>
          <w:tcPr>
            <w:tcW w:w="1807"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过氧化氢溶液或含有过氧化氢的工作液误入碱性环境中，或者碱性物料窜入含有过氧化氢的环境中， 均会导致过氧化氢急剧分解甚至爆炸，安全风险高</w:t>
            </w:r>
          </w:p>
        </w:tc>
        <w:tc>
          <w:tcPr>
            <w:tcW w:w="393"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禁止</w:t>
            </w:r>
          </w:p>
        </w:tc>
        <w:tc>
          <w:tcPr>
            <w:tcW w:w="769"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新（扩）建项目禁用，现有项目五年内改造完毕</w:t>
            </w:r>
          </w:p>
        </w:tc>
        <w:tc>
          <w:tcPr>
            <w:tcW w:w="63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安全生产法第三十八条</w:t>
            </w:r>
          </w:p>
        </w:tc>
        <w:tc>
          <w:tcPr>
            <w:tcW w:w="410"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val="0"/>
                <w:i w:val="0"/>
                <w:iCs w:val="0"/>
                <w:color w:val="444444"/>
                <w:kern w:val="0"/>
                <w:sz w:val="18"/>
                <w:szCs w:val="18"/>
                <w:u w:val="none" w:color="auto"/>
                <w:lang w:val="en-US" w:eastAsia="zh-CN" w:bidi="ar"/>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81"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2</w:t>
            </w:r>
          </w:p>
        </w:tc>
        <w:tc>
          <w:tcPr>
            <w:tcW w:w="69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有机硅浆渣人工扒渣卸料技术和敞开式浆渣水解技术</w:t>
            </w:r>
          </w:p>
        </w:tc>
        <w:tc>
          <w:tcPr>
            <w:tcW w:w="1807"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人工扒渣过程中，有机硅浆渣中的氯硅烷与空气中的水分发生反应生成腐蚀性盐酸酸雾，且浆渣遇空气可能发生自燃。敞开式浆渣水解工艺中，浆渣与碱性水发生反应会释放出氯化氢气体和氢气，氯化氢气体在空气中会形成腐蚀性盐酸酸雾，氢气易积聚引发火灾爆炸事故，安全风险高</w:t>
            </w:r>
          </w:p>
        </w:tc>
        <w:tc>
          <w:tcPr>
            <w:tcW w:w="393"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禁止</w:t>
            </w:r>
          </w:p>
        </w:tc>
        <w:tc>
          <w:tcPr>
            <w:tcW w:w="769"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新（扩）建项目禁用，现有项目二年内改造完毕</w:t>
            </w:r>
          </w:p>
        </w:tc>
        <w:tc>
          <w:tcPr>
            <w:tcW w:w="63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安全生产法第三十八条</w:t>
            </w:r>
          </w:p>
        </w:tc>
        <w:tc>
          <w:tcPr>
            <w:tcW w:w="410"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val="0"/>
                <w:i w:val="0"/>
                <w:iCs w:val="0"/>
                <w:color w:val="444444"/>
                <w:kern w:val="0"/>
                <w:sz w:val="18"/>
                <w:szCs w:val="18"/>
                <w:u w:val="none" w:color="auto"/>
                <w:lang w:val="en-US" w:eastAsia="zh-CN" w:bidi="ar"/>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70" w:hRule="atLeast"/>
          <w:jc w:val="center"/>
        </w:trPr>
        <w:tc>
          <w:tcPr>
            <w:tcW w:w="281"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3</w:t>
            </w:r>
          </w:p>
        </w:tc>
        <w:tc>
          <w:tcPr>
            <w:tcW w:w="69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间歇碳化法碳酸锶、碳酸钡生产工艺（使用硫化氢湿式气柜的）</w:t>
            </w:r>
          </w:p>
        </w:tc>
        <w:tc>
          <w:tcPr>
            <w:tcW w:w="1807"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间歇碳化法碳酸锶、碳酸钡生产工艺采用湿式气柜储存硫化氢，易造成气柜腐蚀、卡顿，因密封失效引发硫化氢泄漏中毒事故</w:t>
            </w:r>
          </w:p>
        </w:tc>
        <w:tc>
          <w:tcPr>
            <w:tcW w:w="393"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禁止</w:t>
            </w:r>
          </w:p>
        </w:tc>
        <w:tc>
          <w:tcPr>
            <w:tcW w:w="769"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新（扩）建项目禁用，现有碳酸锶间歇碳化法生产工艺一年内改造完毕，现有碳酸钡间歇碳化法生产工艺二年内改造完毕</w:t>
            </w:r>
          </w:p>
        </w:tc>
        <w:tc>
          <w:tcPr>
            <w:tcW w:w="63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安全生产法第三十八条</w:t>
            </w:r>
          </w:p>
        </w:tc>
        <w:tc>
          <w:tcPr>
            <w:tcW w:w="410"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val="0"/>
                <w:i w:val="0"/>
                <w:iCs w:val="0"/>
                <w:color w:val="444444"/>
                <w:kern w:val="0"/>
                <w:sz w:val="18"/>
                <w:szCs w:val="18"/>
                <w:u w:val="none" w:color="auto"/>
                <w:lang w:val="en-US" w:eastAsia="zh-CN" w:bidi="ar"/>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96" w:hRule="atLeast"/>
          <w:jc w:val="center"/>
        </w:trPr>
        <w:tc>
          <w:tcPr>
            <w:tcW w:w="281"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4</w:t>
            </w:r>
          </w:p>
        </w:tc>
        <w:tc>
          <w:tcPr>
            <w:tcW w:w="69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间歇或半间歇釜式硝化工艺</w:t>
            </w:r>
          </w:p>
        </w:tc>
        <w:tc>
          <w:tcPr>
            <w:tcW w:w="1807"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间歇和半间歇釜式硝化生产工艺机械化自动化程度低，反应釜内危险物料数量多，一旦反应失控发生火灾爆炸事故，易造成重大人员伤亡</w:t>
            </w:r>
          </w:p>
        </w:tc>
        <w:tc>
          <w:tcPr>
            <w:tcW w:w="393"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限制</w:t>
            </w:r>
          </w:p>
        </w:tc>
        <w:tc>
          <w:tcPr>
            <w:tcW w:w="769"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spacing w:val="-6"/>
                <w:kern w:val="0"/>
                <w:sz w:val="18"/>
                <w:szCs w:val="18"/>
                <w:u w:val="none" w:color="auto"/>
                <w:lang w:val="en-US" w:eastAsia="zh-CN" w:bidi="ar"/>
              </w:rPr>
              <w:t>硝基苯等27种化学品（清单见表后注释）禁用，二年内改造完毕</w:t>
            </w:r>
          </w:p>
        </w:tc>
        <w:tc>
          <w:tcPr>
            <w:tcW w:w="63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安全生产法第三十八条</w:t>
            </w:r>
          </w:p>
        </w:tc>
        <w:tc>
          <w:tcPr>
            <w:tcW w:w="410"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val="0"/>
                <w:i w:val="0"/>
                <w:iCs w:val="0"/>
                <w:color w:val="444444"/>
                <w:kern w:val="0"/>
                <w:sz w:val="18"/>
                <w:szCs w:val="18"/>
                <w:u w:val="none" w:color="auto"/>
                <w:lang w:val="en-US" w:eastAsia="zh-CN" w:bidi="ar"/>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719" w:hRule="atLeast"/>
          <w:jc w:val="center"/>
        </w:trPr>
        <w:tc>
          <w:tcPr>
            <w:tcW w:w="281"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5</w:t>
            </w:r>
          </w:p>
        </w:tc>
        <w:tc>
          <w:tcPr>
            <w:tcW w:w="69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无冷却措施的内注导热油式电加热反应釜（油浴反应釜、油浴锅）</w:t>
            </w:r>
          </w:p>
        </w:tc>
        <w:tc>
          <w:tcPr>
            <w:tcW w:w="1807"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靠自然冷却降温无法满足紧急降温需求，一旦反应釜超温，易发生火灾爆炸事故</w:t>
            </w:r>
          </w:p>
        </w:tc>
        <w:tc>
          <w:tcPr>
            <w:tcW w:w="393"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限制</w:t>
            </w:r>
          </w:p>
        </w:tc>
        <w:tc>
          <w:tcPr>
            <w:tcW w:w="769"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涉及重点监管危险化工工艺的反应釜禁用，在役设备一年内更换完毕</w:t>
            </w:r>
          </w:p>
        </w:tc>
        <w:tc>
          <w:tcPr>
            <w:tcW w:w="63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安全生产法第三十八条</w:t>
            </w:r>
          </w:p>
        </w:tc>
        <w:tc>
          <w:tcPr>
            <w:tcW w:w="410"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val="0"/>
                <w:i w:val="0"/>
                <w:iCs w:val="0"/>
                <w:color w:val="444444"/>
                <w:kern w:val="0"/>
                <w:sz w:val="18"/>
                <w:szCs w:val="18"/>
                <w:u w:val="none" w:color="auto"/>
                <w:lang w:val="en-US" w:eastAsia="zh-CN" w:bidi="ar"/>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66" w:hRule="atLeast"/>
          <w:jc w:val="center"/>
        </w:trPr>
        <w:tc>
          <w:tcPr>
            <w:tcW w:w="281"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6</w:t>
            </w:r>
          </w:p>
        </w:tc>
        <w:tc>
          <w:tcPr>
            <w:tcW w:w="69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油库的内浮顶储罐采用浅盘式或敞口隔舱式内浮顶</w:t>
            </w:r>
          </w:p>
        </w:tc>
        <w:tc>
          <w:tcPr>
            <w:tcW w:w="1807"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浅盘式或敞口隔舱式内浮顶安全性能差，易沉盘，引发火灾爆炸事故</w:t>
            </w:r>
          </w:p>
        </w:tc>
        <w:tc>
          <w:tcPr>
            <w:tcW w:w="393"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禁止</w:t>
            </w:r>
          </w:p>
        </w:tc>
        <w:tc>
          <w:tcPr>
            <w:tcW w:w="769"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取得危险化学品经营许可证的油库禁用，在役设备二年内改造完毕</w:t>
            </w:r>
          </w:p>
        </w:tc>
        <w:tc>
          <w:tcPr>
            <w:tcW w:w="63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《石油库设计规范》（GB 50074-2014）第6.1.7条</w:t>
            </w:r>
          </w:p>
        </w:tc>
        <w:tc>
          <w:tcPr>
            <w:tcW w:w="410"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val="0"/>
                <w:i w:val="0"/>
                <w:iCs w:val="0"/>
                <w:color w:val="444444"/>
                <w:kern w:val="0"/>
                <w:sz w:val="18"/>
                <w:szCs w:val="18"/>
                <w:u w:val="none" w:color="auto"/>
                <w:lang w:val="en-US" w:eastAsia="zh-CN" w:bidi="ar"/>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281"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7</w:t>
            </w:r>
          </w:p>
        </w:tc>
        <w:tc>
          <w:tcPr>
            <w:tcW w:w="69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单端面机械密封离心泵和填料密封离心泵（液下泵除外）</w:t>
            </w:r>
          </w:p>
        </w:tc>
        <w:tc>
          <w:tcPr>
            <w:tcW w:w="1807"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单端面机械密封离心泵和填料密封离心泵可靠性低，易因密封失效而发生泄漏，造成火灾爆炸、中毒事故</w:t>
            </w:r>
          </w:p>
        </w:tc>
        <w:tc>
          <w:tcPr>
            <w:tcW w:w="393"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禁止</w:t>
            </w:r>
          </w:p>
        </w:tc>
        <w:tc>
          <w:tcPr>
            <w:tcW w:w="769"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kern w:val="0"/>
                <w:sz w:val="18"/>
                <w:szCs w:val="18"/>
                <w:u w:val="none" w:color="auto"/>
                <w:lang w:val="en-US" w:eastAsia="zh-CN" w:bidi="ar"/>
              </w:rPr>
              <w:t>甲</w:t>
            </w:r>
            <w:r>
              <w:rPr>
                <w:rFonts w:hint="eastAsia" w:ascii="宋体" w:hAnsi="宋体" w:eastAsia="宋体" w:cs="宋体"/>
                <w:b w:val="0"/>
                <w:bCs w:val="0"/>
                <w:i w:val="0"/>
                <w:iCs w:val="0"/>
                <w:color w:val="444444"/>
                <w:kern w:val="0"/>
                <w:sz w:val="18"/>
                <w:szCs w:val="18"/>
                <w:u w:val="none" w:color="auto"/>
                <w:vertAlign w:val="subscript"/>
                <w:lang w:val="en-US" w:eastAsia="zh-CN" w:bidi="ar"/>
              </w:rPr>
              <w:t>A</w:t>
            </w:r>
            <w:r>
              <w:rPr>
                <w:rFonts w:hint="eastAsia" w:ascii="宋体" w:hAnsi="宋体" w:eastAsia="宋体" w:cs="宋体"/>
                <w:b w:val="0"/>
                <w:bCs w:val="0"/>
                <w:i w:val="0"/>
                <w:iCs w:val="0"/>
                <w:color w:val="444444"/>
                <w:kern w:val="0"/>
                <w:sz w:val="18"/>
                <w:szCs w:val="18"/>
                <w:u w:val="none" w:color="auto"/>
                <w:lang w:val="en-US" w:eastAsia="zh-CN" w:bidi="ar"/>
              </w:rPr>
              <w:t>类、极度危害、高度危害和操作温度超过自燃点的危险化学品禁用，在役设备三年内更换完毕</w:t>
            </w:r>
          </w:p>
        </w:tc>
        <w:tc>
          <w:tcPr>
            <w:tcW w:w="638"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18"/>
                <w:szCs w:val="18"/>
                <w:u w:val="none" w:color="auto"/>
              </w:rPr>
            </w:pPr>
            <w:r>
              <w:rPr>
                <w:rFonts w:hint="eastAsia" w:ascii="宋体" w:hAnsi="宋体" w:eastAsia="宋体" w:cs="宋体"/>
                <w:b w:val="0"/>
                <w:bCs w:val="0"/>
                <w:i w:val="0"/>
                <w:iCs w:val="0"/>
                <w:color w:val="444444"/>
                <w:spacing w:val="-17"/>
                <w:kern w:val="0"/>
                <w:sz w:val="18"/>
                <w:szCs w:val="18"/>
                <w:u w:val="none" w:color="auto"/>
                <w:lang w:val="en-US" w:eastAsia="zh-CN" w:bidi="ar"/>
              </w:rPr>
              <w:t>《国家安全监管总局关于加强化工企业泄漏管理的指导意见》（安监总管三〔2014〕94号）</w:t>
            </w:r>
          </w:p>
        </w:tc>
        <w:tc>
          <w:tcPr>
            <w:tcW w:w="410" w:type="pc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val="0"/>
                <w:bCs w:val="0"/>
                <w:i w:val="0"/>
                <w:iCs w:val="0"/>
                <w:color w:val="444444"/>
                <w:kern w:val="0"/>
                <w:sz w:val="18"/>
                <w:szCs w:val="18"/>
                <w:u w:val="none" w:color="auto"/>
                <w:lang w:val="en-US" w:eastAsia="zh-CN" w:bidi="ar"/>
              </w:rPr>
            </w:pPr>
            <w:r>
              <w:rPr>
                <w:rFonts w:hint="eastAsia" w:ascii="宋体" w:hAnsi="宋体" w:eastAsia="宋体" w:cs="宋体"/>
                <w:b w:val="0"/>
                <w:bCs w:val="0"/>
                <w:i w:val="0"/>
                <w:iCs w:val="0"/>
                <w:color w:val="444444"/>
                <w:kern w:val="0"/>
                <w:sz w:val="18"/>
                <w:szCs w:val="18"/>
                <w:u w:val="none" w:color="auto"/>
                <w:lang w:val="en-US" w:eastAsia="zh-CN" w:bidi="ar"/>
              </w:rPr>
              <w:t>不涉及</w:t>
            </w:r>
          </w:p>
        </w:tc>
      </w:tr>
    </w:tbl>
    <w:p>
      <w:pPr>
        <w:pStyle w:val="62"/>
        <w:keepNext w:val="0"/>
        <w:keepLines w:val="0"/>
        <w:pageBreakBefore w:val="0"/>
        <w:widowControl w:val="0"/>
        <w:kinsoku/>
        <w:wordWrap/>
        <w:overflowPunct/>
        <w:topLinePunct/>
        <w:autoSpaceDE/>
        <w:autoSpaceDN/>
        <w:bidi w:val="0"/>
        <w:adjustRightInd w:val="0"/>
        <w:snapToGrid w:val="0"/>
        <w:spacing w:line="240" w:lineRule="auto"/>
        <w:ind w:firstLine="560"/>
        <w:textAlignment w:val="auto"/>
        <w:rPr>
          <w:rFonts w:ascii="宋体" w:hAnsi="宋体"/>
          <w:color w:val="auto"/>
          <w:sz w:val="21"/>
          <w:szCs w:val="21"/>
        </w:rPr>
      </w:pPr>
      <w:r>
        <w:rPr>
          <w:rFonts w:hint="eastAsia" w:ascii="宋体" w:hAnsi="宋体" w:eastAsia="宋体" w:cs="宋体"/>
          <w:i w:val="0"/>
          <w:iCs w:val="0"/>
          <w:caps w:val="0"/>
          <w:color w:val="444444"/>
          <w:spacing w:val="0"/>
          <w:sz w:val="21"/>
          <w:szCs w:val="21"/>
          <w:shd w:val="clear" w:fill="FFFFFF"/>
          <w:lang w:val="en-US" w:eastAsia="zh-CN"/>
        </w:rPr>
        <w:t>注：</w:t>
      </w:r>
      <w:r>
        <w:rPr>
          <w:rFonts w:hint="eastAsia" w:ascii="宋体" w:hAnsi="宋体" w:eastAsia="宋体" w:cs="宋体"/>
          <w:i w:val="0"/>
          <w:iCs w:val="0"/>
          <w:caps w:val="0"/>
          <w:color w:val="444444"/>
          <w:spacing w:val="0"/>
          <w:sz w:val="21"/>
          <w:szCs w:val="21"/>
          <w:shd w:val="clear" w:fill="FFFFFF"/>
        </w:rPr>
        <w:t>生产过程</w:t>
      </w:r>
      <w:r>
        <w:rPr>
          <w:rFonts w:hint="eastAsia" w:ascii="宋体" w:hAnsi="宋体" w:eastAsia="宋体" w:cs="宋体"/>
          <w:i w:val="0"/>
          <w:iCs w:val="0"/>
          <w:caps w:val="0"/>
          <w:color w:val="444444"/>
          <w:spacing w:val="0"/>
          <w:sz w:val="21"/>
          <w:szCs w:val="21"/>
          <w:shd w:val="clear" w:fill="FFFFFF"/>
          <w:lang w:val="en-US" w:eastAsia="zh-CN"/>
        </w:rPr>
        <w:t>不</w:t>
      </w:r>
      <w:r>
        <w:rPr>
          <w:rFonts w:hint="eastAsia" w:ascii="宋体" w:hAnsi="宋体" w:eastAsia="宋体" w:cs="宋体"/>
          <w:i w:val="0"/>
          <w:iCs w:val="0"/>
          <w:caps w:val="0"/>
          <w:color w:val="444444"/>
          <w:spacing w:val="0"/>
          <w:sz w:val="21"/>
          <w:szCs w:val="21"/>
          <w:shd w:val="clear" w:fill="FFFFFF"/>
        </w:rPr>
        <w:t>涉及硝化工艺的27种化学品包括：硝基苯、二硝基苯、硝基甲苯、二硝基甲苯、硝基氯苯、二硝基氯苯、乙氧氟草醚、O-甲基-N-硝基异脲、唑草酮、2, 5-二氯硝基苯、3-硝基邻苯二甲酸、2, 4-二氯-5-氟苯乙酮、硝基胍、5-氯-2-硝基苯胺、2, 4-二氯硝基苯、2, 4-二氟硝基苯、芬苯达唑、阿苯达唑、二甲戊灵、甲磺草胺、氟磺胺草醚、4-氯-2, 5-二甲氧基硝基苯、2-硝基-4-乙酰氨基苯甲醚、3, 4-二氟硝基苯、1-氨基-8-萘酚-3, 6-二磺酸（H酸）、2-硝基-4-甲砜基苯甲酸、6-硝基-1, 2-重氮氧基萘-4-磺酸（6-硝体）。</w:t>
      </w:r>
    </w:p>
    <w:p>
      <w:pPr>
        <w:pStyle w:val="2"/>
        <w:rPr>
          <w:rFonts w:ascii="楷体" w:hAnsi="楷体" w:eastAsia="楷体" w:cs="楷体"/>
          <w:b/>
          <w:bCs w:val="0"/>
          <w:color w:val="000000" w:themeColor="text1"/>
        </w:rPr>
      </w:pPr>
      <w:bookmarkStart w:id="3830" w:name="_Toc4957"/>
      <w:bookmarkStart w:id="3831" w:name="_Toc3637"/>
      <w:bookmarkStart w:id="3832" w:name="_Toc7026"/>
      <w:bookmarkStart w:id="3833" w:name="_Toc26483"/>
      <w:bookmarkStart w:id="3834" w:name="_Toc3119"/>
      <w:bookmarkStart w:id="3835" w:name="_Toc11673"/>
      <w:bookmarkStart w:id="3836" w:name="_Toc17670"/>
      <w:bookmarkStart w:id="3837" w:name="_Toc30575"/>
      <w:bookmarkStart w:id="3838" w:name="_Toc20333"/>
      <w:bookmarkStart w:id="3839" w:name="_Toc20615"/>
      <w:bookmarkStart w:id="3840" w:name="_Toc13495"/>
      <w:bookmarkStart w:id="3841" w:name="_Toc5654"/>
      <w:r>
        <w:rPr>
          <w:rFonts w:hint="eastAsia" w:ascii="楷体" w:hAnsi="楷体" w:eastAsia="楷体" w:cs="楷体"/>
          <w:b/>
          <w:bCs w:val="0"/>
          <w:color w:val="000000" w:themeColor="text1"/>
        </w:rPr>
        <w:t>F3  安全评价方法简介</w:t>
      </w:r>
      <w:bookmarkEnd w:id="3736"/>
      <w:bookmarkEnd w:id="3737"/>
      <w:bookmarkEnd w:id="3738"/>
      <w:bookmarkEnd w:id="3739"/>
      <w:bookmarkEnd w:id="3740"/>
      <w:bookmarkEnd w:id="3741"/>
      <w:bookmarkEnd w:id="3742"/>
      <w:bookmarkEnd w:id="3743"/>
      <w:bookmarkEnd w:id="3744"/>
      <w:bookmarkEnd w:id="3745"/>
      <w:bookmarkEnd w:id="3746"/>
      <w:bookmarkEnd w:id="3747"/>
      <w:bookmarkEnd w:id="3748"/>
      <w:bookmarkEnd w:id="3749"/>
      <w:bookmarkEnd w:id="3750"/>
      <w:bookmarkEnd w:id="3751"/>
      <w:bookmarkEnd w:id="3752"/>
      <w:bookmarkEnd w:id="3753"/>
      <w:bookmarkEnd w:id="3754"/>
      <w:bookmarkEnd w:id="3755"/>
      <w:bookmarkEnd w:id="3756"/>
      <w:bookmarkEnd w:id="3757"/>
      <w:bookmarkEnd w:id="3758"/>
      <w:bookmarkEnd w:id="3759"/>
      <w:bookmarkEnd w:id="3760"/>
      <w:bookmarkEnd w:id="3830"/>
      <w:bookmarkEnd w:id="3831"/>
      <w:bookmarkEnd w:id="3832"/>
      <w:bookmarkEnd w:id="3833"/>
      <w:bookmarkEnd w:id="3834"/>
      <w:bookmarkEnd w:id="3835"/>
      <w:bookmarkEnd w:id="3836"/>
      <w:bookmarkEnd w:id="3837"/>
      <w:bookmarkEnd w:id="3838"/>
      <w:bookmarkEnd w:id="3839"/>
      <w:bookmarkEnd w:id="3840"/>
      <w:bookmarkEnd w:id="3841"/>
      <w:bookmarkStart w:id="3842" w:name="_Toc20067"/>
      <w:bookmarkStart w:id="3843" w:name="_Toc62740973"/>
      <w:bookmarkStart w:id="3844" w:name="_Toc9291"/>
      <w:bookmarkStart w:id="3845" w:name="_Toc28436"/>
      <w:bookmarkStart w:id="3846" w:name="_Toc13155"/>
      <w:bookmarkStart w:id="3847" w:name="_Toc6513"/>
      <w:bookmarkStart w:id="3848" w:name="_Toc4785"/>
      <w:bookmarkStart w:id="3849" w:name="_Toc16524"/>
      <w:bookmarkStart w:id="3850" w:name="_Toc3645"/>
      <w:bookmarkStart w:id="3851" w:name="_Toc128056517"/>
      <w:bookmarkStart w:id="3852" w:name="_Toc27387"/>
      <w:bookmarkStart w:id="3853" w:name="_Toc22986"/>
    </w:p>
    <w:p>
      <w:pPr>
        <w:ind w:firstLine="560"/>
      </w:pPr>
    </w:p>
    <w:p>
      <w:pPr>
        <w:pStyle w:val="3"/>
        <w:ind w:firstLine="562"/>
        <w:rPr>
          <w:rFonts w:ascii="黑体" w:hAnsi="黑体" w:eastAsia="黑体" w:cs="黑体"/>
          <w:color w:val="000000" w:themeColor="text1"/>
        </w:rPr>
      </w:pPr>
      <w:bookmarkStart w:id="3854" w:name="_Toc11986"/>
      <w:bookmarkStart w:id="3855" w:name="_Toc23424"/>
      <w:bookmarkStart w:id="3856" w:name="_Toc14760"/>
      <w:bookmarkStart w:id="3857" w:name="_Toc22171"/>
      <w:bookmarkStart w:id="3858" w:name="_Toc25284"/>
      <w:bookmarkStart w:id="3859" w:name="_Toc21682"/>
      <w:bookmarkStart w:id="3860" w:name="_Toc24651"/>
      <w:bookmarkStart w:id="3861" w:name="_Toc22041"/>
      <w:bookmarkStart w:id="3862" w:name="_Toc31267"/>
      <w:bookmarkStart w:id="3863" w:name="_Toc25450"/>
      <w:bookmarkStart w:id="3864" w:name="_Toc25319"/>
      <w:bookmarkStart w:id="3865" w:name="_Toc3293"/>
      <w:bookmarkStart w:id="3866" w:name="_Toc15902"/>
      <w:bookmarkStart w:id="3867" w:name="_Toc15511"/>
      <w:bookmarkStart w:id="3868" w:name="_Toc25989"/>
      <w:bookmarkStart w:id="3869" w:name="_Toc4098"/>
      <w:bookmarkStart w:id="3870" w:name="_Toc13887"/>
      <w:bookmarkStart w:id="3871" w:name="_Toc23877"/>
      <w:bookmarkStart w:id="3872" w:name="_Toc5480"/>
      <w:bookmarkStart w:id="3873" w:name="_Toc11221"/>
      <w:bookmarkStart w:id="3874" w:name="_Toc21267"/>
      <w:bookmarkStart w:id="3875" w:name="_Toc8019"/>
      <w:bookmarkStart w:id="3876" w:name="_Toc30327"/>
      <w:bookmarkStart w:id="3877" w:name="_Toc13769"/>
      <w:bookmarkStart w:id="3878" w:name="_Toc25814"/>
      <w:r>
        <w:rPr>
          <w:rFonts w:hint="eastAsia" w:ascii="黑体" w:hAnsi="黑体" w:eastAsia="黑体" w:cs="黑体"/>
          <w:color w:val="000000" w:themeColor="text1"/>
        </w:rPr>
        <w:t>F3.1 安全检查表法</w:t>
      </w:r>
      <w:bookmarkEnd w:id="3842"/>
      <w:bookmarkEnd w:id="3843"/>
      <w:bookmarkEnd w:id="3844"/>
      <w:bookmarkEnd w:id="3845"/>
      <w:bookmarkEnd w:id="3846"/>
      <w:bookmarkEnd w:id="3847"/>
      <w:bookmarkEnd w:id="3848"/>
      <w:bookmarkEnd w:id="3849"/>
      <w:bookmarkEnd w:id="3850"/>
      <w:bookmarkEnd w:id="3851"/>
      <w:bookmarkEnd w:id="3852"/>
      <w:bookmarkEnd w:id="3853"/>
      <w:bookmarkEnd w:id="3854"/>
      <w:bookmarkEnd w:id="3855"/>
      <w:bookmarkEnd w:id="3856"/>
      <w:bookmarkEnd w:id="3857"/>
      <w:bookmarkEnd w:id="3858"/>
      <w:bookmarkEnd w:id="3859"/>
      <w:bookmarkEnd w:id="3860"/>
      <w:bookmarkEnd w:id="3861"/>
      <w:bookmarkEnd w:id="3862"/>
      <w:bookmarkEnd w:id="3863"/>
      <w:bookmarkEnd w:id="3864"/>
      <w:bookmarkEnd w:id="3865"/>
      <w:bookmarkEnd w:id="3866"/>
      <w:bookmarkEnd w:id="3867"/>
      <w:bookmarkEnd w:id="3868"/>
      <w:bookmarkEnd w:id="3869"/>
      <w:bookmarkEnd w:id="3870"/>
      <w:bookmarkEnd w:id="3871"/>
      <w:bookmarkEnd w:id="3872"/>
      <w:bookmarkEnd w:id="3873"/>
      <w:bookmarkEnd w:id="3874"/>
      <w:bookmarkEnd w:id="3875"/>
      <w:bookmarkEnd w:id="3876"/>
      <w:bookmarkEnd w:id="3877"/>
      <w:bookmarkEnd w:id="3878"/>
    </w:p>
    <w:p>
      <w:pPr>
        <w:ind w:firstLine="560"/>
        <w:rPr>
          <w:color w:val="000000" w:themeColor="text1"/>
        </w:rPr>
      </w:pPr>
      <w:r>
        <w:rPr>
          <w:rFonts w:hint="eastAsia"/>
          <w:color w:val="000000" w:themeColor="text1"/>
        </w:rPr>
        <w:t>安全检查表评价法（SafetyCheckList，简称SCL），是安全评价的常规方法，具有简便、实用、有效的特点，常常用于对安全生产管理，对熟知的工艺设计、物料、设备或操作规程进行分析，也可用于新开发工艺过程的早期阶段，识别和消除在类似系统的多年操作中所发现的危险。这种方法主要是依据国家、地区、行业等相关的标准、法规编制检查表，针对检查内容判断是否、有无，从而找出系统中存在的缺陷、疏漏、隐患、问题，并提出在工程设计、建设或运行过程中应注意的问题。</w:t>
      </w:r>
    </w:p>
    <w:p>
      <w:pPr>
        <w:pStyle w:val="3"/>
        <w:ind w:firstLine="562"/>
        <w:rPr>
          <w:rFonts w:ascii="黑体" w:hAnsi="黑体" w:eastAsia="黑体" w:cs="黑体"/>
          <w:color w:val="000000" w:themeColor="text1"/>
        </w:rPr>
      </w:pPr>
      <w:bookmarkStart w:id="3879" w:name="_Toc21075"/>
      <w:bookmarkStart w:id="3880" w:name="_Toc6860"/>
      <w:bookmarkStart w:id="3881" w:name="_Toc17611"/>
      <w:bookmarkStart w:id="3882" w:name="_Toc24575"/>
      <w:bookmarkStart w:id="3883" w:name="_Toc5670"/>
      <w:bookmarkStart w:id="3884" w:name="_Toc12177"/>
      <w:bookmarkStart w:id="3885" w:name="_Toc9563"/>
      <w:bookmarkStart w:id="3886" w:name="_Toc20259"/>
      <w:bookmarkStart w:id="3887" w:name="_Toc62740974"/>
      <w:bookmarkStart w:id="3888" w:name="_Toc14942"/>
      <w:bookmarkStart w:id="3889" w:name="_Toc7936"/>
      <w:bookmarkStart w:id="3890" w:name="_Toc31408"/>
      <w:bookmarkStart w:id="3891" w:name="_Toc23715"/>
      <w:bookmarkStart w:id="3892" w:name="_Toc29281"/>
      <w:bookmarkStart w:id="3893" w:name="_Toc12432"/>
      <w:bookmarkStart w:id="3894" w:name="_Toc26820"/>
      <w:bookmarkStart w:id="3895" w:name="_Toc20656"/>
      <w:bookmarkStart w:id="3896" w:name="_Toc29942"/>
      <w:bookmarkStart w:id="3897" w:name="_Toc15248"/>
      <w:bookmarkStart w:id="3898" w:name="_Toc21539"/>
      <w:bookmarkStart w:id="3899" w:name="_Toc19206"/>
      <w:bookmarkStart w:id="3900" w:name="_Toc32105"/>
      <w:bookmarkStart w:id="3901" w:name="_Toc31760"/>
      <w:bookmarkStart w:id="3902" w:name="_Toc4405"/>
      <w:bookmarkStart w:id="3903" w:name="_Toc19849"/>
      <w:bookmarkStart w:id="3904" w:name="_Toc15273"/>
      <w:bookmarkStart w:id="3905" w:name="_Toc11604"/>
      <w:bookmarkStart w:id="3906" w:name="_Toc31476"/>
      <w:bookmarkStart w:id="3907" w:name="_Toc30034"/>
      <w:bookmarkStart w:id="3908" w:name="_Toc128056518"/>
      <w:bookmarkStart w:id="3909" w:name="_Toc11727"/>
      <w:bookmarkStart w:id="3910" w:name="_Toc14529"/>
      <w:bookmarkStart w:id="3911" w:name="_Toc591"/>
      <w:bookmarkStart w:id="3912" w:name="_Toc10986"/>
      <w:bookmarkStart w:id="3913" w:name="_Toc18543"/>
      <w:bookmarkStart w:id="3914" w:name="_Toc11436"/>
      <w:bookmarkStart w:id="3915" w:name="_Toc8467"/>
      <w:r>
        <w:rPr>
          <w:rFonts w:hint="eastAsia" w:ascii="黑体" w:hAnsi="黑体" w:eastAsia="黑体" w:cs="黑体"/>
          <w:color w:val="000000" w:themeColor="text1"/>
        </w:rPr>
        <w:t>F3.2 作业条件危险性评价法</w:t>
      </w:r>
      <w:bookmarkEnd w:id="3879"/>
      <w:bookmarkEnd w:id="3880"/>
      <w:bookmarkEnd w:id="3881"/>
      <w:bookmarkEnd w:id="3882"/>
      <w:bookmarkEnd w:id="3883"/>
      <w:bookmarkEnd w:id="3884"/>
      <w:bookmarkEnd w:id="3885"/>
      <w:bookmarkEnd w:id="3886"/>
      <w:bookmarkEnd w:id="3887"/>
      <w:bookmarkEnd w:id="3888"/>
      <w:bookmarkEnd w:id="3889"/>
      <w:bookmarkEnd w:id="3890"/>
      <w:bookmarkEnd w:id="3891"/>
      <w:bookmarkEnd w:id="3892"/>
      <w:bookmarkEnd w:id="3893"/>
      <w:bookmarkEnd w:id="3894"/>
      <w:bookmarkEnd w:id="3895"/>
      <w:bookmarkEnd w:id="3896"/>
      <w:bookmarkEnd w:id="3897"/>
      <w:bookmarkEnd w:id="3898"/>
      <w:bookmarkEnd w:id="3899"/>
      <w:bookmarkEnd w:id="3900"/>
      <w:bookmarkEnd w:id="3901"/>
      <w:bookmarkEnd w:id="3902"/>
      <w:bookmarkEnd w:id="3903"/>
      <w:bookmarkEnd w:id="3904"/>
      <w:bookmarkEnd w:id="3905"/>
      <w:bookmarkEnd w:id="3906"/>
      <w:bookmarkEnd w:id="3907"/>
      <w:bookmarkEnd w:id="3908"/>
      <w:bookmarkEnd w:id="3909"/>
      <w:bookmarkEnd w:id="3910"/>
      <w:bookmarkEnd w:id="3911"/>
      <w:bookmarkEnd w:id="3912"/>
      <w:bookmarkEnd w:id="3913"/>
      <w:bookmarkEnd w:id="3914"/>
      <w:bookmarkEnd w:id="3915"/>
    </w:p>
    <w:p>
      <w:pPr>
        <w:ind w:firstLine="560"/>
        <w:rPr>
          <w:color w:val="000000" w:themeColor="text1"/>
        </w:rPr>
      </w:pPr>
      <w:r>
        <w:rPr>
          <w:rFonts w:hint="eastAsia"/>
          <w:color w:val="000000" w:themeColor="text1"/>
        </w:rPr>
        <w:t>作业条件危险性评价法</w:t>
      </w:r>
      <w:r>
        <w:rPr>
          <w:color w:val="000000" w:themeColor="text1"/>
        </w:rPr>
        <w:t>是一种简便易行的评价方法，用来评价人们在某种具有潜在危险环境中作业的危险性。该法以被评价的环境与某些作为参考的环境进行比较为基础，采用专家“评分”的办法确定各种自变量的分数值，最后根据总的危险分数值来评价其危险性。该法已用于一些工业企业危险性的评价，取得较好效果。</w:t>
      </w:r>
    </w:p>
    <w:p>
      <w:pPr>
        <w:ind w:firstLine="560"/>
        <w:rPr>
          <w:color w:val="000000" w:themeColor="text1"/>
        </w:rPr>
      </w:pPr>
      <w:r>
        <w:rPr>
          <w:color w:val="000000" w:themeColor="text1"/>
        </w:rPr>
        <w:t>本评价</w:t>
      </w:r>
      <w:r>
        <w:rPr>
          <w:rFonts w:hint="eastAsia"/>
          <w:color w:val="000000" w:themeColor="text1"/>
        </w:rPr>
        <w:t>项目</w:t>
      </w:r>
      <w:r>
        <w:rPr>
          <w:color w:val="000000" w:themeColor="text1"/>
        </w:rPr>
        <w:t>中采用格雷厄姆法来对</w:t>
      </w:r>
      <w:r>
        <w:rPr>
          <w:rFonts w:hint="eastAsia"/>
          <w:color w:val="000000" w:themeColor="text1"/>
        </w:rPr>
        <w:t>项目</w:t>
      </w:r>
      <w:r>
        <w:rPr>
          <w:color w:val="000000" w:themeColor="text1"/>
        </w:rPr>
        <w:t>生产过程及公用工程及辅助设施的危险性进行评价。</w:t>
      </w:r>
    </w:p>
    <w:p>
      <w:pPr>
        <w:ind w:firstLine="560"/>
        <w:rPr>
          <w:color w:val="000000" w:themeColor="text1"/>
        </w:rPr>
      </w:pPr>
      <w:r>
        <w:rPr>
          <w:color w:val="000000" w:themeColor="text1"/>
        </w:rPr>
        <w:t>格雷厄姆和金尼认为影响危险性的主要因素有三个：</w:t>
      </w:r>
    </w:p>
    <w:p>
      <w:pPr>
        <w:ind w:firstLine="560"/>
        <w:rPr>
          <w:color w:val="000000" w:themeColor="text1"/>
        </w:rPr>
      </w:pPr>
      <w:r>
        <w:rPr>
          <w:rFonts w:hint="eastAsia"/>
        </w:rPr>
        <w:t>（1）</w:t>
      </w:r>
      <w:r>
        <w:rPr>
          <w:color w:val="000000" w:themeColor="text1"/>
        </w:rPr>
        <w:t>发生事故或危险事件的可能性；</w:t>
      </w:r>
    </w:p>
    <w:p>
      <w:pPr>
        <w:ind w:firstLine="560"/>
        <w:rPr>
          <w:color w:val="000000" w:themeColor="text1"/>
        </w:rPr>
      </w:pPr>
      <w:r>
        <w:rPr>
          <w:rFonts w:hint="eastAsia"/>
        </w:rPr>
        <w:t>（2）</w:t>
      </w:r>
      <w:r>
        <w:rPr>
          <w:color w:val="000000" w:themeColor="text1"/>
        </w:rPr>
        <w:t>暴露于这种危险环境的频率；</w:t>
      </w:r>
    </w:p>
    <w:p>
      <w:pPr>
        <w:ind w:firstLine="560"/>
        <w:rPr>
          <w:color w:val="000000" w:themeColor="text1"/>
        </w:rPr>
      </w:pPr>
      <w:r>
        <w:rPr>
          <w:rFonts w:hint="eastAsia"/>
        </w:rPr>
        <w:t>（3）</w:t>
      </w:r>
      <w:r>
        <w:rPr>
          <w:color w:val="000000" w:themeColor="text1"/>
        </w:rPr>
        <w:t>事故一旦发生时可能产生的后果。</w:t>
      </w:r>
    </w:p>
    <w:p>
      <w:pPr>
        <w:ind w:firstLine="560"/>
        <w:rPr>
          <w:color w:val="000000" w:themeColor="text1"/>
        </w:rPr>
      </w:pPr>
      <w:r>
        <w:rPr>
          <w:color w:val="000000" w:themeColor="text1"/>
        </w:rPr>
        <w:t>前两者可以看作是危险概率，后者则相当于危险严重度。这样，危险性可以下式来表达：</w:t>
      </w:r>
    </w:p>
    <w:p>
      <w:pPr>
        <w:ind w:firstLine="560"/>
        <w:rPr>
          <w:color w:val="000000" w:themeColor="text1"/>
        </w:rPr>
      </w:pPr>
      <w:r>
        <w:rPr>
          <w:color w:val="000000" w:themeColor="text1"/>
        </w:rPr>
        <w:t>危险性（D）＝L×E×C</w:t>
      </w:r>
    </w:p>
    <w:p>
      <w:pPr>
        <w:ind w:firstLine="560"/>
        <w:rPr>
          <w:color w:val="000000" w:themeColor="text1"/>
        </w:rPr>
      </w:pPr>
      <w:r>
        <w:rPr>
          <w:color w:val="000000" w:themeColor="text1"/>
        </w:rPr>
        <w:t>式中：L―事故或危险事件发生的可能性；</w:t>
      </w:r>
    </w:p>
    <w:p>
      <w:pPr>
        <w:ind w:firstLine="1400" w:firstLineChars="500"/>
        <w:rPr>
          <w:color w:val="000000" w:themeColor="text1"/>
        </w:rPr>
      </w:pPr>
      <w:r>
        <w:rPr>
          <w:color w:val="000000" w:themeColor="text1"/>
        </w:rPr>
        <w:t>E―暴露于危险环境的频率；</w:t>
      </w:r>
    </w:p>
    <w:p>
      <w:pPr>
        <w:ind w:firstLine="1400" w:firstLineChars="500"/>
        <w:rPr>
          <w:color w:val="000000" w:themeColor="text1"/>
        </w:rPr>
      </w:pPr>
      <w:r>
        <w:rPr>
          <w:color w:val="000000" w:themeColor="text1"/>
        </w:rPr>
        <w:t>C―危险严重度。</w:t>
      </w:r>
    </w:p>
    <w:p>
      <w:pPr>
        <w:ind w:firstLine="560"/>
        <w:rPr>
          <w:color w:val="000000" w:themeColor="text1"/>
        </w:rPr>
      </w:pPr>
      <w:r>
        <w:rPr>
          <w:rFonts w:hint="eastAsia"/>
          <w:color w:val="000000" w:themeColor="text1"/>
        </w:rPr>
        <w:t>1）</w:t>
      </w:r>
      <w:r>
        <w:rPr>
          <w:color w:val="000000" w:themeColor="text1"/>
        </w:rPr>
        <w:t>可能性因素L</w:t>
      </w:r>
    </w:p>
    <w:p>
      <w:pPr>
        <w:ind w:firstLine="560"/>
        <w:rPr>
          <w:color w:val="000000" w:themeColor="text1"/>
          <w:sz w:val="24"/>
        </w:rPr>
      </w:pPr>
      <w:r>
        <w:rPr>
          <w:color w:val="000000" w:themeColor="text1"/>
        </w:rPr>
        <w:t>事故或危险事件发生的可能性是与它们实际的数学概率相关联的。绝对不可能发生的事件的概率为0，而必然发生的事件的概率则为1。但在实际情况中，</w:t>
      </w:r>
      <w:r>
        <w:rPr>
          <w:color w:val="000000" w:themeColor="text1"/>
          <w:szCs w:val="28"/>
        </w:rPr>
        <w:t>绝对不可能发生的事故是不存在的，只能说可能性极小，概率趋于0。所以，可能性因素L的分数值取值范围为1～10具体见</w:t>
      </w:r>
      <w:r>
        <w:rPr>
          <w:rFonts w:hint="eastAsia"/>
          <w:color w:val="000000" w:themeColor="text1"/>
          <w:szCs w:val="28"/>
        </w:rPr>
        <w:t>F</w:t>
      </w:r>
      <w:r>
        <w:rPr>
          <w:color w:val="000000" w:themeColor="text1"/>
          <w:szCs w:val="28"/>
        </w:rPr>
        <w:t>表</w:t>
      </w:r>
      <w:r>
        <w:rPr>
          <w:rFonts w:hint="eastAsia"/>
          <w:color w:val="000000" w:themeColor="text1"/>
          <w:szCs w:val="28"/>
        </w:rPr>
        <w:t>3.2</w:t>
      </w:r>
      <w:r>
        <w:rPr>
          <w:color w:val="000000" w:themeColor="text1"/>
          <w:szCs w:val="28"/>
        </w:rPr>
        <w:t>-</w:t>
      </w:r>
      <w:r>
        <w:rPr>
          <w:rFonts w:hint="eastAsia"/>
          <w:color w:val="000000" w:themeColor="text1"/>
          <w:szCs w:val="28"/>
        </w:rPr>
        <w:t>1</w:t>
      </w:r>
      <w:r>
        <w:rPr>
          <w:color w:val="000000" w:themeColor="text1"/>
          <w:szCs w:val="28"/>
        </w:rPr>
        <w:t>。</w:t>
      </w:r>
    </w:p>
    <w:p>
      <w:pPr>
        <w:pStyle w:val="92"/>
        <w:spacing w:line="240" w:lineRule="auto"/>
        <w:rPr>
          <w:sz w:val="24"/>
          <w:szCs w:val="24"/>
        </w:rPr>
      </w:pPr>
      <w:r>
        <w:rPr>
          <w:rFonts w:hint="eastAsia"/>
          <w:sz w:val="24"/>
          <w:szCs w:val="24"/>
        </w:rPr>
        <w:t>F</w:t>
      </w:r>
      <w:r>
        <w:rPr>
          <w:sz w:val="24"/>
          <w:szCs w:val="24"/>
        </w:rPr>
        <w:t>表</w:t>
      </w:r>
      <w:r>
        <w:rPr>
          <w:rFonts w:hint="eastAsia"/>
          <w:sz w:val="24"/>
          <w:szCs w:val="24"/>
        </w:rPr>
        <w:t xml:space="preserve">3.2-1 </w:t>
      </w:r>
      <w:r>
        <w:rPr>
          <w:sz w:val="24"/>
          <w:szCs w:val="24"/>
        </w:rPr>
        <w:t>事故或危险事件发生的可能性L的分数值表</w:t>
      </w:r>
    </w:p>
    <w:tbl>
      <w:tblPr>
        <w:tblStyle w:val="38"/>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527"/>
        <w:gridCol w:w="6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分</w:t>
            </w:r>
            <w:r>
              <w:rPr>
                <w:rFonts w:hint="eastAsia"/>
                <w:b/>
                <w:snapToGrid w:val="0"/>
                <w:color w:val="000000" w:themeColor="text1"/>
                <w:kern w:val="0"/>
                <w:sz w:val="21"/>
                <w:szCs w:val="21"/>
              </w:rPr>
              <w:t xml:space="preserve">  </w:t>
            </w:r>
            <w:r>
              <w:rPr>
                <w:b/>
                <w:snapToGrid w:val="0"/>
                <w:color w:val="000000" w:themeColor="text1"/>
                <w:kern w:val="0"/>
                <w:sz w:val="21"/>
                <w:szCs w:val="21"/>
              </w:rPr>
              <w:t>数</w:t>
            </w:r>
            <w:r>
              <w:rPr>
                <w:rFonts w:hint="eastAsia"/>
                <w:b/>
                <w:snapToGrid w:val="0"/>
                <w:color w:val="000000" w:themeColor="text1"/>
                <w:kern w:val="0"/>
                <w:sz w:val="21"/>
                <w:szCs w:val="21"/>
              </w:rPr>
              <w:t xml:space="preserve">  </w:t>
            </w:r>
            <w:r>
              <w:rPr>
                <w:b/>
                <w:snapToGrid w:val="0"/>
                <w:color w:val="000000" w:themeColor="text1"/>
                <w:kern w:val="0"/>
                <w:sz w:val="21"/>
                <w:szCs w:val="21"/>
              </w:rPr>
              <w:t>值</w:t>
            </w:r>
          </w:p>
        </w:tc>
        <w:tc>
          <w:tcPr>
            <w:tcW w:w="6544"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事</w:t>
            </w:r>
            <w:r>
              <w:rPr>
                <w:rFonts w:hint="eastAsia"/>
                <w:b/>
                <w:snapToGrid w:val="0"/>
                <w:color w:val="000000" w:themeColor="text1"/>
                <w:kern w:val="0"/>
                <w:sz w:val="21"/>
                <w:szCs w:val="21"/>
              </w:rPr>
              <w:t xml:space="preserve"> </w:t>
            </w:r>
            <w:r>
              <w:rPr>
                <w:b/>
                <w:snapToGrid w:val="0"/>
                <w:color w:val="000000" w:themeColor="text1"/>
                <w:kern w:val="0"/>
                <w:sz w:val="21"/>
                <w:szCs w:val="21"/>
              </w:rPr>
              <w:t>故</w:t>
            </w:r>
            <w:r>
              <w:rPr>
                <w:rFonts w:hint="eastAsia"/>
                <w:b/>
                <w:snapToGrid w:val="0"/>
                <w:color w:val="000000" w:themeColor="text1"/>
                <w:kern w:val="0"/>
                <w:sz w:val="21"/>
                <w:szCs w:val="21"/>
              </w:rPr>
              <w:t xml:space="preserve"> </w:t>
            </w:r>
            <w:r>
              <w:rPr>
                <w:b/>
                <w:snapToGrid w:val="0"/>
                <w:color w:val="000000" w:themeColor="text1"/>
                <w:kern w:val="0"/>
                <w:sz w:val="21"/>
                <w:szCs w:val="21"/>
              </w:rPr>
              <w:t>或</w:t>
            </w:r>
            <w:r>
              <w:rPr>
                <w:rFonts w:hint="eastAsia"/>
                <w:b/>
                <w:snapToGrid w:val="0"/>
                <w:color w:val="000000" w:themeColor="text1"/>
                <w:kern w:val="0"/>
                <w:sz w:val="21"/>
                <w:szCs w:val="21"/>
              </w:rPr>
              <w:t xml:space="preserve"> </w:t>
            </w:r>
            <w:r>
              <w:rPr>
                <w:b/>
                <w:snapToGrid w:val="0"/>
                <w:color w:val="000000" w:themeColor="text1"/>
                <w:kern w:val="0"/>
                <w:sz w:val="21"/>
                <w:szCs w:val="21"/>
              </w:rPr>
              <w:t>危</w:t>
            </w:r>
            <w:r>
              <w:rPr>
                <w:rFonts w:hint="eastAsia"/>
                <w:b/>
                <w:snapToGrid w:val="0"/>
                <w:color w:val="000000" w:themeColor="text1"/>
                <w:kern w:val="0"/>
                <w:sz w:val="21"/>
                <w:szCs w:val="21"/>
              </w:rPr>
              <w:t xml:space="preserve"> </w:t>
            </w:r>
            <w:r>
              <w:rPr>
                <w:b/>
                <w:snapToGrid w:val="0"/>
                <w:color w:val="000000" w:themeColor="text1"/>
                <w:kern w:val="0"/>
                <w:sz w:val="21"/>
                <w:szCs w:val="21"/>
              </w:rPr>
              <w:t>险</w:t>
            </w:r>
            <w:r>
              <w:rPr>
                <w:rFonts w:hint="eastAsia"/>
                <w:b/>
                <w:snapToGrid w:val="0"/>
                <w:color w:val="000000" w:themeColor="text1"/>
                <w:kern w:val="0"/>
                <w:sz w:val="21"/>
                <w:szCs w:val="21"/>
              </w:rPr>
              <w:t xml:space="preserve"> </w:t>
            </w:r>
            <w:r>
              <w:rPr>
                <w:b/>
                <w:snapToGrid w:val="0"/>
                <w:color w:val="000000" w:themeColor="text1"/>
                <w:kern w:val="0"/>
                <w:sz w:val="21"/>
                <w:szCs w:val="21"/>
              </w:rPr>
              <w:t>事</w:t>
            </w:r>
            <w:r>
              <w:rPr>
                <w:rFonts w:hint="eastAsia"/>
                <w:b/>
                <w:snapToGrid w:val="0"/>
                <w:color w:val="000000" w:themeColor="text1"/>
                <w:kern w:val="0"/>
                <w:sz w:val="21"/>
                <w:szCs w:val="21"/>
              </w:rPr>
              <w:t xml:space="preserve"> </w:t>
            </w:r>
            <w:r>
              <w:rPr>
                <w:b/>
                <w:snapToGrid w:val="0"/>
                <w:color w:val="000000" w:themeColor="text1"/>
                <w:kern w:val="0"/>
                <w:sz w:val="21"/>
                <w:szCs w:val="21"/>
              </w:rPr>
              <w:t>件</w:t>
            </w:r>
            <w:r>
              <w:rPr>
                <w:rFonts w:hint="eastAsia"/>
                <w:b/>
                <w:snapToGrid w:val="0"/>
                <w:color w:val="000000" w:themeColor="text1"/>
                <w:kern w:val="0"/>
                <w:sz w:val="21"/>
                <w:szCs w:val="21"/>
              </w:rPr>
              <w:t xml:space="preserve"> </w:t>
            </w:r>
            <w:r>
              <w:rPr>
                <w:b/>
                <w:snapToGrid w:val="0"/>
                <w:color w:val="000000" w:themeColor="text1"/>
                <w:kern w:val="0"/>
                <w:sz w:val="21"/>
                <w:szCs w:val="21"/>
              </w:rPr>
              <w:t>发</w:t>
            </w:r>
            <w:r>
              <w:rPr>
                <w:rFonts w:hint="eastAsia"/>
                <w:b/>
                <w:snapToGrid w:val="0"/>
                <w:color w:val="000000" w:themeColor="text1"/>
                <w:kern w:val="0"/>
                <w:sz w:val="21"/>
                <w:szCs w:val="21"/>
              </w:rPr>
              <w:t xml:space="preserve"> </w:t>
            </w:r>
            <w:r>
              <w:rPr>
                <w:b/>
                <w:snapToGrid w:val="0"/>
                <w:color w:val="000000" w:themeColor="text1"/>
                <w:kern w:val="0"/>
                <w:sz w:val="21"/>
                <w:szCs w:val="21"/>
              </w:rPr>
              <w:t>生</w:t>
            </w:r>
            <w:r>
              <w:rPr>
                <w:rFonts w:hint="eastAsia"/>
                <w:b/>
                <w:snapToGrid w:val="0"/>
                <w:color w:val="000000" w:themeColor="text1"/>
                <w:kern w:val="0"/>
                <w:sz w:val="21"/>
                <w:szCs w:val="21"/>
              </w:rPr>
              <w:t xml:space="preserve"> </w:t>
            </w:r>
            <w:r>
              <w:rPr>
                <w:b/>
                <w:snapToGrid w:val="0"/>
                <w:color w:val="000000" w:themeColor="text1"/>
                <w:kern w:val="0"/>
                <w:sz w:val="21"/>
                <w:szCs w:val="21"/>
              </w:rPr>
              <w:t>的</w:t>
            </w:r>
            <w:r>
              <w:rPr>
                <w:rFonts w:hint="eastAsia"/>
                <w:b/>
                <w:snapToGrid w:val="0"/>
                <w:color w:val="000000" w:themeColor="text1"/>
                <w:kern w:val="0"/>
                <w:sz w:val="21"/>
                <w:szCs w:val="21"/>
              </w:rPr>
              <w:t xml:space="preserve"> </w:t>
            </w:r>
            <w:r>
              <w:rPr>
                <w:b/>
                <w:snapToGrid w:val="0"/>
                <w:color w:val="000000" w:themeColor="text1"/>
                <w:kern w:val="0"/>
                <w:sz w:val="21"/>
                <w:szCs w:val="21"/>
              </w:rPr>
              <w:t>可</w:t>
            </w:r>
            <w:r>
              <w:rPr>
                <w:rFonts w:hint="eastAsia"/>
                <w:b/>
                <w:snapToGrid w:val="0"/>
                <w:color w:val="000000" w:themeColor="text1"/>
                <w:kern w:val="0"/>
                <w:sz w:val="21"/>
                <w:szCs w:val="21"/>
              </w:rPr>
              <w:t xml:space="preserve"> </w:t>
            </w:r>
            <w:r>
              <w:rPr>
                <w:b/>
                <w:snapToGrid w:val="0"/>
                <w:color w:val="000000" w:themeColor="text1"/>
                <w:kern w:val="0"/>
                <w:sz w:val="21"/>
                <w:szCs w:val="21"/>
              </w:rPr>
              <w:t>能</w:t>
            </w:r>
            <w:r>
              <w:rPr>
                <w:rFonts w:hint="eastAsia"/>
                <w:b/>
                <w:snapToGrid w:val="0"/>
                <w:color w:val="000000" w:themeColor="text1"/>
                <w:kern w:val="0"/>
                <w:sz w:val="21"/>
                <w:szCs w:val="21"/>
              </w:rPr>
              <w:t xml:space="preserve"> </w:t>
            </w:r>
            <w:r>
              <w:rPr>
                <w:b/>
                <w:snapToGrid w:val="0"/>
                <w:color w:val="000000" w:themeColor="text1"/>
                <w:kern w:val="0"/>
                <w:sz w:val="21"/>
                <w:szCs w:val="21"/>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10</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完全会被预料到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6</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相当可能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3</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不经常，但可能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完全意外，极少可能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0.5</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可以设想，但高度不可能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0.2</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极不可能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2527"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0.1</w:t>
            </w:r>
          </w:p>
        </w:tc>
        <w:tc>
          <w:tcPr>
            <w:tcW w:w="6544"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实际上不可能</w:t>
            </w:r>
          </w:p>
        </w:tc>
      </w:tr>
    </w:tbl>
    <w:p>
      <w:pPr>
        <w:ind w:firstLine="560"/>
        <w:rPr>
          <w:color w:val="000000" w:themeColor="text1"/>
        </w:rPr>
      </w:pPr>
    </w:p>
    <w:p>
      <w:pPr>
        <w:ind w:firstLine="560"/>
        <w:rPr>
          <w:color w:val="000000" w:themeColor="text1"/>
        </w:rPr>
      </w:pPr>
      <w:r>
        <w:rPr>
          <w:rFonts w:hint="eastAsia"/>
          <w:color w:val="000000" w:themeColor="text1"/>
        </w:rPr>
        <w:t>2）</w:t>
      </w:r>
      <w:r>
        <w:rPr>
          <w:color w:val="000000" w:themeColor="text1"/>
        </w:rPr>
        <w:t>暴露于危险环境的频率E</w:t>
      </w:r>
    </w:p>
    <w:p>
      <w:pPr>
        <w:ind w:firstLine="560"/>
        <w:rPr>
          <w:color w:val="000000" w:themeColor="text1"/>
        </w:rPr>
      </w:pPr>
      <w:r>
        <w:rPr>
          <w:color w:val="000000" w:themeColor="text1"/>
        </w:rPr>
        <w:t>操作人员出现在危险环境中的时间越多，受到伤害的可能性就越大，相应的危险性也就越大。连续出现在危险环境的情况其频率分为10，非常罕见地暴露于危险环境则为0.5。具体分数值见</w:t>
      </w:r>
      <w:r>
        <w:rPr>
          <w:rFonts w:hint="eastAsia"/>
          <w:color w:val="000000" w:themeColor="text1"/>
        </w:rPr>
        <w:t>F</w:t>
      </w:r>
      <w:r>
        <w:rPr>
          <w:color w:val="000000" w:themeColor="text1"/>
        </w:rPr>
        <w:t>表</w:t>
      </w:r>
      <w:r>
        <w:rPr>
          <w:rFonts w:hint="eastAsia"/>
          <w:color w:val="000000" w:themeColor="text1"/>
        </w:rPr>
        <w:t>3.2-2</w:t>
      </w:r>
      <w:r>
        <w:rPr>
          <w:color w:val="000000" w:themeColor="text1"/>
        </w:rPr>
        <w:t>。</w:t>
      </w:r>
    </w:p>
    <w:p>
      <w:pPr>
        <w:pStyle w:val="92"/>
        <w:spacing w:line="240" w:lineRule="auto"/>
        <w:rPr>
          <w:sz w:val="24"/>
          <w:szCs w:val="24"/>
        </w:rPr>
      </w:pPr>
      <w:r>
        <w:rPr>
          <w:rFonts w:hint="eastAsia"/>
          <w:sz w:val="24"/>
          <w:szCs w:val="24"/>
        </w:rPr>
        <w:t>F</w:t>
      </w:r>
      <w:r>
        <w:rPr>
          <w:sz w:val="24"/>
          <w:szCs w:val="24"/>
        </w:rPr>
        <w:t>表</w:t>
      </w:r>
      <w:r>
        <w:rPr>
          <w:rFonts w:hint="eastAsia"/>
          <w:sz w:val="24"/>
          <w:szCs w:val="24"/>
        </w:rPr>
        <w:t xml:space="preserve">3.2-2 </w:t>
      </w:r>
      <w:r>
        <w:rPr>
          <w:sz w:val="24"/>
          <w:szCs w:val="24"/>
        </w:rPr>
        <w:t>暴露于潜在危险环境频率E的分数值</w:t>
      </w:r>
    </w:p>
    <w:tbl>
      <w:tblPr>
        <w:tblStyle w:val="38"/>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3118"/>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分</w:t>
            </w:r>
            <w:r>
              <w:rPr>
                <w:rFonts w:hint="eastAsia"/>
                <w:b/>
                <w:snapToGrid w:val="0"/>
                <w:color w:val="000000" w:themeColor="text1"/>
                <w:kern w:val="0"/>
                <w:sz w:val="21"/>
                <w:szCs w:val="21"/>
              </w:rPr>
              <w:t xml:space="preserve">  </w:t>
            </w:r>
            <w:r>
              <w:rPr>
                <w:b/>
                <w:snapToGrid w:val="0"/>
                <w:color w:val="000000" w:themeColor="text1"/>
                <w:kern w:val="0"/>
                <w:sz w:val="21"/>
                <w:szCs w:val="21"/>
              </w:rPr>
              <w:t>数</w:t>
            </w:r>
            <w:r>
              <w:rPr>
                <w:rFonts w:hint="eastAsia"/>
                <w:b/>
                <w:snapToGrid w:val="0"/>
                <w:color w:val="000000" w:themeColor="text1"/>
                <w:kern w:val="0"/>
                <w:sz w:val="21"/>
                <w:szCs w:val="21"/>
              </w:rPr>
              <w:t xml:space="preserve">  </w:t>
            </w:r>
            <w:r>
              <w:rPr>
                <w:b/>
                <w:snapToGrid w:val="0"/>
                <w:color w:val="000000" w:themeColor="text1"/>
                <w:kern w:val="0"/>
                <w:sz w:val="21"/>
                <w:szCs w:val="21"/>
              </w:rPr>
              <w:t>值</w:t>
            </w:r>
          </w:p>
        </w:tc>
        <w:tc>
          <w:tcPr>
            <w:tcW w:w="5953"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暴</w:t>
            </w:r>
            <w:r>
              <w:rPr>
                <w:rFonts w:hint="eastAsia"/>
                <w:b/>
                <w:snapToGrid w:val="0"/>
                <w:color w:val="000000" w:themeColor="text1"/>
                <w:kern w:val="0"/>
                <w:sz w:val="21"/>
                <w:szCs w:val="21"/>
              </w:rPr>
              <w:t xml:space="preserve"> </w:t>
            </w:r>
            <w:r>
              <w:rPr>
                <w:b/>
                <w:snapToGrid w:val="0"/>
                <w:color w:val="000000" w:themeColor="text1"/>
                <w:kern w:val="0"/>
                <w:sz w:val="21"/>
                <w:szCs w:val="21"/>
              </w:rPr>
              <w:t>露</w:t>
            </w:r>
            <w:r>
              <w:rPr>
                <w:rFonts w:hint="eastAsia"/>
                <w:b/>
                <w:snapToGrid w:val="0"/>
                <w:color w:val="000000" w:themeColor="text1"/>
                <w:kern w:val="0"/>
                <w:sz w:val="21"/>
                <w:szCs w:val="21"/>
              </w:rPr>
              <w:t xml:space="preserve"> </w:t>
            </w:r>
            <w:r>
              <w:rPr>
                <w:b/>
                <w:snapToGrid w:val="0"/>
                <w:color w:val="000000" w:themeColor="text1"/>
                <w:kern w:val="0"/>
                <w:sz w:val="21"/>
                <w:szCs w:val="21"/>
              </w:rPr>
              <w:t>于</w:t>
            </w:r>
            <w:r>
              <w:rPr>
                <w:rFonts w:hint="eastAsia"/>
                <w:b/>
                <w:snapToGrid w:val="0"/>
                <w:color w:val="000000" w:themeColor="text1"/>
                <w:kern w:val="0"/>
                <w:sz w:val="21"/>
                <w:szCs w:val="21"/>
              </w:rPr>
              <w:t xml:space="preserve"> </w:t>
            </w:r>
            <w:r>
              <w:rPr>
                <w:b/>
                <w:snapToGrid w:val="0"/>
                <w:color w:val="000000" w:themeColor="text1"/>
                <w:kern w:val="0"/>
                <w:sz w:val="21"/>
                <w:szCs w:val="21"/>
              </w:rPr>
              <w:t>危</w:t>
            </w:r>
            <w:r>
              <w:rPr>
                <w:rFonts w:hint="eastAsia"/>
                <w:b/>
                <w:snapToGrid w:val="0"/>
                <w:color w:val="000000" w:themeColor="text1"/>
                <w:kern w:val="0"/>
                <w:sz w:val="21"/>
                <w:szCs w:val="21"/>
              </w:rPr>
              <w:t xml:space="preserve"> </w:t>
            </w:r>
            <w:r>
              <w:rPr>
                <w:b/>
                <w:snapToGrid w:val="0"/>
                <w:color w:val="000000" w:themeColor="text1"/>
                <w:kern w:val="0"/>
                <w:sz w:val="21"/>
                <w:szCs w:val="21"/>
              </w:rPr>
              <w:t>险</w:t>
            </w:r>
            <w:r>
              <w:rPr>
                <w:rFonts w:hint="eastAsia"/>
                <w:b/>
                <w:snapToGrid w:val="0"/>
                <w:color w:val="000000" w:themeColor="text1"/>
                <w:kern w:val="0"/>
                <w:sz w:val="21"/>
                <w:szCs w:val="21"/>
              </w:rPr>
              <w:t xml:space="preserve"> </w:t>
            </w:r>
            <w:r>
              <w:rPr>
                <w:b/>
                <w:snapToGrid w:val="0"/>
                <w:color w:val="000000" w:themeColor="text1"/>
                <w:kern w:val="0"/>
                <w:sz w:val="21"/>
                <w:szCs w:val="21"/>
              </w:rPr>
              <w:t>环</w:t>
            </w:r>
            <w:r>
              <w:rPr>
                <w:rFonts w:hint="eastAsia"/>
                <w:b/>
                <w:snapToGrid w:val="0"/>
                <w:color w:val="000000" w:themeColor="text1"/>
                <w:kern w:val="0"/>
                <w:sz w:val="21"/>
                <w:szCs w:val="21"/>
              </w:rPr>
              <w:t xml:space="preserve"> </w:t>
            </w:r>
            <w:r>
              <w:rPr>
                <w:b/>
                <w:snapToGrid w:val="0"/>
                <w:color w:val="000000" w:themeColor="text1"/>
                <w:kern w:val="0"/>
                <w:sz w:val="21"/>
                <w:szCs w:val="21"/>
              </w:rPr>
              <w:t>境</w:t>
            </w:r>
            <w:r>
              <w:rPr>
                <w:rFonts w:hint="eastAsia"/>
                <w:b/>
                <w:snapToGrid w:val="0"/>
                <w:color w:val="000000" w:themeColor="text1"/>
                <w:kern w:val="0"/>
                <w:sz w:val="21"/>
                <w:szCs w:val="21"/>
              </w:rPr>
              <w:t xml:space="preserve"> </w:t>
            </w:r>
            <w:r>
              <w:rPr>
                <w:b/>
                <w:snapToGrid w:val="0"/>
                <w:color w:val="000000" w:themeColor="text1"/>
                <w:kern w:val="0"/>
                <w:sz w:val="21"/>
                <w:szCs w:val="21"/>
              </w:rPr>
              <w:t>的</w:t>
            </w:r>
            <w:r>
              <w:rPr>
                <w:rFonts w:hint="eastAsia"/>
                <w:b/>
                <w:snapToGrid w:val="0"/>
                <w:color w:val="000000" w:themeColor="text1"/>
                <w:kern w:val="0"/>
                <w:sz w:val="21"/>
                <w:szCs w:val="21"/>
              </w:rPr>
              <w:t xml:space="preserve"> </w:t>
            </w:r>
            <w:r>
              <w:rPr>
                <w:b/>
                <w:snapToGrid w:val="0"/>
                <w:color w:val="000000" w:themeColor="text1"/>
                <w:kern w:val="0"/>
                <w:sz w:val="21"/>
                <w:szCs w:val="21"/>
              </w:rPr>
              <w:t>频</w:t>
            </w:r>
            <w:r>
              <w:rPr>
                <w:rFonts w:hint="eastAsia"/>
                <w:b/>
                <w:snapToGrid w:val="0"/>
                <w:color w:val="000000" w:themeColor="text1"/>
                <w:kern w:val="0"/>
                <w:sz w:val="21"/>
                <w:szCs w:val="21"/>
              </w:rPr>
              <w:t xml:space="preserve"> </w:t>
            </w:r>
            <w:r>
              <w:rPr>
                <w:b/>
                <w:snapToGrid w:val="0"/>
                <w:color w:val="000000" w:themeColor="text1"/>
                <w:kern w:val="0"/>
                <w:sz w:val="21"/>
                <w:szCs w:val="21"/>
              </w:rPr>
              <w:t>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连续暴露于潜在危险环境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6</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逐日在工作时间内暴露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3</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每周一次或偶然暴露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2</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每月暴露一次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每年几次出现在危险环境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0.5</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非常罕见地暴露于危险环境</w:t>
            </w:r>
          </w:p>
        </w:tc>
      </w:tr>
    </w:tbl>
    <w:p>
      <w:pPr>
        <w:ind w:firstLine="560"/>
        <w:rPr>
          <w:color w:val="000000" w:themeColor="text1"/>
        </w:rPr>
      </w:pPr>
      <w:r>
        <w:rPr>
          <w:rFonts w:hint="eastAsia"/>
          <w:color w:val="000000" w:themeColor="text1"/>
        </w:rPr>
        <w:t>3）</w:t>
      </w:r>
      <w:r>
        <w:rPr>
          <w:color w:val="000000" w:themeColor="text1"/>
        </w:rPr>
        <w:t>事故或危险事件的危险严重度C</w:t>
      </w:r>
    </w:p>
    <w:p>
      <w:pPr>
        <w:ind w:firstLine="560"/>
        <w:rPr>
          <w:color w:val="000000" w:themeColor="text1"/>
        </w:rPr>
      </w:pPr>
      <w:r>
        <w:rPr>
          <w:color w:val="000000" w:themeColor="text1"/>
        </w:rPr>
        <w:t>事故或危险事件对人身伤害的严重程度变化范围很大，可以从伤害直至死亡事故，规定分数值1~100。具体分数值见</w:t>
      </w:r>
      <w:r>
        <w:rPr>
          <w:rFonts w:hint="eastAsia"/>
          <w:color w:val="000000" w:themeColor="text1"/>
        </w:rPr>
        <w:t>F</w:t>
      </w:r>
      <w:r>
        <w:rPr>
          <w:color w:val="000000" w:themeColor="text1"/>
        </w:rPr>
        <w:t>表</w:t>
      </w:r>
      <w:r>
        <w:rPr>
          <w:rFonts w:hint="eastAsia"/>
          <w:color w:val="000000" w:themeColor="text1"/>
        </w:rPr>
        <w:t>3.2</w:t>
      </w:r>
      <w:r>
        <w:rPr>
          <w:color w:val="000000" w:themeColor="text1"/>
        </w:rPr>
        <w:t>-</w:t>
      </w:r>
      <w:r>
        <w:rPr>
          <w:rFonts w:hint="eastAsia"/>
          <w:color w:val="000000" w:themeColor="text1"/>
        </w:rPr>
        <w:t>3</w:t>
      </w:r>
      <w:r>
        <w:rPr>
          <w:color w:val="000000" w:themeColor="text1"/>
        </w:rPr>
        <w:t>。</w:t>
      </w:r>
    </w:p>
    <w:p>
      <w:pPr>
        <w:pStyle w:val="92"/>
        <w:spacing w:line="240" w:lineRule="auto"/>
        <w:rPr>
          <w:sz w:val="24"/>
          <w:szCs w:val="24"/>
        </w:rPr>
      </w:pPr>
      <w:r>
        <w:rPr>
          <w:rFonts w:hint="eastAsia"/>
          <w:sz w:val="24"/>
          <w:szCs w:val="24"/>
        </w:rPr>
        <w:t>F</w:t>
      </w:r>
      <w:r>
        <w:rPr>
          <w:sz w:val="24"/>
          <w:szCs w:val="24"/>
        </w:rPr>
        <w:t>表</w:t>
      </w:r>
      <w:r>
        <w:rPr>
          <w:rFonts w:hint="eastAsia"/>
          <w:sz w:val="24"/>
          <w:szCs w:val="24"/>
        </w:rPr>
        <w:t>3.2</w:t>
      </w:r>
      <w:r>
        <w:rPr>
          <w:sz w:val="24"/>
          <w:szCs w:val="24"/>
        </w:rPr>
        <w:t>-</w:t>
      </w:r>
      <w:r>
        <w:rPr>
          <w:rFonts w:hint="eastAsia"/>
          <w:sz w:val="24"/>
          <w:szCs w:val="24"/>
        </w:rPr>
        <w:t xml:space="preserve">3 </w:t>
      </w:r>
      <w:r>
        <w:rPr>
          <w:sz w:val="24"/>
          <w:szCs w:val="24"/>
        </w:rPr>
        <w:t>事故或危险事件的危险严重度C的分数值</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3118"/>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分</w:t>
            </w:r>
            <w:r>
              <w:rPr>
                <w:rFonts w:hint="eastAsia"/>
                <w:b/>
                <w:snapToGrid w:val="0"/>
                <w:color w:val="000000" w:themeColor="text1"/>
                <w:kern w:val="0"/>
                <w:sz w:val="21"/>
                <w:szCs w:val="21"/>
              </w:rPr>
              <w:t xml:space="preserve">  </w:t>
            </w:r>
            <w:r>
              <w:rPr>
                <w:b/>
                <w:snapToGrid w:val="0"/>
                <w:color w:val="000000" w:themeColor="text1"/>
                <w:kern w:val="0"/>
                <w:sz w:val="21"/>
                <w:szCs w:val="21"/>
              </w:rPr>
              <w:t>数</w:t>
            </w:r>
            <w:r>
              <w:rPr>
                <w:rFonts w:hint="eastAsia"/>
                <w:b/>
                <w:snapToGrid w:val="0"/>
                <w:color w:val="000000" w:themeColor="text1"/>
                <w:kern w:val="0"/>
                <w:sz w:val="21"/>
                <w:szCs w:val="21"/>
              </w:rPr>
              <w:t xml:space="preserve">  </w:t>
            </w:r>
            <w:r>
              <w:rPr>
                <w:b/>
                <w:snapToGrid w:val="0"/>
                <w:color w:val="000000" w:themeColor="text1"/>
                <w:kern w:val="0"/>
                <w:sz w:val="21"/>
                <w:szCs w:val="21"/>
              </w:rPr>
              <w:t>值</w:t>
            </w:r>
          </w:p>
        </w:tc>
        <w:tc>
          <w:tcPr>
            <w:tcW w:w="5953"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可</w:t>
            </w:r>
            <w:r>
              <w:rPr>
                <w:rFonts w:hint="eastAsia"/>
                <w:b/>
                <w:snapToGrid w:val="0"/>
                <w:color w:val="000000" w:themeColor="text1"/>
                <w:kern w:val="0"/>
                <w:sz w:val="21"/>
                <w:szCs w:val="21"/>
              </w:rPr>
              <w:t xml:space="preserve">  </w:t>
            </w:r>
            <w:r>
              <w:rPr>
                <w:b/>
                <w:snapToGrid w:val="0"/>
                <w:color w:val="000000" w:themeColor="text1"/>
                <w:kern w:val="0"/>
                <w:sz w:val="21"/>
                <w:szCs w:val="21"/>
              </w:rPr>
              <w:t>能</w:t>
            </w:r>
            <w:r>
              <w:rPr>
                <w:rFonts w:hint="eastAsia"/>
                <w:b/>
                <w:snapToGrid w:val="0"/>
                <w:color w:val="000000" w:themeColor="text1"/>
                <w:kern w:val="0"/>
                <w:sz w:val="21"/>
                <w:szCs w:val="21"/>
              </w:rPr>
              <w:t xml:space="preserve">  </w:t>
            </w:r>
            <w:r>
              <w:rPr>
                <w:b/>
                <w:snapToGrid w:val="0"/>
                <w:color w:val="000000" w:themeColor="text1"/>
                <w:kern w:val="0"/>
                <w:sz w:val="21"/>
                <w:szCs w:val="21"/>
              </w:rPr>
              <w:t>结</w:t>
            </w:r>
            <w:r>
              <w:rPr>
                <w:rFonts w:hint="eastAsia"/>
                <w:b/>
                <w:snapToGrid w:val="0"/>
                <w:color w:val="000000" w:themeColor="text1"/>
                <w:kern w:val="0"/>
                <w:sz w:val="21"/>
                <w:szCs w:val="21"/>
              </w:rPr>
              <w:t xml:space="preserve">  </w:t>
            </w:r>
            <w:r>
              <w:rPr>
                <w:b/>
                <w:snapToGrid w:val="0"/>
                <w:color w:val="000000" w:themeColor="text1"/>
                <w:kern w:val="0"/>
                <w:sz w:val="21"/>
                <w:szCs w:val="21"/>
              </w:rPr>
              <w:t>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100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大空难，许多人死亡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40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空难，数人死亡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15</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非常严重，一人死亡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7</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严重，严重伤害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3</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重大，致残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引人注目，需要救护</w:t>
            </w:r>
          </w:p>
        </w:tc>
      </w:tr>
    </w:tbl>
    <w:p>
      <w:pPr>
        <w:ind w:firstLine="560"/>
        <w:rPr>
          <w:color w:val="000000" w:themeColor="text1"/>
        </w:rPr>
      </w:pPr>
    </w:p>
    <w:p>
      <w:pPr>
        <w:ind w:firstLine="560"/>
        <w:rPr>
          <w:color w:val="000000" w:themeColor="text1"/>
        </w:rPr>
      </w:pPr>
      <w:r>
        <w:rPr>
          <w:rFonts w:hint="eastAsia"/>
          <w:color w:val="000000" w:themeColor="text1"/>
        </w:rPr>
        <w:t>4）</w:t>
      </w:r>
      <w:r>
        <w:rPr>
          <w:color w:val="000000" w:themeColor="text1"/>
        </w:rPr>
        <w:t>危险性程度分级</w:t>
      </w:r>
    </w:p>
    <w:p>
      <w:pPr>
        <w:ind w:firstLine="560"/>
        <w:rPr>
          <w:snapToGrid w:val="0"/>
          <w:color w:val="000000" w:themeColor="text1"/>
          <w:kern w:val="0"/>
          <w:szCs w:val="28"/>
        </w:rPr>
      </w:pPr>
      <w:r>
        <w:rPr>
          <w:color w:val="000000" w:themeColor="text1"/>
        </w:rPr>
        <w:t>在确定了上述三个因素的分数值后，其三者的乘积即为总的危险性分数值D。根据相关资料，将危险性程度分级的相应分数值列入</w:t>
      </w:r>
      <w:r>
        <w:rPr>
          <w:rFonts w:hint="eastAsia"/>
          <w:color w:val="000000" w:themeColor="text1"/>
        </w:rPr>
        <w:t>F</w:t>
      </w:r>
      <w:r>
        <w:rPr>
          <w:color w:val="000000" w:themeColor="text1"/>
        </w:rPr>
        <w:t>表</w:t>
      </w:r>
      <w:r>
        <w:rPr>
          <w:rFonts w:hint="eastAsia"/>
          <w:color w:val="000000" w:themeColor="text1"/>
        </w:rPr>
        <w:t>3.2-4</w:t>
      </w:r>
      <w:r>
        <w:rPr>
          <w:color w:val="000000" w:themeColor="text1"/>
        </w:rPr>
        <w:t>。</w:t>
      </w:r>
    </w:p>
    <w:p>
      <w:pPr>
        <w:pStyle w:val="92"/>
        <w:spacing w:line="240" w:lineRule="auto"/>
        <w:rPr>
          <w:sz w:val="24"/>
          <w:szCs w:val="24"/>
        </w:rPr>
      </w:pPr>
      <w:r>
        <w:rPr>
          <w:rFonts w:hint="eastAsia"/>
          <w:sz w:val="24"/>
          <w:szCs w:val="24"/>
        </w:rPr>
        <w:t>F</w:t>
      </w:r>
      <w:r>
        <w:rPr>
          <w:sz w:val="24"/>
          <w:szCs w:val="24"/>
        </w:rPr>
        <w:t>表</w:t>
      </w:r>
      <w:r>
        <w:rPr>
          <w:rFonts w:hint="eastAsia"/>
          <w:sz w:val="24"/>
          <w:szCs w:val="24"/>
        </w:rPr>
        <w:t>3.2-4</w:t>
      </w:r>
      <w:r>
        <w:rPr>
          <w:sz w:val="24"/>
          <w:szCs w:val="24"/>
        </w:rPr>
        <w:t>危险性程度分级的分数值</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3118"/>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分</w:t>
            </w:r>
            <w:r>
              <w:rPr>
                <w:rFonts w:hint="eastAsia"/>
                <w:b/>
                <w:snapToGrid w:val="0"/>
                <w:color w:val="000000" w:themeColor="text1"/>
                <w:kern w:val="0"/>
                <w:sz w:val="21"/>
                <w:szCs w:val="21"/>
              </w:rPr>
              <w:t xml:space="preserve">  </w:t>
            </w:r>
            <w:r>
              <w:rPr>
                <w:b/>
                <w:snapToGrid w:val="0"/>
                <w:color w:val="000000" w:themeColor="text1"/>
                <w:kern w:val="0"/>
                <w:sz w:val="21"/>
                <w:szCs w:val="21"/>
              </w:rPr>
              <w:t>数</w:t>
            </w:r>
            <w:r>
              <w:rPr>
                <w:rFonts w:hint="eastAsia"/>
                <w:b/>
                <w:snapToGrid w:val="0"/>
                <w:color w:val="000000" w:themeColor="text1"/>
                <w:kern w:val="0"/>
                <w:sz w:val="21"/>
                <w:szCs w:val="21"/>
              </w:rPr>
              <w:t xml:space="preserve">  </w:t>
            </w:r>
            <w:r>
              <w:rPr>
                <w:b/>
                <w:snapToGrid w:val="0"/>
                <w:color w:val="000000" w:themeColor="text1"/>
                <w:kern w:val="0"/>
                <w:sz w:val="21"/>
                <w:szCs w:val="21"/>
              </w:rPr>
              <w:t>值</w:t>
            </w:r>
          </w:p>
        </w:tc>
        <w:tc>
          <w:tcPr>
            <w:tcW w:w="5953" w:type="dxa"/>
            <w:vAlign w:val="center"/>
          </w:tcPr>
          <w:p>
            <w:pPr>
              <w:spacing w:line="240" w:lineRule="auto"/>
              <w:ind w:firstLine="0" w:firstLineChars="0"/>
              <w:jc w:val="center"/>
              <w:rPr>
                <w:b/>
                <w:snapToGrid w:val="0"/>
                <w:color w:val="000000" w:themeColor="text1"/>
                <w:kern w:val="0"/>
                <w:sz w:val="21"/>
                <w:szCs w:val="21"/>
              </w:rPr>
            </w:pPr>
            <w:r>
              <w:rPr>
                <w:b/>
                <w:snapToGrid w:val="0"/>
                <w:color w:val="000000" w:themeColor="text1"/>
                <w:kern w:val="0"/>
                <w:sz w:val="21"/>
                <w:szCs w:val="21"/>
              </w:rPr>
              <w:t>危</w:t>
            </w:r>
            <w:r>
              <w:rPr>
                <w:rFonts w:hint="eastAsia"/>
                <w:b/>
                <w:snapToGrid w:val="0"/>
                <w:color w:val="000000" w:themeColor="text1"/>
                <w:kern w:val="0"/>
                <w:sz w:val="21"/>
                <w:szCs w:val="21"/>
              </w:rPr>
              <w:t xml:space="preserve">  </w:t>
            </w:r>
            <w:r>
              <w:rPr>
                <w:b/>
                <w:snapToGrid w:val="0"/>
                <w:color w:val="000000" w:themeColor="text1"/>
                <w:kern w:val="0"/>
                <w:sz w:val="21"/>
                <w:szCs w:val="21"/>
              </w:rPr>
              <w:t>险</w:t>
            </w:r>
            <w:r>
              <w:rPr>
                <w:rFonts w:hint="eastAsia"/>
                <w:b/>
                <w:snapToGrid w:val="0"/>
                <w:color w:val="000000" w:themeColor="text1"/>
                <w:kern w:val="0"/>
                <w:sz w:val="21"/>
                <w:szCs w:val="21"/>
              </w:rPr>
              <w:t xml:space="preserve">  </w:t>
            </w:r>
            <w:r>
              <w:rPr>
                <w:b/>
                <w:snapToGrid w:val="0"/>
                <w:color w:val="000000" w:themeColor="text1"/>
                <w:kern w:val="0"/>
                <w:sz w:val="21"/>
                <w:szCs w:val="21"/>
              </w:rPr>
              <w:t>性</w:t>
            </w:r>
            <w:r>
              <w:rPr>
                <w:rFonts w:hint="eastAsia"/>
                <w:b/>
                <w:snapToGrid w:val="0"/>
                <w:color w:val="000000" w:themeColor="text1"/>
                <w:kern w:val="0"/>
                <w:sz w:val="21"/>
                <w:szCs w:val="21"/>
              </w:rPr>
              <w:t xml:space="preserve">  </w:t>
            </w:r>
            <w:r>
              <w:rPr>
                <w:b/>
                <w:snapToGrid w:val="0"/>
                <w:color w:val="000000" w:themeColor="text1"/>
                <w:kern w:val="0"/>
                <w:sz w:val="21"/>
                <w:szCs w:val="21"/>
              </w:rPr>
              <w:t>程</w:t>
            </w:r>
            <w:r>
              <w:rPr>
                <w:rFonts w:hint="eastAsia"/>
                <w:b/>
                <w:snapToGrid w:val="0"/>
                <w:color w:val="000000" w:themeColor="text1"/>
                <w:kern w:val="0"/>
                <w:sz w:val="21"/>
                <w:szCs w:val="21"/>
              </w:rPr>
              <w:t xml:space="preserve">  </w:t>
            </w:r>
            <w:r>
              <w:rPr>
                <w:b/>
                <w:snapToGrid w:val="0"/>
                <w:color w:val="000000" w:themeColor="text1"/>
                <w:kern w:val="0"/>
                <w:sz w:val="21"/>
                <w:szCs w:val="21"/>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&gt;320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极其危险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160~320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高度危险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70~160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显著危险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20~70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3118"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&lt;20</w:t>
            </w:r>
          </w:p>
        </w:tc>
        <w:tc>
          <w:tcPr>
            <w:tcW w:w="5953" w:type="dxa"/>
            <w:vAlign w:val="center"/>
          </w:tcPr>
          <w:p>
            <w:pPr>
              <w:spacing w:line="240" w:lineRule="auto"/>
              <w:ind w:firstLine="0" w:firstLineChars="0"/>
              <w:jc w:val="center"/>
              <w:rPr>
                <w:snapToGrid w:val="0"/>
                <w:color w:val="000000" w:themeColor="text1"/>
                <w:kern w:val="0"/>
                <w:sz w:val="21"/>
                <w:szCs w:val="21"/>
              </w:rPr>
            </w:pPr>
            <w:r>
              <w:rPr>
                <w:snapToGrid w:val="0"/>
                <w:color w:val="000000" w:themeColor="text1"/>
                <w:kern w:val="0"/>
                <w:sz w:val="21"/>
                <w:szCs w:val="21"/>
              </w:rPr>
              <w:t>稍有危险</w:t>
            </w:r>
          </w:p>
        </w:tc>
      </w:tr>
    </w:tbl>
    <w:p>
      <w:pPr>
        <w:ind w:firstLine="560"/>
        <w:rPr>
          <w:color w:val="000000" w:themeColor="text1"/>
        </w:rPr>
      </w:pPr>
    </w:p>
    <w:p>
      <w:pPr>
        <w:pStyle w:val="3"/>
        <w:ind w:firstLine="562"/>
        <w:rPr>
          <w:rFonts w:ascii="黑体" w:hAnsi="黑体" w:eastAsia="黑体" w:cs="黑体"/>
          <w:color w:val="000000" w:themeColor="text1"/>
        </w:rPr>
      </w:pPr>
      <w:bookmarkStart w:id="3916" w:name="_Toc871"/>
      <w:bookmarkStart w:id="3917" w:name="_Toc30930"/>
      <w:bookmarkStart w:id="3918" w:name="_Toc28673"/>
      <w:bookmarkStart w:id="3919" w:name="_Toc26838"/>
      <w:bookmarkStart w:id="3920" w:name="_Toc21512"/>
      <w:bookmarkStart w:id="3921" w:name="_Toc883"/>
      <w:bookmarkStart w:id="3922" w:name="_Toc16077"/>
      <w:bookmarkStart w:id="3923" w:name="_Toc27488"/>
      <w:bookmarkStart w:id="3924" w:name="_Toc4414"/>
      <w:bookmarkStart w:id="3925" w:name="_Toc3772"/>
      <w:bookmarkStart w:id="3926" w:name="_Toc27848"/>
      <w:bookmarkStart w:id="3927" w:name="_Toc27113"/>
      <w:bookmarkStart w:id="3928" w:name="_Toc3098"/>
      <w:bookmarkStart w:id="3929" w:name="_Toc8352"/>
      <w:bookmarkStart w:id="3930" w:name="_Toc18827"/>
      <w:bookmarkStart w:id="3931" w:name="_Toc620"/>
      <w:bookmarkStart w:id="3932" w:name="_Toc17325"/>
      <w:bookmarkStart w:id="3933" w:name="_Toc12691"/>
      <w:bookmarkStart w:id="3934" w:name="_Toc29963"/>
      <w:bookmarkStart w:id="3935" w:name="_Toc17116"/>
      <w:bookmarkStart w:id="3936" w:name="_Toc23624"/>
      <w:bookmarkStart w:id="3937" w:name="_Toc20900"/>
      <w:bookmarkStart w:id="3938" w:name="_Toc16881"/>
      <w:bookmarkStart w:id="3939" w:name="_Toc18068"/>
      <w:bookmarkStart w:id="3940" w:name="_Toc8939"/>
      <w:bookmarkStart w:id="3941" w:name="_Toc7725"/>
      <w:bookmarkStart w:id="3942" w:name="_Toc152"/>
      <w:bookmarkStart w:id="3943" w:name="_Toc17015"/>
      <w:bookmarkStart w:id="3944" w:name="_Toc7723"/>
      <w:bookmarkStart w:id="3945" w:name="_Toc10208"/>
      <w:bookmarkStart w:id="3946" w:name="_Toc670"/>
      <w:bookmarkStart w:id="3947" w:name="_Toc13143"/>
      <w:r>
        <w:rPr>
          <w:rFonts w:hint="eastAsia" w:ascii="黑体" w:hAnsi="黑体" w:eastAsia="黑体" w:cs="黑体"/>
          <w:color w:val="000000" w:themeColor="text1"/>
        </w:rPr>
        <w:t>F3.</w:t>
      </w:r>
      <w:bookmarkStart w:id="3948" w:name="_Toc118298010"/>
      <w:bookmarkStart w:id="3949" w:name="_Toc118131152"/>
      <w:bookmarkStart w:id="3950" w:name="_Toc20917"/>
      <w:bookmarkStart w:id="3951" w:name="_Toc117866099"/>
      <w:r>
        <w:rPr>
          <w:rFonts w:hint="eastAsia" w:ascii="黑体" w:hAnsi="黑体" w:eastAsia="黑体" w:cs="黑体"/>
          <w:color w:val="000000" w:themeColor="text1"/>
        </w:rPr>
        <w:t>3评价方法选择汇总</w:t>
      </w:r>
      <w:bookmarkEnd w:id="3916"/>
      <w:bookmarkEnd w:id="3917"/>
      <w:bookmarkEnd w:id="3918"/>
      <w:bookmarkEnd w:id="3919"/>
      <w:bookmarkEnd w:id="3920"/>
      <w:bookmarkEnd w:id="3921"/>
      <w:bookmarkEnd w:id="3922"/>
      <w:bookmarkEnd w:id="3923"/>
      <w:bookmarkEnd w:id="3924"/>
      <w:bookmarkEnd w:id="3925"/>
      <w:bookmarkEnd w:id="3926"/>
      <w:bookmarkEnd w:id="3927"/>
      <w:bookmarkEnd w:id="3928"/>
      <w:bookmarkEnd w:id="3929"/>
      <w:bookmarkEnd w:id="3930"/>
      <w:bookmarkEnd w:id="3931"/>
      <w:bookmarkEnd w:id="3932"/>
      <w:bookmarkEnd w:id="3933"/>
      <w:bookmarkEnd w:id="3934"/>
      <w:bookmarkEnd w:id="3935"/>
      <w:bookmarkEnd w:id="3936"/>
      <w:bookmarkEnd w:id="3937"/>
      <w:bookmarkEnd w:id="3938"/>
      <w:bookmarkEnd w:id="3939"/>
      <w:bookmarkEnd w:id="3940"/>
      <w:bookmarkEnd w:id="3941"/>
      <w:bookmarkEnd w:id="3942"/>
      <w:bookmarkEnd w:id="3943"/>
      <w:bookmarkEnd w:id="3944"/>
      <w:bookmarkEnd w:id="3945"/>
      <w:bookmarkEnd w:id="3946"/>
      <w:bookmarkEnd w:id="3947"/>
      <w:bookmarkEnd w:id="3948"/>
      <w:bookmarkEnd w:id="3949"/>
      <w:bookmarkEnd w:id="3950"/>
      <w:bookmarkEnd w:id="3951"/>
    </w:p>
    <w:p>
      <w:pPr>
        <w:pStyle w:val="92"/>
        <w:rPr>
          <w:sz w:val="24"/>
          <w:szCs w:val="24"/>
        </w:rPr>
      </w:pPr>
      <w:r>
        <w:rPr>
          <w:rFonts w:hint="eastAsia"/>
          <w:sz w:val="24"/>
          <w:szCs w:val="24"/>
        </w:rPr>
        <w:t xml:space="preserve">F表3.3-1 </w:t>
      </w:r>
      <w:r>
        <w:rPr>
          <w:sz w:val="24"/>
          <w:szCs w:val="24"/>
        </w:rPr>
        <w:t>评价方法选择一览表</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3875"/>
        <w:gridCol w:w="4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blHeader/>
          <w:jc w:val="center"/>
        </w:trPr>
        <w:tc>
          <w:tcPr>
            <w:tcW w:w="661" w:type="dxa"/>
            <w:vAlign w:val="center"/>
          </w:tcPr>
          <w:p>
            <w:pPr>
              <w:spacing w:line="240" w:lineRule="auto"/>
              <w:ind w:firstLine="0" w:firstLineChars="0"/>
              <w:jc w:val="center"/>
              <w:rPr>
                <w:b/>
                <w:color w:val="000000" w:themeColor="text1"/>
                <w:sz w:val="21"/>
                <w:szCs w:val="21"/>
              </w:rPr>
            </w:pPr>
            <w:r>
              <w:rPr>
                <w:b/>
                <w:color w:val="000000" w:themeColor="text1"/>
                <w:sz w:val="21"/>
                <w:szCs w:val="21"/>
              </w:rPr>
              <w:t>序号</w:t>
            </w:r>
          </w:p>
        </w:tc>
        <w:tc>
          <w:tcPr>
            <w:tcW w:w="3875" w:type="dxa"/>
            <w:vAlign w:val="center"/>
          </w:tcPr>
          <w:p>
            <w:pPr>
              <w:spacing w:line="240" w:lineRule="auto"/>
              <w:ind w:firstLine="0" w:firstLineChars="0"/>
              <w:jc w:val="center"/>
              <w:rPr>
                <w:b/>
                <w:color w:val="000000" w:themeColor="text1"/>
                <w:sz w:val="21"/>
                <w:szCs w:val="21"/>
              </w:rPr>
            </w:pPr>
            <w:r>
              <w:rPr>
                <w:b/>
                <w:color w:val="000000" w:themeColor="text1"/>
                <w:sz w:val="21"/>
                <w:szCs w:val="21"/>
              </w:rPr>
              <w:t>评</w:t>
            </w:r>
            <w:r>
              <w:rPr>
                <w:rFonts w:hint="eastAsia"/>
                <w:b/>
                <w:color w:val="000000" w:themeColor="text1"/>
                <w:sz w:val="21"/>
                <w:szCs w:val="21"/>
              </w:rPr>
              <w:t xml:space="preserve"> </w:t>
            </w:r>
            <w:r>
              <w:rPr>
                <w:b/>
                <w:color w:val="000000" w:themeColor="text1"/>
                <w:sz w:val="21"/>
                <w:szCs w:val="21"/>
              </w:rPr>
              <w:t>价</w:t>
            </w:r>
            <w:r>
              <w:rPr>
                <w:rFonts w:hint="eastAsia"/>
                <w:b/>
                <w:color w:val="000000" w:themeColor="text1"/>
                <w:sz w:val="21"/>
                <w:szCs w:val="21"/>
              </w:rPr>
              <w:t xml:space="preserve"> </w:t>
            </w:r>
            <w:r>
              <w:rPr>
                <w:b/>
                <w:color w:val="000000" w:themeColor="text1"/>
                <w:sz w:val="21"/>
                <w:szCs w:val="21"/>
              </w:rPr>
              <w:t>单</w:t>
            </w:r>
            <w:r>
              <w:rPr>
                <w:rFonts w:hint="eastAsia"/>
                <w:b/>
                <w:color w:val="000000" w:themeColor="text1"/>
                <w:sz w:val="21"/>
                <w:szCs w:val="21"/>
              </w:rPr>
              <w:t xml:space="preserve"> </w:t>
            </w:r>
            <w:r>
              <w:rPr>
                <w:b/>
                <w:color w:val="000000" w:themeColor="text1"/>
                <w:sz w:val="21"/>
                <w:szCs w:val="21"/>
              </w:rPr>
              <w:t>元</w:t>
            </w:r>
            <w:r>
              <w:rPr>
                <w:rFonts w:hint="eastAsia"/>
                <w:b/>
                <w:color w:val="000000" w:themeColor="text1"/>
                <w:sz w:val="21"/>
                <w:szCs w:val="21"/>
              </w:rPr>
              <w:t xml:space="preserve"> </w:t>
            </w:r>
            <w:r>
              <w:rPr>
                <w:b/>
                <w:color w:val="000000" w:themeColor="text1"/>
                <w:sz w:val="21"/>
                <w:szCs w:val="21"/>
              </w:rPr>
              <w:t>划</w:t>
            </w:r>
            <w:r>
              <w:rPr>
                <w:rFonts w:hint="eastAsia"/>
                <w:b/>
                <w:color w:val="000000" w:themeColor="text1"/>
                <w:sz w:val="21"/>
                <w:szCs w:val="21"/>
              </w:rPr>
              <w:t xml:space="preserve"> </w:t>
            </w:r>
            <w:r>
              <w:rPr>
                <w:b/>
                <w:color w:val="000000" w:themeColor="text1"/>
                <w:sz w:val="21"/>
                <w:szCs w:val="21"/>
              </w:rPr>
              <w:t>分</w:t>
            </w:r>
          </w:p>
        </w:tc>
        <w:tc>
          <w:tcPr>
            <w:tcW w:w="4533" w:type="dxa"/>
            <w:vAlign w:val="center"/>
          </w:tcPr>
          <w:p>
            <w:pPr>
              <w:spacing w:line="240" w:lineRule="auto"/>
              <w:ind w:firstLine="0" w:firstLineChars="0"/>
              <w:jc w:val="center"/>
              <w:rPr>
                <w:b/>
                <w:color w:val="000000" w:themeColor="text1"/>
                <w:sz w:val="21"/>
                <w:szCs w:val="21"/>
              </w:rPr>
            </w:pPr>
            <w:r>
              <w:rPr>
                <w:b/>
                <w:color w:val="000000" w:themeColor="text1"/>
                <w:sz w:val="21"/>
                <w:szCs w:val="21"/>
              </w:rPr>
              <w:t>评</w:t>
            </w:r>
            <w:r>
              <w:rPr>
                <w:rFonts w:hint="eastAsia"/>
                <w:b/>
                <w:color w:val="000000" w:themeColor="text1"/>
                <w:sz w:val="21"/>
                <w:szCs w:val="21"/>
              </w:rPr>
              <w:t xml:space="preserve"> </w:t>
            </w:r>
            <w:r>
              <w:rPr>
                <w:b/>
                <w:color w:val="000000" w:themeColor="text1"/>
                <w:sz w:val="21"/>
                <w:szCs w:val="21"/>
              </w:rPr>
              <w:t>价</w:t>
            </w:r>
            <w:r>
              <w:rPr>
                <w:rFonts w:hint="eastAsia"/>
                <w:b/>
                <w:color w:val="000000" w:themeColor="text1"/>
                <w:sz w:val="21"/>
                <w:szCs w:val="21"/>
              </w:rPr>
              <w:t xml:space="preserve"> </w:t>
            </w:r>
            <w:r>
              <w:rPr>
                <w:b/>
                <w:color w:val="000000" w:themeColor="text1"/>
                <w:sz w:val="21"/>
                <w:szCs w:val="21"/>
              </w:rPr>
              <w:t>方</w:t>
            </w:r>
            <w:r>
              <w:rPr>
                <w:rFonts w:hint="eastAsia"/>
                <w:b/>
                <w:color w:val="000000" w:themeColor="text1"/>
                <w:sz w:val="21"/>
                <w:szCs w:val="21"/>
              </w:rPr>
              <w:t xml:space="preserve"> </w:t>
            </w:r>
            <w:r>
              <w:rPr>
                <w:b/>
                <w:color w:val="000000" w:themeColor="text1"/>
                <w:sz w:val="21"/>
                <w:szCs w:val="21"/>
              </w:rPr>
              <w:t>法</w:t>
            </w:r>
            <w:r>
              <w:rPr>
                <w:rFonts w:hint="eastAsia"/>
                <w:b/>
                <w:color w:val="000000" w:themeColor="text1"/>
                <w:sz w:val="21"/>
                <w:szCs w:val="21"/>
              </w:rPr>
              <w:t xml:space="preserve"> </w:t>
            </w:r>
            <w:r>
              <w:rPr>
                <w:b/>
                <w:color w:val="000000" w:themeColor="text1"/>
                <w:sz w:val="21"/>
                <w:szCs w:val="21"/>
              </w:rPr>
              <w:t>选</w:t>
            </w:r>
            <w:r>
              <w:rPr>
                <w:rFonts w:hint="eastAsia"/>
                <w:b/>
                <w:color w:val="000000" w:themeColor="text1"/>
                <w:sz w:val="21"/>
                <w:szCs w:val="21"/>
              </w:rPr>
              <w:t xml:space="preserve"> </w:t>
            </w:r>
            <w:r>
              <w:rPr>
                <w:b/>
                <w:color w:val="000000" w:themeColor="text1"/>
                <w:sz w:val="21"/>
                <w:szCs w:val="21"/>
              </w:rPr>
              <w:t>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厂</w:t>
            </w:r>
            <w:r>
              <w:rPr>
                <w:color w:val="000000" w:themeColor="text1"/>
                <w:sz w:val="21"/>
                <w:szCs w:val="21"/>
              </w:rPr>
              <w:t>址及总平面布置单元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exact"/>
          <w:jc w:val="center"/>
        </w:trPr>
        <w:tc>
          <w:tcPr>
            <w:tcW w:w="6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2</w:t>
            </w:r>
          </w:p>
        </w:tc>
        <w:tc>
          <w:tcPr>
            <w:tcW w:w="3875" w:type="dxa"/>
            <w:vAlign w:val="center"/>
          </w:tcPr>
          <w:p>
            <w:pPr>
              <w:spacing w:line="240" w:lineRule="auto"/>
              <w:ind w:firstLine="0" w:firstLineChars="0"/>
              <w:rPr>
                <w:color w:val="000000" w:themeColor="text1"/>
                <w:sz w:val="21"/>
                <w:szCs w:val="21"/>
              </w:rPr>
            </w:pPr>
            <w:r>
              <w:rPr>
                <w:color w:val="000000" w:themeColor="text1"/>
                <w:sz w:val="21"/>
                <w:szCs w:val="21"/>
              </w:rPr>
              <w:t>生产工艺及设备设施单元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安全检查表法、作业条件危险性分析法</w:t>
            </w:r>
            <w:r>
              <w:rPr>
                <w:bCs/>
                <w:color w:val="000000" w:themeColor="text1"/>
                <w:sz w:val="21"/>
              </w:rPr>
              <w:t>（格雷厄姆法）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3</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公用工程及辅助设施单元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exac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4</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安全管理及应急救援单元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61" w:type="dxa"/>
            <w:vAlign w:val="center"/>
          </w:tcPr>
          <w:p>
            <w:pPr>
              <w:spacing w:line="240" w:lineRule="auto"/>
              <w:ind w:firstLine="0" w:firstLineChars="0"/>
              <w:jc w:val="center"/>
              <w:rPr>
                <w:color w:val="000000" w:themeColor="text1"/>
                <w:sz w:val="21"/>
                <w:szCs w:val="21"/>
              </w:rPr>
            </w:pPr>
            <w:r>
              <w:rPr>
                <w:color w:val="000000" w:themeColor="text1"/>
                <w:sz w:val="21"/>
                <w:szCs w:val="21"/>
              </w:rPr>
              <w:t>5</w:t>
            </w:r>
          </w:p>
        </w:tc>
        <w:tc>
          <w:tcPr>
            <w:tcW w:w="3875"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危险化学品生产单位申请换证条件单元</w:t>
            </w:r>
          </w:p>
        </w:tc>
        <w:tc>
          <w:tcPr>
            <w:tcW w:w="4533" w:type="dxa"/>
            <w:vAlign w:val="center"/>
          </w:tcPr>
          <w:p>
            <w:pPr>
              <w:spacing w:line="240" w:lineRule="auto"/>
              <w:ind w:firstLine="0" w:firstLineChars="0"/>
              <w:rPr>
                <w:color w:val="000000" w:themeColor="text1"/>
                <w:sz w:val="21"/>
                <w:szCs w:val="21"/>
              </w:rPr>
            </w:pPr>
            <w:r>
              <w:rPr>
                <w:color w:val="000000" w:themeColor="text1"/>
                <w:sz w:val="21"/>
                <w:szCs w:val="21"/>
              </w:rPr>
              <w:t>安全检查表法</w:t>
            </w:r>
          </w:p>
        </w:tc>
      </w:tr>
    </w:tbl>
    <w:p>
      <w:pPr>
        <w:pStyle w:val="2"/>
        <w:rPr>
          <w:rFonts w:ascii="楷体" w:hAnsi="楷体" w:eastAsia="楷体" w:cs="楷体"/>
          <w:b/>
          <w:bCs w:val="0"/>
          <w:color w:val="000000" w:themeColor="text1"/>
        </w:rPr>
      </w:pPr>
      <w:bookmarkStart w:id="3952" w:name="_Toc9983"/>
      <w:bookmarkStart w:id="3953" w:name="_Toc5682"/>
      <w:bookmarkStart w:id="3954" w:name="_Toc200"/>
      <w:bookmarkStart w:id="3955" w:name="_Toc30675"/>
      <w:bookmarkStart w:id="3956" w:name="_Toc30578"/>
      <w:bookmarkStart w:id="3957" w:name="_Toc8349"/>
      <w:bookmarkStart w:id="3958" w:name="_Toc5729"/>
      <w:bookmarkStart w:id="3959" w:name="_Toc20192"/>
      <w:bookmarkStart w:id="3960" w:name="_Toc62740975"/>
      <w:bookmarkStart w:id="3961" w:name="_Toc27322"/>
      <w:bookmarkStart w:id="3962" w:name="_Toc13610"/>
      <w:bookmarkStart w:id="3963" w:name="_Toc15211"/>
      <w:bookmarkStart w:id="3964" w:name="_Toc27284"/>
      <w:bookmarkStart w:id="3965" w:name="_Toc31443"/>
      <w:bookmarkStart w:id="3966" w:name="_Toc21057"/>
      <w:bookmarkStart w:id="3967" w:name="_Toc5594"/>
      <w:bookmarkStart w:id="3968" w:name="_Toc128056520"/>
      <w:bookmarkStart w:id="3969" w:name="_Toc29320"/>
      <w:bookmarkStart w:id="3970" w:name="_Toc17795"/>
      <w:bookmarkStart w:id="3971" w:name="_Toc17159"/>
      <w:bookmarkStart w:id="3972" w:name="_Toc2039"/>
      <w:bookmarkStart w:id="3973" w:name="_Toc11807"/>
      <w:bookmarkStart w:id="3974" w:name="_Toc19278"/>
      <w:bookmarkStart w:id="3975" w:name="_Toc8269"/>
      <w:bookmarkStart w:id="3976" w:name="_Toc25711"/>
      <w:bookmarkStart w:id="3977" w:name="_Toc14079"/>
      <w:bookmarkStart w:id="3978" w:name="_Toc14003"/>
      <w:bookmarkStart w:id="3979" w:name="_Toc6147"/>
      <w:bookmarkStart w:id="3980" w:name="_Toc22634"/>
      <w:bookmarkStart w:id="3981" w:name="_Toc2127"/>
      <w:bookmarkStart w:id="3982" w:name="_Toc12751"/>
      <w:bookmarkStart w:id="3983" w:name="_Toc1991"/>
      <w:bookmarkStart w:id="3984" w:name="_Toc11226"/>
      <w:bookmarkStart w:id="3985" w:name="_Toc16360"/>
      <w:bookmarkStart w:id="3986" w:name="_Toc5572"/>
      <w:bookmarkStart w:id="3987" w:name="_Toc3771"/>
      <w:bookmarkStart w:id="3988" w:name="_Toc22260"/>
      <w:r>
        <w:rPr>
          <w:rFonts w:hint="eastAsia" w:ascii="楷体" w:hAnsi="楷体" w:eastAsia="楷体" w:cs="楷体"/>
          <w:b/>
          <w:bCs w:val="0"/>
          <w:color w:val="000000" w:themeColor="text1"/>
        </w:rPr>
        <w:t>F4  安全条件和安全生产条件分析评价</w:t>
      </w:r>
      <w:bookmarkEnd w:id="3952"/>
      <w:bookmarkEnd w:id="3953"/>
      <w:bookmarkEnd w:id="3954"/>
      <w:bookmarkEnd w:id="3955"/>
      <w:bookmarkEnd w:id="3956"/>
      <w:bookmarkEnd w:id="3957"/>
      <w:bookmarkEnd w:id="3958"/>
      <w:bookmarkEnd w:id="3959"/>
      <w:bookmarkEnd w:id="3960"/>
      <w:bookmarkEnd w:id="3961"/>
      <w:bookmarkEnd w:id="3962"/>
      <w:bookmarkEnd w:id="3963"/>
      <w:bookmarkEnd w:id="3964"/>
      <w:bookmarkEnd w:id="3965"/>
      <w:bookmarkEnd w:id="3966"/>
      <w:bookmarkEnd w:id="3967"/>
      <w:bookmarkEnd w:id="3968"/>
      <w:bookmarkEnd w:id="3969"/>
      <w:bookmarkEnd w:id="3970"/>
      <w:bookmarkEnd w:id="3971"/>
      <w:bookmarkEnd w:id="3972"/>
      <w:bookmarkEnd w:id="3973"/>
      <w:bookmarkEnd w:id="3974"/>
      <w:bookmarkEnd w:id="3975"/>
      <w:bookmarkEnd w:id="3976"/>
      <w:bookmarkEnd w:id="3977"/>
      <w:bookmarkEnd w:id="3978"/>
      <w:bookmarkEnd w:id="3979"/>
      <w:bookmarkEnd w:id="3980"/>
      <w:bookmarkEnd w:id="3981"/>
      <w:bookmarkEnd w:id="3982"/>
      <w:bookmarkEnd w:id="3983"/>
      <w:bookmarkEnd w:id="3984"/>
      <w:bookmarkEnd w:id="3985"/>
      <w:bookmarkEnd w:id="3986"/>
      <w:bookmarkEnd w:id="3987"/>
      <w:bookmarkEnd w:id="3988"/>
    </w:p>
    <w:p>
      <w:pPr>
        <w:keepNext/>
        <w:keepLines/>
        <w:ind w:firstLine="640"/>
        <w:rPr>
          <w:color w:val="000000" w:themeColor="text1"/>
          <w:sz w:val="32"/>
          <w:szCs w:val="32"/>
        </w:rPr>
      </w:pPr>
      <w:bookmarkStart w:id="3989" w:name="_Toc11790"/>
      <w:bookmarkStart w:id="3990" w:name="_Toc2163"/>
      <w:bookmarkStart w:id="3991" w:name="_Toc6485"/>
      <w:bookmarkStart w:id="3992" w:name="_Toc27962"/>
      <w:bookmarkStart w:id="3993" w:name="_Toc9948"/>
      <w:bookmarkStart w:id="3994" w:name="_Toc5537"/>
      <w:bookmarkStart w:id="3995" w:name="_Toc16217"/>
      <w:bookmarkStart w:id="3996" w:name="_Toc26709"/>
      <w:bookmarkStart w:id="3997" w:name="_Toc12232"/>
      <w:bookmarkStart w:id="3998" w:name="_Toc128056525"/>
      <w:bookmarkStart w:id="3999" w:name="_Toc27048"/>
      <w:bookmarkStart w:id="4000" w:name="_Toc7107"/>
      <w:bookmarkStart w:id="4001" w:name="_Toc62740976"/>
      <w:bookmarkStart w:id="4002" w:name="_Toc927"/>
      <w:bookmarkStart w:id="4003" w:name="_Toc10415"/>
      <w:bookmarkStart w:id="4004" w:name="_Toc20563"/>
      <w:bookmarkStart w:id="4005" w:name="_Toc17922"/>
      <w:bookmarkStart w:id="4006" w:name="_Toc27999"/>
      <w:bookmarkStart w:id="4007" w:name="_Toc600"/>
      <w:bookmarkStart w:id="4008" w:name="_Toc24376"/>
      <w:bookmarkStart w:id="4009" w:name="_Toc12937"/>
    </w:p>
    <w:p>
      <w:pPr>
        <w:pStyle w:val="3"/>
        <w:ind w:firstLine="562"/>
        <w:rPr>
          <w:rFonts w:ascii="黑体" w:hAnsi="黑体" w:eastAsia="黑体" w:cs="黑体"/>
          <w:color w:val="000000" w:themeColor="text1"/>
        </w:rPr>
      </w:pPr>
      <w:bookmarkStart w:id="4010" w:name="_Toc7813"/>
      <w:bookmarkStart w:id="4011" w:name="_Toc5515"/>
      <w:bookmarkStart w:id="4012" w:name="_Toc28064"/>
      <w:bookmarkStart w:id="4013" w:name="_Toc29433"/>
      <w:bookmarkStart w:id="4014" w:name="_Toc21878"/>
      <w:bookmarkStart w:id="4015" w:name="_Toc7969"/>
      <w:bookmarkStart w:id="4016" w:name="_Toc22317"/>
      <w:bookmarkStart w:id="4017" w:name="_Toc7582"/>
      <w:bookmarkStart w:id="4018" w:name="_Toc16733"/>
      <w:bookmarkStart w:id="4019" w:name="_Toc26127"/>
      <w:bookmarkStart w:id="4020" w:name="_Toc31003"/>
      <w:bookmarkStart w:id="4021" w:name="_Toc4062"/>
      <w:bookmarkStart w:id="4022" w:name="_Toc16267"/>
      <w:bookmarkStart w:id="4023" w:name="_Toc12733"/>
      <w:bookmarkStart w:id="4024" w:name="_Toc22296"/>
      <w:bookmarkStart w:id="4025" w:name="_Toc14826"/>
      <w:r>
        <w:rPr>
          <w:rFonts w:hint="eastAsia" w:ascii="黑体" w:hAnsi="黑体" w:eastAsia="黑体" w:cs="黑体"/>
          <w:color w:val="000000" w:themeColor="text1"/>
        </w:rPr>
        <w:t>F4.1 厂址及总平面布置评价单元分析评价</w:t>
      </w:r>
      <w:bookmarkEnd w:id="3989"/>
      <w:bookmarkEnd w:id="3990"/>
      <w:bookmarkEnd w:id="3991"/>
      <w:bookmarkEnd w:id="3992"/>
      <w:bookmarkEnd w:id="3993"/>
      <w:bookmarkEnd w:id="3994"/>
      <w:bookmarkEnd w:id="3995"/>
      <w:bookmarkEnd w:id="3996"/>
      <w:bookmarkEnd w:id="3997"/>
      <w:bookmarkEnd w:id="3998"/>
      <w:bookmarkEnd w:id="3999"/>
      <w:bookmarkEnd w:id="4000"/>
      <w:bookmarkEnd w:id="4001"/>
      <w:bookmarkEnd w:id="4002"/>
      <w:bookmarkEnd w:id="4003"/>
      <w:bookmarkEnd w:id="4004"/>
      <w:bookmarkEnd w:id="4005"/>
      <w:bookmarkEnd w:id="4006"/>
      <w:bookmarkEnd w:id="4007"/>
      <w:bookmarkEnd w:id="4008"/>
      <w:bookmarkEnd w:id="4009"/>
      <w:bookmarkEnd w:id="4010"/>
      <w:bookmarkEnd w:id="4011"/>
      <w:bookmarkEnd w:id="4012"/>
      <w:bookmarkEnd w:id="4013"/>
      <w:bookmarkEnd w:id="4014"/>
      <w:bookmarkEnd w:id="4015"/>
      <w:bookmarkEnd w:id="4016"/>
      <w:bookmarkEnd w:id="4017"/>
      <w:bookmarkEnd w:id="4018"/>
      <w:bookmarkEnd w:id="4019"/>
      <w:bookmarkEnd w:id="4020"/>
      <w:bookmarkEnd w:id="4021"/>
      <w:bookmarkEnd w:id="4022"/>
      <w:bookmarkEnd w:id="4023"/>
      <w:bookmarkEnd w:id="4024"/>
      <w:bookmarkEnd w:id="4025"/>
    </w:p>
    <w:p>
      <w:pPr>
        <w:pStyle w:val="4"/>
        <w:ind w:firstLine="562"/>
      </w:pPr>
      <w:bookmarkStart w:id="4026" w:name="_Toc20049"/>
      <w:bookmarkStart w:id="4027" w:name="_Toc9433"/>
      <w:bookmarkStart w:id="4028" w:name="_Toc24495"/>
      <w:bookmarkStart w:id="4029" w:name="_Toc6551"/>
      <w:bookmarkStart w:id="4030" w:name="_Toc6536"/>
      <w:bookmarkStart w:id="4031" w:name="_Toc4367"/>
      <w:bookmarkStart w:id="4032" w:name="_Toc23168"/>
      <w:bookmarkStart w:id="4033" w:name="_Toc14372"/>
      <w:bookmarkStart w:id="4034" w:name="_Toc32095"/>
      <w:bookmarkStart w:id="4035" w:name="_Toc5116"/>
      <w:bookmarkStart w:id="4036" w:name="_Toc14696"/>
      <w:bookmarkStart w:id="4037" w:name="_Toc31870"/>
      <w:bookmarkStart w:id="4038" w:name="_Toc5591"/>
      <w:bookmarkStart w:id="4039" w:name="_Toc286"/>
      <w:bookmarkStart w:id="4040" w:name="_Toc31084"/>
      <w:bookmarkStart w:id="4041" w:name="_Toc17614"/>
      <w:bookmarkStart w:id="4042" w:name="_Toc2585"/>
      <w:bookmarkStart w:id="4043" w:name="_Toc19181"/>
      <w:bookmarkStart w:id="4044" w:name="_Toc2978"/>
      <w:bookmarkStart w:id="4045" w:name="_Toc9994"/>
      <w:bookmarkStart w:id="4046" w:name="_Toc2353"/>
      <w:bookmarkStart w:id="4047" w:name="_Toc128056526"/>
      <w:bookmarkStart w:id="4048" w:name="_Toc5725"/>
      <w:bookmarkStart w:id="4049" w:name="_Toc4368"/>
      <w:bookmarkStart w:id="4050" w:name="_Toc16833"/>
      <w:bookmarkStart w:id="4051" w:name="_Toc24154"/>
      <w:r>
        <w:rPr>
          <w:rFonts w:hint="eastAsia"/>
        </w:rPr>
        <w:t>F4.1.1 厂址和总平面布置安全检查表</w:t>
      </w:r>
      <w:bookmarkEnd w:id="4026"/>
      <w:bookmarkEnd w:id="4027"/>
      <w:bookmarkEnd w:id="4028"/>
      <w:bookmarkEnd w:id="4029"/>
      <w:bookmarkEnd w:id="4030"/>
      <w:bookmarkEnd w:id="4031"/>
      <w:bookmarkEnd w:id="4032"/>
      <w:bookmarkEnd w:id="4033"/>
      <w:bookmarkEnd w:id="4034"/>
      <w:bookmarkEnd w:id="4035"/>
      <w:bookmarkEnd w:id="4036"/>
      <w:bookmarkEnd w:id="4037"/>
      <w:bookmarkEnd w:id="4038"/>
      <w:bookmarkEnd w:id="4039"/>
      <w:bookmarkEnd w:id="4040"/>
      <w:bookmarkEnd w:id="4041"/>
      <w:bookmarkEnd w:id="4042"/>
      <w:bookmarkEnd w:id="4043"/>
      <w:bookmarkEnd w:id="4044"/>
      <w:bookmarkEnd w:id="4045"/>
      <w:bookmarkEnd w:id="4046"/>
      <w:bookmarkEnd w:id="4047"/>
      <w:bookmarkEnd w:id="4048"/>
      <w:bookmarkEnd w:id="4049"/>
      <w:bookmarkEnd w:id="4050"/>
      <w:bookmarkEnd w:id="4051"/>
    </w:p>
    <w:p>
      <w:pPr>
        <w:ind w:firstLine="560"/>
        <w:rPr>
          <w:sz w:val="24"/>
        </w:rPr>
      </w:pPr>
      <w:r>
        <w:rPr>
          <w:rFonts w:hint="eastAsia"/>
          <w:color w:val="000000" w:themeColor="text1"/>
          <w:lang w:val="zh-CN"/>
        </w:rPr>
        <w:t>本节根据</w:t>
      </w:r>
      <w:r>
        <w:rPr>
          <w:rFonts w:hint="eastAsia"/>
          <w:color w:val="000000" w:themeColor="text1"/>
        </w:rPr>
        <w:t>《化工企业总图运输设计规范》（GB50489－2009）、《工业企业总平面设计规范》（GB50187-2012）、</w:t>
      </w:r>
      <w:r>
        <w:rPr>
          <w:rFonts w:hint="eastAsia"/>
          <w:color w:val="000000" w:themeColor="text1"/>
          <w:lang w:val="zh-CN"/>
        </w:rPr>
        <w:t>《建筑设计防火规范（2018年版）》（GB50016-2014）、</w:t>
      </w:r>
      <w:r>
        <w:rPr>
          <w:rFonts w:hint="eastAsia" w:cs="宋体"/>
          <w:color w:val="000000" w:themeColor="text1"/>
          <w:kern w:val="0"/>
          <w:szCs w:val="28"/>
        </w:rPr>
        <w:t>《化工企业安全卫生设计规范》（HG20571-2014）</w:t>
      </w:r>
      <w:r>
        <w:rPr>
          <w:rFonts w:hint="eastAsia"/>
          <w:color w:val="000000" w:themeColor="text1"/>
          <w:lang w:val="zh-CN"/>
        </w:rPr>
        <w:t>等标准、规范，对公司周边环境、平面布置及建构筑物进行检查评价，具体检查情况见F表</w:t>
      </w:r>
      <w:r>
        <w:rPr>
          <w:rFonts w:hint="eastAsia"/>
          <w:color w:val="000000" w:themeColor="text1"/>
        </w:rPr>
        <w:t>4</w:t>
      </w:r>
      <w:r>
        <w:rPr>
          <w:rFonts w:hint="eastAsia"/>
          <w:color w:val="000000" w:themeColor="text1"/>
          <w:lang w:val="zh-CN"/>
        </w:rPr>
        <w:t>.</w:t>
      </w:r>
      <w:r>
        <w:rPr>
          <w:rFonts w:hint="eastAsia"/>
          <w:color w:val="000000" w:themeColor="text1"/>
        </w:rPr>
        <w:t>1</w:t>
      </w:r>
      <w:r>
        <w:rPr>
          <w:rFonts w:hint="eastAsia"/>
          <w:color w:val="000000" w:themeColor="text1"/>
          <w:lang w:val="zh-CN"/>
        </w:rPr>
        <w:t>-1。</w:t>
      </w:r>
    </w:p>
    <w:p>
      <w:pPr>
        <w:pStyle w:val="92"/>
        <w:rPr>
          <w:sz w:val="24"/>
          <w:szCs w:val="24"/>
          <w:lang w:val="zh-CN"/>
        </w:rPr>
      </w:pPr>
      <w:r>
        <w:rPr>
          <w:rFonts w:hint="eastAsia"/>
          <w:sz w:val="24"/>
          <w:szCs w:val="24"/>
        </w:rPr>
        <w:t>F</w:t>
      </w:r>
      <w:r>
        <w:rPr>
          <w:rFonts w:hint="eastAsia"/>
          <w:sz w:val="24"/>
          <w:szCs w:val="24"/>
          <w:lang w:val="zh-CN"/>
        </w:rPr>
        <w:t>表</w:t>
      </w:r>
      <w:r>
        <w:rPr>
          <w:rFonts w:hint="eastAsia"/>
          <w:sz w:val="24"/>
          <w:szCs w:val="24"/>
        </w:rPr>
        <w:t>4</w:t>
      </w:r>
      <w:r>
        <w:rPr>
          <w:rFonts w:hint="eastAsia"/>
          <w:sz w:val="24"/>
          <w:szCs w:val="24"/>
          <w:lang w:val="zh-CN"/>
        </w:rPr>
        <w:t>.</w:t>
      </w:r>
      <w:r>
        <w:rPr>
          <w:rFonts w:hint="eastAsia"/>
          <w:sz w:val="24"/>
          <w:szCs w:val="24"/>
        </w:rPr>
        <w:t>1</w:t>
      </w:r>
      <w:r>
        <w:rPr>
          <w:rFonts w:hint="eastAsia"/>
          <w:sz w:val="24"/>
          <w:szCs w:val="24"/>
          <w:lang w:val="zh-CN"/>
        </w:rPr>
        <w:t>-1</w:t>
      </w:r>
      <w:r>
        <w:rPr>
          <w:rFonts w:hint="eastAsia"/>
          <w:sz w:val="24"/>
          <w:szCs w:val="24"/>
        </w:rPr>
        <w:t xml:space="preserve"> </w:t>
      </w:r>
      <w:r>
        <w:rPr>
          <w:rFonts w:hint="eastAsia"/>
          <w:sz w:val="24"/>
          <w:szCs w:val="24"/>
          <w:lang w:val="zh-CN"/>
        </w:rPr>
        <w:t>厂址</w:t>
      </w:r>
      <w:r>
        <w:rPr>
          <w:rFonts w:hint="eastAsia"/>
          <w:sz w:val="24"/>
          <w:szCs w:val="24"/>
        </w:rPr>
        <w:t>及</w:t>
      </w:r>
      <w:r>
        <w:rPr>
          <w:rFonts w:hint="eastAsia"/>
          <w:sz w:val="24"/>
          <w:szCs w:val="24"/>
          <w:lang w:val="zh-CN"/>
        </w:rPr>
        <w:t>总平面布置安全检查表</w:t>
      </w:r>
    </w:p>
    <w:tbl>
      <w:tblPr>
        <w:tblStyle w:val="38"/>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3972"/>
        <w:gridCol w:w="2185"/>
        <w:gridCol w:w="1475"/>
        <w:gridCol w:w="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12" w:type="dxa"/>
            <w:vAlign w:val="center"/>
          </w:tcPr>
          <w:p>
            <w:pPr>
              <w:spacing w:line="240" w:lineRule="auto"/>
              <w:ind w:firstLine="0" w:firstLineChars="0"/>
              <w:jc w:val="center"/>
              <w:rPr>
                <w:rFonts w:ascii="宋体" w:hAnsi="宋体"/>
                <w:b/>
                <w:bCs/>
                <w:color w:val="auto"/>
                <w:sz w:val="21"/>
                <w:szCs w:val="21"/>
              </w:rPr>
            </w:pPr>
            <w:r>
              <w:rPr>
                <w:rFonts w:hint="eastAsia"/>
                <w:b/>
                <w:color w:val="000000" w:themeColor="text1"/>
                <w:sz w:val="21"/>
                <w:szCs w:val="21"/>
              </w:rPr>
              <w:t>序号</w:t>
            </w:r>
          </w:p>
        </w:tc>
        <w:tc>
          <w:tcPr>
            <w:tcW w:w="3972" w:type="dxa"/>
            <w:vAlign w:val="center"/>
          </w:tcPr>
          <w:p>
            <w:pPr>
              <w:spacing w:line="240" w:lineRule="auto"/>
              <w:ind w:firstLine="0" w:firstLineChars="0"/>
              <w:jc w:val="center"/>
              <w:rPr>
                <w:rFonts w:ascii="宋体" w:hAnsi="宋体"/>
                <w:b/>
                <w:bCs/>
                <w:color w:val="auto"/>
                <w:sz w:val="21"/>
                <w:szCs w:val="21"/>
              </w:rPr>
            </w:pPr>
            <w:r>
              <w:rPr>
                <w:b/>
                <w:color w:val="000000" w:themeColor="text1"/>
                <w:sz w:val="21"/>
                <w:szCs w:val="21"/>
              </w:rPr>
              <w:t>检</w:t>
            </w:r>
            <w:r>
              <w:rPr>
                <w:rFonts w:hint="eastAsia"/>
                <w:b/>
                <w:color w:val="000000" w:themeColor="text1"/>
                <w:sz w:val="21"/>
                <w:szCs w:val="21"/>
              </w:rPr>
              <w:t xml:space="preserve">  </w:t>
            </w:r>
            <w:r>
              <w:rPr>
                <w:b/>
                <w:color w:val="000000" w:themeColor="text1"/>
                <w:sz w:val="21"/>
                <w:szCs w:val="21"/>
              </w:rPr>
              <w:t>查</w:t>
            </w:r>
            <w:r>
              <w:rPr>
                <w:rFonts w:hint="eastAsia"/>
                <w:b/>
                <w:color w:val="000000" w:themeColor="text1"/>
                <w:sz w:val="21"/>
                <w:szCs w:val="21"/>
              </w:rPr>
              <w:t xml:space="preserve">  </w:t>
            </w:r>
            <w:r>
              <w:rPr>
                <w:b/>
                <w:color w:val="000000" w:themeColor="text1"/>
                <w:sz w:val="21"/>
                <w:szCs w:val="21"/>
              </w:rPr>
              <w:t>项</w:t>
            </w:r>
            <w:r>
              <w:rPr>
                <w:rFonts w:hint="eastAsia"/>
                <w:b/>
                <w:color w:val="000000" w:themeColor="text1"/>
                <w:sz w:val="21"/>
                <w:szCs w:val="21"/>
              </w:rPr>
              <w:t xml:space="preserve">  </w:t>
            </w:r>
            <w:r>
              <w:rPr>
                <w:b/>
                <w:color w:val="000000" w:themeColor="text1"/>
                <w:sz w:val="21"/>
                <w:szCs w:val="21"/>
              </w:rPr>
              <w:t>目</w:t>
            </w:r>
          </w:p>
        </w:tc>
        <w:tc>
          <w:tcPr>
            <w:tcW w:w="2185" w:type="dxa"/>
            <w:vAlign w:val="center"/>
          </w:tcPr>
          <w:p>
            <w:pPr>
              <w:spacing w:line="240" w:lineRule="auto"/>
              <w:ind w:firstLine="0" w:firstLineChars="0"/>
              <w:jc w:val="center"/>
              <w:rPr>
                <w:rFonts w:ascii="宋体" w:hAnsi="宋体"/>
                <w:b/>
                <w:bCs/>
                <w:color w:val="auto"/>
                <w:sz w:val="21"/>
                <w:szCs w:val="21"/>
              </w:rPr>
            </w:pPr>
            <w:r>
              <w:rPr>
                <w:rFonts w:hint="eastAsia"/>
                <w:b/>
                <w:color w:val="000000" w:themeColor="text1"/>
                <w:sz w:val="21"/>
                <w:szCs w:val="21"/>
              </w:rPr>
              <w:t xml:space="preserve">依 据 标 准 </w:t>
            </w:r>
          </w:p>
        </w:tc>
        <w:tc>
          <w:tcPr>
            <w:tcW w:w="1475" w:type="dxa"/>
            <w:vAlign w:val="center"/>
          </w:tcPr>
          <w:p>
            <w:pPr>
              <w:spacing w:line="240" w:lineRule="auto"/>
              <w:ind w:firstLine="0" w:firstLineChars="0"/>
              <w:jc w:val="center"/>
              <w:rPr>
                <w:rFonts w:ascii="宋体" w:hAnsi="宋体"/>
                <w:b/>
                <w:bCs/>
                <w:color w:val="auto"/>
                <w:sz w:val="21"/>
                <w:szCs w:val="21"/>
              </w:rPr>
            </w:pPr>
            <w:r>
              <w:rPr>
                <w:b/>
                <w:color w:val="000000" w:themeColor="text1"/>
                <w:sz w:val="21"/>
                <w:szCs w:val="21"/>
              </w:rPr>
              <w:t>检</w:t>
            </w:r>
            <w:r>
              <w:rPr>
                <w:rFonts w:hint="eastAsia"/>
                <w:b/>
                <w:color w:val="000000" w:themeColor="text1"/>
                <w:sz w:val="21"/>
                <w:szCs w:val="21"/>
              </w:rPr>
              <w:t xml:space="preserve"> </w:t>
            </w:r>
            <w:r>
              <w:rPr>
                <w:b/>
                <w:color w:val="000000" w:themeColor="text1"/>
                <w:sz w:val="21"/>
                <w:szCs w:val="21"/>
              </w:rPr>
              <w:t>查</w:t>
            </w:r>
            <w:r>
              <w:rPr>
                <w:rFonts w:hint="eastAsia"/>
                <w:b/>
                <w:color w:val="000000" w:themeColor="text1"/>
                <w:sz w:val="21"/>
                <w:szCs w:val="21"/>
              </w:rPr>
              <w:t xml:space="preserve"> 情 况</w:t>
            </w:r>
          </w:p>
        </w:tc>
        <w:tc>
          <w:tcPr>
            <w:tcW w:w="694" w:type="dxa"/>
            <w:vAlign w:val="center"/>
          </w:tcPr>
          <w:p>
            <w:pPr>
              <w:spacing w:line="240" w:lineRule="auto"/>
              <w:ind w:firstLine="0" w:firstLineChars="0"/>
              <w:jc w:val="center"/>
              <w:rPr>
                <w:rFonts w:ascii="宋体" w:hAnsi="宋体"/>
                <w:b/>
                <w:bCs/>
                <w:color w:val="auto"/>
                <w:sz w:val="21"/>
                <w:szCs w:val="21"/>
              </w:rPr>
            </w:pPr>
            <w:r>
              <w:rPr>
                <w:rFonts w:hint="eastAsia"/>
                <w:b/>
                <w:color w:val="000000" w:themeColor="text1"/>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一</w:t>
            </w:r>
          </w:p>
        </w:tc>
        <w:tc>
          <w:tcPr>
            <w:tcW w:w="8326" w:type="dxa"/>
            <w:gridSpan w:val="4"/>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kern w:val="0"/>
                <w:sz w:val="21"/>
                <w:szCs w:val="21"/>
              </w:rPr>
              <w:t>厂址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选择厂址应根据地震、软地基、湿陷性黄土、膨胀土等地质因素以及飓风、雷暴、沙暴等气象危害因素，采取可靠技术方案.避开断层、滑波、泥石流、地下溶洞等发育地区。</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《化工企业安全卫生设计规范》（H</w:t>
            </w:r>
            <w:r>
              <w:rPr>
                <w:rFonts w:ascii="宋体" w:hAnsi="宋体"/>
              </w:rPr>
              <w:t>G 20571-201</w:t>
            </w:r>
            <w:r>
              <w:rPr>
                <w:rFonts w:hint="eastAsia" w:ascii="宋体" w:hAnsi="宋体"/>
              </w:rPr>
              <w:t>4）第3</w:t>
            </w:r>
            <w:r>
              <w:rPr>
                <w:rFonts w:ascii="宋体" w:hAnsi="宋体"/>
              </w:rPr>
              <w:t>.1.2</w:t>
            </w:r>
            <w:r>
              <w:rPr>
                <w:rFonts w:hint="eastAsia" w:ascii="宋体" w:hAnsi="宋体"/>
              </w:rPr>
              <w:t>条</w:t>
            </w:r>
          </w:p>
          <w:p>
            <w:pPr>
              <w:pStyle w:val="66"/>
              <w:widowControl w:val="0"/>
              <w:topLinePunct/>
              <w:spacing w:line="240" w:lineRule="auto"/>
              <w:contextualSpacing/>
              <w:rPr>
                <w:rFonts w:ascii="宋体" w:hAnsi="宋体"/>
              </w:rPr>
            </w:pP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厂址不在上述区域内。</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2</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厂址选择应符合国家工业布局和当地城镇总体规划及土地利用总体规划的要求。厂址选择应严格执行国家建设前期工作的有关规定。</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《化工企业总图运输设计规范》（</w:t>
            </w:r>
            <w:r>
              <w:rPr>
                <w:rFonts w:ascii="宋体" w:hAnsi="宋体"/>
              </w:rPr>
              <w:t>GB50489-2009</w:t>
            </w:r>
            <w:r>
              <w:rPr>
                <w:rFonts w:hint="eastAsia" w:ascii="宋体" w:hAnsi="宋体"/>
              </w:rPr>
              <w:t>）第3</w:t>
            </w:r>
            <w:r>
              <w:rPr>
                <w:rFonts w:ascii="宋体" w:hAnsi="宋体"/>
              </w:rPr>
              <w:t>.1.1</w:t>
            </w:r>
            <w:r>
              <w:rPr>
                <w:rFonts w:hint="eastAsia" w:ascii="宋体" w:hAnsi="宋体"/>
              </w:rPr>
              <w:t>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土地属顺濞村第五小组出让的工业用地。</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ascii="宋体" w:hAnsi="宋体"/>
                <w:bCs/>
                <w:color w:val="auto"/>
                <w:sz w:val="21"/>
                <w:szCs w:val="21"/>
              </w:rPr>
              <w:t>3</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厂址选择应同时满足交通运输设施、能源和动力设施、防洪设施、环境保护工程及生活等配套建设用地的要求。</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《化工企业总图运输设计规范》（</w:t>
            </w:r>
            <w:r>
              <w:rPr>
                <w:rFonts w:ascii="宋体" w:hAnsi="宋体"/>
              </w:rPr>
              <w:t>GB50489-2009</w:t>
            </w:r>
            <w:r>
              <w:rPr>
                <w:rFonts w:hint="eastAsia" w:ascii="宋体" w:hAnsi="宋体"/>
              </w:rPr>
              <w:t>）第3</w:t>
            </w:r>
            <w:r>
              <w:rPr>
                <w:rFonts w:ascii="宋体" w:hAnsi="宋体"/>
              </w:rPr>
              <w:t>.1.4</w:t>
            </w:r>
            <w:r>
              <w:rPr>
                <w:rFonts w:hint="eastAsia" w:ascii="宋体" w:hAnsi="宋体"/>
              </w:rPr>
              <w:t>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厂址交通较为方便。</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4</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厂址应具有方便和经济的交通运输条件。临江、河、湖、海的厂址，通航条件能满足工厂运输要求时，应充分利用水路运输，且厂址宜靠近适于建设码头的地段。</w:t>
            </w:r>
          </w:p>
        </w:tc>
        <w:tc>
          <w:tcPr>
            <w:tcW w:w="2185" w:type="dxa"/>
            <w:vAlign w:val="center"/>
          </w:tcPr>
          <w:p>
            <w:pPr>
              <w:pStyle w:val="66"/>
              <w:widowControl w:val="0"/>
              <w:topLinePunct/>
              <w:spacing w:line="240" w:lineRule="auto"/>
              <w:contextualSpacing/>
              <w:rPr>
                <w:rFonts w:ascii="宋体" w:hAnsi="宋体"/>
                <w:spacing w:val="-6"/>
              </w:rPr>
            </w:pPr>
            <w:r>
              <w:rPr>
                <w:rFonts w:hint="eastAsia" w:ascii="宋体" w:hAnsi="宋体"/>
                <w:spacing w:val="-6"/>
              </w:rPr>
              <w:t>《化工企业总图运输设计规范》（</w:t>
            </w:r>
            <w:r>
              <w:rPr>
                <w:rFonts w:ascii="宋体" w:hAnsi="宋体"/>
                <w:spacing w:val="-6"/>
              </w:rPr>
              <w:t>GB50489-2009</w:t>
            </w:r>
            <w:r>
              <w:rPr>
                <w:rFonts w:hint="eastAsia" w:ascii="宋体" w:hAnsi="宋体"/>
                <w:spacing w:val="-6"/>
              </w:rPr>
              <w:t>）第3</w:t>
            </w:r>
            <w:r>
              <w:rPr>
                <w:rFonts w:ascii="宋体" w:hAnsi="宋体"/>
                <w:spacing w:val="-6"/>
              </w:rPr>
              <w:t>.1.6</w:t>
            </w:r>
            <w:r>
              <w:rPr>
                <w:rFonts w:hint="eastAsia" w:ascii="宋体" w:hAnsi="宋体"/>
                <w:spacing w:val="-6"/>
              </w:rPr>
              <w:t>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厂区北面紧邻国道G320，南面为杭瑞高速公路，交通较为方便。</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5</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厂址应有充足、可靠的水源和电源，且应满足企业发展需要。</w:t>
            </w:r>
          </w:p>
        </w:tc>
        <w:tc>
          <w:tcPr>
            <w:tcW w:w="2185" w:type="dxa"/>
            <w:vAlign w:val="center"/>
          </w:tcPr>
          <w:p>
            <w:pPr>
              <w:pStyle w:val="66"/>
              <w:widowControl w:val="0"/>
              <w:topLinePunct/>
              <w:spacing w:line="240" w:lineRule="auto"/>
              <w:contextualSpacing/>
              <w:rPr>
                <w:rFonts w:ascii="宋体" w:hAnsi="宋体"/>
                <w:spacing w:val="-6"/>
              </w:rPr>
            </w:pPr>
            <w:r>
              <w:rPr>
                <w:rFonts w:hint="eastAsia" w:ascii="宋体" w:hAnsi="宋体"/>
                <w:spacing w:val="-6"/>
              </w:rPr>
              <w:t>《化工企业总图运输设计规范》（</w:t>
            </w:r>
            <w:r>
              <w:rPr>
                <w:rFonts w:ascii="宋体" w:hAnsi="宋体"/>
                <w:spacing w:val="-6"/>
              </w:rPr>
              <w:t>GB50489-2009</w:t>
            </w:r>
            <w:r>
              <w:rPr>
                <w:rFonts w:hint="eastAsia" w:ascii="宋体" w:hAnsi="宋体"/>
                <w:spacing w:val="-6"/>
              </w:rPr>
              <w:t>）第3</w:t>
            </w:r>
            <w:r>
              <w:rPr>
                <w:rFonts w:ascii="宋体" w:hAnsi="宋体"/>
                <w:spacing w:val="-6"/>
              </w:rPr>
              <w:t>.1.7</w:t>
            </w:r>
            <w:r>
              <w:rPr>
                <w:rFonts w:hint="eastAsia" w:ascii="宋体" w:hAnsi="宋体"/>
                <w:spacing w:val="-6"/>
              </w:rPr>
              <w:t>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厂区水源、电源满足生产需求。</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6</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厂址应具有满足生产、生活及发展所必需的水源和电源。水源和电源与厂址之间的管线连接应尽量短捷，且用水、用电量（特别）大的工业企业宜靠近水源及电源地 。</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《工业企业总平面设计规范》</w:t>
            </w:r>
          </w:p>
          <w:p>
            <w:pPr>
              <w:pStyle w:val="66"/>
              <w:widowControl w:val="0"/>
              <w:topLinePunct/>
              <w:spacing w:line="240" w:lineRule="auto"/>
              <w:contextualSpacing/>
              <w:rPr>
                <w:rFonts w:ascii="宋体" w:hAnsi="宋体"/>
              </w:rPr>
            </w:pPr>
            <w:r>
              <w:rPr>
                <w:rFonts w:hint="eastAsia" w:ascii="宋体" w:hAnsi="宋体"/>
              </w:rPr>
              <w:t>（G</w:t>
            </w:r>
            <w:r>
              <w:rPr>
                <w:rFonts w:ascii="宋体" w:hAnsi="宋体"/>
              </w:rPr>
              <w:t>B 50187-2012</w:t>
            </w:r>
            <w:r>
              <w:rPr>
                <w:rFonts w:hint="eastAsia" w:ascii="宋体" w:hAnsi="宋体"/>
              </w:rPr>
              <w:t>）</w:t>
            </w:r>
          </w:p>
          <w:p>
            <w:pPr>
              <w:pStyle w:val="66"/>
              <w:widowControl w:val="0"/>
              <w:topLinePunct/>
              <w:spacing w:line="240" w:lineRule="auto"/>
              <w:contextualSpacing/>
              <w:rPr>
                <w:rFonts w:ascii="宋体" w:hAnsi="宋体"/>
              </w:rPr>
            </w:pPr>
            <w:r>
              <w:rPr>
                <w:rFonts w:hint="eastAsia" w:ascii="宋体" w:hAnsi="宋体"/>
              </w:rPr>
              <w:t>第3</w:t>
            </w:r>
            <w:r>
              <w:rPr>
                <w:rFonts w:ascii="宋体" w:hAnsi="宋体"/>
              </w:rPr>
              <w:t>.0.6</w:t>
            </w:r>
            <w:r>
              <w:rPr>
                <w:rFonts w:hint="eastAsia" w:ascii="宋体" w:hAnsi="宋体"/>
              </w:rPr>
              <w:t>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厂区水源、电源满足生产需求</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7</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厂址应满足适宜的地形坡度，尽量避开自然地形复杂、自然坡度大的地段，应避免将盆地、积水洼地作为厂址。</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《工业企业总平面设计规范》</w:t>
            </w:r>
          </w:p>
          <w:p>
            <w:pPr>
              <w:pStyle w:val="66"/>
              <w:widowControl w:val="0"/>
              <w:topLinePunct/>
              <w:spacing w:line="240" w:lineRule="auto"/>
              <w:contextualSpacing/>
              <w:rPr>
                <w:rFonts w:ascii="宋体" w:hAnsi="宋体"/>
              </w:rPr>
            </w:pPr>
            <w:r>
              <w:rPr>
                <w:rFonts w:hint="eastAsia" w:ascii="宋体" w:hAnsi="宋体"/>
              </w:rPr>
              <w:t>（G</w:t>
            </w:r>
            <w:r>
              <w:rPr>
                <w:rFonts w:ascii="宋体" w:hAnsi="宋体"/>
              </w:rPr>
              <w:t>B 50187-2012</w:t>
            </w:r>
            <w:r>
              <w:rPr>
                <w:rFonts w:hint="eastAsia" w:ascii="宋体" w:hAnsi="宋体"/>
              </w:rPr>
              <w:t>）</w:t>
            </w:r>
          </w:p>
          <w:p>
            <w:pPr>
              <w:pStyle w:val="66"/>
              <w:widowControl w:val="0"/>
              <w:topLinePunct/>
              <w:spacing w:line="240" w:lineRule="auto"/>
              <w:contextualSpacing/>
              <w:rPr>
                <w:rFonts w:ascii="宋体" w:hAnsi="宋体"/>
              </w:rPr>
            </w:pPr>
            <w:r>
              <w:rPr>
                <w:rFonts w:hint="eastAsia" w:ascii="宋体" w:hAnsi="宋体"/>
              </w:rPr>
              <w:t>第3</w:t>
            </w:r>
            <w:r>
              <w:rPr>
                <w:rFonts w:ascii="宋体" w:hAnsi="宋体"/>
              </w:rPr>
              <w:t>.0.10</w:t>
            </w:r>
            <w:r>
              <w:rPr>
                <w:rFonts w:hint="eastAsia" w:ascii="宋体" w:hAnsi="宋体"/>
              </w:rPr>
              <w:t>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厂址周围地势平坦。</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8</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 xml:space="preserve">厂址应位于不受洪水、潮水或内涝威胁的地带，并应符合下列规定： </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①当厂址不可避免不受洪水、潮水、或内涝威胁的地带时，必须采取防洪、排涝 措施；</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②凡受江、河、潮、海洪水、潮水或山洪威胁的工业企业，防洪标准应符合现行国家标准《防洪标准》GB 50201的有关规定。</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《工业企业总平面设计规范》</w:t>
            </w:r>
          </w:p>
          <w:p>
            <w:pPr>
              <w:pStyle w:val="66"/>
              <w:widowControl w:val="0"/>
              <w:topLinePunct/>
              <w:spacing w:line="240" w:lineRule="auto"/>
              <w:contextualSpacing/>
              <w:rPr>
                <w:rFonts w:ascii="宋体" w:hAnsi="宋体"/>
              </w:rPr>
            </w:pPr>
            <w:r>
              <w:rPr>
                <w:rFonts w:hint="eastAsia" w:ascii="宋体" w:hAnsi="宋体"/>
              </w:rPr>
              <w:t>（G</w:t>
            </w:r>
            <w:r>
              <w:rPr>
                <w:rFonts w:ascii="宋体" w:hAnsi="宋体"/>
              </w:rPr>
              <w:t>B 50187-2012</w:t>
            </w:r>
            <w:r>
              <w:rPr>
                <w:rFonts w:hint="eastAsia" w:ascii="宋体" w:hAnsi="宋体"/>
              </w:rPr>
              <w:t>）</w:t>
            </w:r>
          </w:p>
          <w:p>
            <w:pPr>
              <w:pStyle w:val="66"/>
              <w:widowControl w:val="0"/>
              <w:topLinePunct/>
              <w:spacing w:line="240" w:lineRule="auto"/>
              <w:contextualSpacing/>
              <w:rPr>
                <w:rFonts w:ascii="宋体" w:hAnsi="宋体"/>
              </w:rPr>
            </w:pPr>
            <w:r>
              <w:rPr>
                <w:rFonts w:hint="eastAsia" w:ascii="宋体" w:hAnsi="宋体"/>
              </w:rPr>
              <w:t>第3</w:t>
            </w:r>
            <w:r>
              <w:rPr>
                <w:rFonts w:ascii="宋体" w:hAnsi="宋体"/>
              </w:rPr>
              <w:t>.0.12</w:t>
            </w:r>
            <w:r>
              <w:rPr>
                <w:rFonts w:hint="eastAsia" w:ascii="宋体" w:hAnsi="宋体"/>
              </w:rPr>
              <w:t>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厂址虽紧邻</w:t>
            </w:r>
            <w:r>
              <w:rPr>
                <w:rFonts w:hint="eastAsia" w:ascii="宋体" w:hAnsi="宋体"/>
                <w:color w:val="auto"/>
                <w:sz w:val="21"/>
                <w:szCs w:val="21"/>
                <w:u w:color="000000"/>
              </w:rPr>
              <w:t>顺濞河，但地基高于河床2m，</w:t>
            </w:r>
            <w:r>
              <w:rPr>
                <w:rFonts w:hint="eastAsia" w:ascii="宋体" w:hAnsi="宋体"/>
                <w:color w:val="auto"/>
                <w:sz w:val="21"/>
                <w:szCs w:val="21"/>
              </w:rPr>
              <w:t>不受洪水潮水或内涝威胁。</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9</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下列地段和地区不应选为厂址：</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 xml:space="preserve">①发震断层和抗震设防烈度为9度及高于9度的地震区； </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②有泥石流、滑坡、流沙、溶洞等直接危害的地段；</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③采矿陷落（错动）区地表界限内；</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 xml:space="preserve">④爆破危险界限内； </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⑤坝或堤决溃后可能淹没的地区；</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⑥有严重放射性物质污染影响区；</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⑦生活居住区、文教区、水源保护区、名胜古迹、风景游览区、温泉、疗养区、自然保护区和其它需要特别保护的区域；</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⑧对飞机起落、电台通讯、电视转播、雷达导航和重要的天文、气象、地震观察以及军事设施等规定有影响的范围内；</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⑨很严重的自重湿陷性黄土地段，厚度大的新近堆积黄土地段和高压缩性的饱和黄土地段等地质条件恶劣地段；</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⑩具有开采价值的矿藏区；</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18"/>
                <w:szCs w:val="18"/>
              </w:rPr>
              <w:fldChar w:fldCharType="begin"/>
            </w:r>
            <w:r>
              <w:rPr>
                <w:rFonts w:hint="eastAsia" w:ascii="宋体" w:hAnsi="宋体"/>
                <w:color w:val="auto"/>
                <w:kern w:val="0"/>
                <w:sz w:val="18"/>
                <w:szCs w:val="18"/>
              </w:rPr>
              <w:instrText xml:space="preserve"> EQ \o\ac(</w:instrText>
            </w:r>
            <w:r>
              <w:rPr>
                <w:rFonts w:hint="eastAsia" w:ascii="宋体" w:hAnsi="宋体"/>
                <w:color w:val="auto"/>
                <w:kern w:val="0"/>
                <w:position w:val="-3"/>
                <w:sz w:val="27"/>
                <w:szCs w:val="18"/>
              </w:rPr>
              <w:instrText xml:space="preserve">○</w:instrText>
            </w:r>
            <w:r>
              <w:rPr>
                <w:rFonts w:hint="eastAsia" w:ascii="宋体" w:hAnsi="宋体"/>
                <w:color w:val="auto"/>
                <w:kern w:val="0"/>
                <w:sz w:val="18"/>
                <w:szCs w:val="18"/>
              </w:rPr>
              <w:instrText xml:space="preserve">,11)</w:instrText>
            </w:r>
            <w:r>
              <w:rPr>
                <w:rFonts w:hint="eastAsia" w:ascii="宋体" w:hAnsi="宋体"/>
                <w:color w:val="auto"/>
                <w:kern w:val="0"/>
                <w:sz w:val="18"/>
                <w:szCs w:val="18"/>
              </w:rPr>
              <w:fldChar w:fldCharType="end"/>
            </w:r>
            <w:r>
              <w:rPr>
                <w:rFonts w:hint="eastAsia" w:ascii="宋体" w:hAnsi="宋体"/>
                <w:color w:val="auto"/>
                <w:kern w:val="0"/>
                <w:sz w:val="21"/>
                <w:szCs w:val="21"/>
              </w:rPr>
              <w:t>受海啸或湖涌危害的地区。</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《工业企业总平面设计规范》</w:t>
            </w:r>
          </w:p>
          <w:p>
            <w:pPr>
              <w:pStyle w:val="66"/>
              <w:widowControl w:val="0"/>
              <w:topLinePunct/>
              <w:spacing w:line="240" w:lineRule="auto"/>
              <w:contextualSpacing/>
              <w:rPr>
                <w:rFonts w:ascii="宋体" w:hAnsi="宋体"/>
              </w:rPr>
            </w:pPr>
            <w:r>
              <w:rPr>
                <w:rFonts w:hint="eastAsia" w:ascii="宋体" w:hAnsi="宋体"/>
              </w:rPr>
              <w:t>（G</w:t>
            </w:r>
            <w:r>
              <w:rPr>
                <w:rFonts w:ascii="宋体" w:hAnsi="宋体"/>
              </w:rPr>
              <w:t>B 50187-2012</w:t>
            </w:r>
            <w:r>
              <w:rPr>
                <w:rFonts w:hint="eastAsia" w:ascii="宋体" w:hAnsi="宋体"/>
              </w:rPr>
              <w:t>）</w:t>
            </w:r>
          </w:p>
          <w:p>
            <w:pPr>
              <w:pStyle w:val="66"/>
              <w:widowControl w:val="0"/>
              <w:topLinePunct/>
              <w:spacing w:line="240" w:lineRule="auto"/>
              <w:contextualSpacing/>
              <w:rPr>
                <w:rFonts w:ascii="宋体" w:hAnsi="宋体"/>
              </w:rPr>
            </w:pPr>
            <w:r>
              <w:rPr>
                <w:rFonts w:hint="eastAsia" w:ascii="宋体" w:hAnsi="宋体"/>
              </w:rPr>
              <w:t>第3</w:t>
            </w:r>
            <w:r>
              <w:rPr>
                <w:rFonts w:ascii="宋体" w:hAnsi="宋体"/>
              </w:rPr>
              <w:t>.0.14</w:t>
            </w:r>
            <w:r>
              <w:rPr>
                <w:rFonts w:hint="eastAsia" w:ascii="宋体" w:hAnsi="宋体"/>
              </w:rPr>
              <w:t>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抗震设防烈度为8度，厂区附近1km 内无工矿企业、人口稠密区，没有自然保护区、水源保护区、古树名木、国家保护珍稀动植物，也没有文物保护单位、公共设施、水厂、车站、码头、军事禁区等。</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二</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s="F3"/>
                <w:color w:val="auto"/>
                <w:sz w:val="21"/>
                <w:szCs w:val="21"/>
              </w:rPr>
              <w:t>总平面布置</w:t>
            </w:r>
          </w:p>
        </w:tc>
        <w:tc>
          <w:tcPr>
            <w:tcW w:w="2185" w:type="dxa"/>
            <w:vAlign w:val="center"/>
          </w:tcPr>
          <w:p>
            <w:pPr>
              <w:topLinePunct/>
              <w:adjustRightInd/>
              <w:snapToGrid/>
              <w:spacing w:line="240" w:lineRule="auto"/>
              <w:ind w:firstLine="0" w:firstLineChars="0"/>
              <w:contextualSpacing/>
              <w:jc w:val="left"/>
              <w:rPr>
                <w:rFonts w:ascii="宋体" w:hAnsi="宋体"/>
                <w:color w:val="auto"/>
                <w:sz w:val="21"/>
                <w:szCs w:val="21"/>
              </w:rPr>
            </w:pP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化工企业之间、化工企业与其他工矿企业、交通线站、港埠之间的卫生防护距离应满足国家现行标准《工业企业设计卫生标准GB Z1附录B和《石油化工企业卫生防护距离》SH 3093的要求，防火间距应满足现行国家标准石油化工企业设计防火规范》GB 50160和《建筑设计防火规范》GB 50016等规范的要求。</w:t>
            </w:r>
          </w:p>
        </w:tc>
        <w:tc>
          <w:tcPr>
            <w:tcW w:w="218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《化工企业安全卫生设计规范》</w:t>
            </w:r>
          </w:p>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w:t>
            </w:r>
            <w:r>
              <w:rPr>
                <w:rFonts w:ascii="宋体" w:hAnsi="宋体"/>
                <w:color w:val="auto"/>
                <w:sz w:val="21"/>
                <w:szCs w:val="21"/>
              </w:rPr>
              <w:t>HG 20571-2014</w:t>
            </w:r>
            <w:r>
              <w:rPr>
                <w:rFonts w:hint="eastAsia" w:ascii="宋体" w:hAnsi="宋体"/>
                <w:color w:val="auto"/>
                <w:sz w:val="21"/>
                <w:szCs w:val="21"/>
              </w:rPr>
              <w:t>）第</w:t>
            </w:r>
          </w:p>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3.1.5条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厂区附近1km 内无工矿企业</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2</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总平面布置应节约集约用地，提高土地利用率。布置时并应符合下列要求：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①在符合生产流程、操作要求和使用功能的前提下，建筑物、构筑物等设施，应采用联合、集中、多层布置；</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②应按企业规模和功能分区，合理地确定通道宽度；</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③厂区功能分区及建筑物、构筑物的外形宜规整；</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④功能分区内各项设施的布置，应紧凑、合理。</w:t>
            </w:r>
          </w:p>
        </w:tc>
        <w:tc>
          <w:tcPr>
            <w:tcW w:w="218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《工业企业总平面设计规范》</w:t>
            </w:r>
          </w:p>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（GB 50187-2012）第</w:t>
            </w:r>
          </w:p>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5.1.2条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总平面布置合理，按功能分区设置。详见报告F6.4</w:t>
            </w:r>
            <w:r>
              <w:rPr>
                <w:rFonts w:hint="eastAsia" w:ascii="宋体" w:hAnsi="宋体"/>
                <w:color w:val="auto"/>
                <w:sz w:val="21"/>
                <w:szCs w:val="21"/>
                <w:lang w:val="en-US" w:eastAsia="zh-CN"/>
              </w:rPr>
              <w:t>7</w:t>
            </w:r>
            <w:r>
              <w:rPr>
                <w:rFonts w:hint="eastAsia" w:ascii="宋体" w:hAnsi="宋体"/>
                <w:color w:val="auto"/>
                <w:sz w:val="21"/>
                <w:szCs w:val="21"/>
              </w:rPr>
              <w:t>。</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3</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厂区的通道宽度，应符合下列要求：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①应符合通道两侧建筑物、构筑物及露天设施对防火、安全与卫生间距的要求；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②应符合铁路、道路与带式输送机通廊等工业运输线路的布置要求；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③ 应符合各种工程管线的布置要求；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④ 应符合绿化布置的要求；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⑤应符合施工、安装与检修的要求；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⑥应符合竖向设计的要求；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⑦ 应符合预留发展用地的要求。</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《工业企业总平面设计规范》</w:t>
            </w:r>
          </w:p>
          <w:p>
            <w:pPr>
              <w:pStyle w:val="66"/>
              <w:widowControl w:val="0"/>
              <w:topLinePunct/>
              <w:spacing w:line="240" w:lineRule="auto"/>
              <w:contextualSpacing/>
              <w:rPr>
                <w:rFonts w:ascii="宋体" w:hAnsi="宋体"/>
              </w:rPr>
            </w:pPr>
            <w:r>
              <w:rPr>
                <w:rFonts w:hint="eastAsia" w:ascii="宋体" w:hAnsi="宋体"/>
              </w:rPr>
              <w:t>（G</w:t>
            </w:r>
            <w:r>
              <w:rPr>
                <w:rFonts w:ascii="宋体" w:hAnsi="宋体"/>
              </w:rPr>
              <w:t>B 50187-2012</w:t>
            </w:r>
            <w:r>
              <w:rPr>
                <w:rFonts w:hint="eastAsia" w:ascii="宋体" w:hAnsi="宋体"/>
              </w:rPr>
              <w:t>）第</w:t>
            </w:r>
          </w:p>
          <w:p>
            <w:pPr>
              <w:tabs>
                <w:tab w:val="left" w:pos="1650"/>
              </w:tabs>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sz w:val="21"/>
                <w:szCs w:val="21"/>
              </w:rPr>
              <w:t>5.1.4条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厂区道路宽度设置合理。</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4</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总平面布置应采取防止高温、有害气体、烟、雾、粉尘、强烈振动和高噪声对周围环境和人身安全的危害的安全保障措施，并应符合现行国家有关工业企业卫生设计标准的规定。</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《工业企业总平面设计规范》</w:t>
            </w:r>
          </w:p>
          <w:p>
            <w:pPr>
              <w:pStyle w:val="66"/>
              <w:widowControl w:val="0"/>
              <w:topLinePunct/>
              <w:spacing w:line="240" w:lineRule="auto"/>
              <w:contextualSpacing/>
              <w:rPr>
                <w:rFonts w:ascii="宋体" w:hAnsi="宋体"/>
              </w:rPr>
            </w:pPr>
            <w:r>
              <w:rPr>
                <w:rFonts w:hint="eastAsia" w:ascii="宋体" w:hAnsi="宋体"/>
              </w:rPr>
              <w:t>（G</w:t>
            </w:r>
            <w:r>
              <w:rPr>
                <w:rFonts w:ascii="宋体" w:hAnsi="宋体"/>
              </w:rPr>
              <w:t>B 50187-2012</w:t>
            </w:r>
            <w:r>
              <w:rPr>
                <w:rFonts w:hint="eastAsia" w:ascii="宋体" w:hAnsi="宋体"/>
              </w:rPr>
              <w:t>）第</w:t>
            </w:r>
          </w:p>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5.1.7条</w:t>
            </w:r>
          </w:p>
        </w:tc>
        <w:tc>
          <w:tcPr>
            <w:tcW w:w="1475"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设置了机械通风和尾气处理装置</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5</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总平面布置，应合理地组织货流和人流，并应符合下列要求：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①运输线路的布置，应保证物流顺畅、径路短捷、不折返；</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② 应避免运输繁忙的铁路与道路平面交叉；</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③应使人、货分流，应避免运输繁忙的货流与人流交叉；</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④应避免进出厂的主要货流与企业外部交通干线的平面交叉。</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《工业企业总平面设计规范》</w:t>
            </w:r>
          </w:p>
          <w:p>
            <w:pPr>
              <w:pStyle w:val="66"/>
              <w:widowControl w:val="0"/>
              <w:topLinePunct/>
              <w:spacing w:line="240" w:lineRule="auto"/>
              <w:contextualSpacing/>
              <w:rPr>
                <w:rFonts w:ascii="宋体" w:hAnsi="宋体"/>
              </w:rPr>
            </w:pPr>
            <w:r>
              <w:rPr>
                <w:rFonts w:hint="eastAsia" w:ascii="宋体" w:hAnsi="宋体"/>
              </w:rPr>
              <w:t>（G</w:t>
            </w:r>
            <w:r>
              <w:rPr>
                <w:rFonts w:ascii="宋体" w:hAnsi="宋体"/>
              </w:rPr>
              <w:t>B 50187-2012</w:t>
            </w:r>
            <w:r>
              <w:rPr>
                <w:rFonts w:hint="eastAsia" w:ascii="宋体" w:hAnsi="宋体"/>
              </w:rPr>
              <w:t>）第</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s="Tahoma"/>
                <w:color w:val="auto"/>
                <w:sz w:val="21"/>
                <w:szCs w:val="21"/>
              </w:rPr>
              <w:t>5.1.8条</w:t>
            </w:r>
          </w:p>
        </w:tc>
        <w:tc>
          <w:tcPr>
            <w:tcW w:w="147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kern w:val="0"/>
                <w:sz w:val="21"/>
                <w:szCs w:val="21"/>
              </w:rPr>
              <w:t>厂区东面设两个入口，分别通向办公区和生厂区，其中沿北面围墙设有一条宽度为8m的道路一直连同厂区西面的出入口</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6</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olor w:val="auto"/>
                <w:sz w:val="21"/>
                <w:szCs w:val="21"/>
              </w:rPr>
              <w:t>仓库与堆场，应根据贮存物料的性质、货流出入方向、供应对象、贮存面积、运输方式等因素，按不同类别相对集中布置，并为运输、装卸、管理创造有利条件，且应符合国家现行的防火、防爆、安全、卫生等工程设计标准的有关规定。</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《工业企业总平面设计规范》</w:t>
            </w:r>
          </w:p>
          <w:p>
            <w:pPr>
              <w:pStyle w:val="66"/>
              <w:widowControl w:val="0"/>
              <w:topLinePunct/>
              <w:spacing w:line="240" w:lineRule="auto"/>
              <w:contextualSpacing/>
              <w:rPr>
                <w:rFonts w:ascii="宋体" w:hAnsi="宋体"/>
              </w:rPr>
            </w:pPr>
            <w:r>
              <w:rPr>
                <w:rFonts w:hint="eastAsia" w:ascii="宋体" w:hAnsi="宋体"/>
              </w:rPr>
              <w:t>（G</w:t>
            </w:r>
            <w:r>
              <w:rPr>
                <w:rFonts w:ascii="宋体" w:hAnsi="宋体"/>
              </w:rPr>
              <w:t>B 50187-2012</w:t>
            </w:r>
            <w:r>
              <w:rPr>
                <w:rFonts w:hint="eastAsia" w:ascii="宋体" w:hAnsi="宋体"/>
              </w:rPr>
              <w:t>）第</w:t>
            </w:r>
          </w:p>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5.6.1条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仓库与周边设施符合安全防火距离要求。</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7</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厂区出入口的位置和数量，应根据企业的生产规模、总体规划、厂区用地面积及总平面布置等因素综合确定，并应符合下列要求：</w:t>
            </w:r>
          </w:p>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① 出入口的数量不宜少于2个；</w:t>
            </w:r>
          </w:p>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②主要人流出入口宜与主要货流出入口分开设置，并应位于厂区主干道通往居住区或城镇的一侧；主要货流出入口应位于主要货流方向，应靠近运输繁忙的仓库、堆场，并应与外部运输线路连接方便；</w:t>
            </w:r>
          </w:p>
          <w:p>
            <w:pPr>
              <w:topLinePunct/>
              <w:adjustRightInd/>
              <w:snapToGrid/>
              <w:spacing w:line="240" w:lineRule="auto"/>
              <w:ind w:firstLine="0" w:firstLineChars="0"/>
              <w:contextualSpacing/>
              <w:jc w:val="left"/>
              <w:rPr>
                <w:rFonts w:ascii="宋体" w:hAnsi="宋体" w:cs="Arial Unicode MS"/>
                <w:color w:val="auto"/>
                <w:kern w:val="0"/>
                <w:sz w:val="21"/>
                <w:szCs w:val="21"/>
              </w:rPr>
            </w:pPr>
            <w:r>
              <w:rPr>
                <w:rFonts w:hint="eastAsia" w:ascii="宋体" w:hAnsi="宋体" w:cs="Tahoma"/>
                <w:color w:val="auto"/>
                <w:sz w:val="21"/>
                <w:szCs w:val="21"/>
              </w:rPr>
              <w:t>③ 铁路出入口，应具备良好的瞭望条件。</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《工业企业总平面设计规范》</w:t>
            </w:r>
          </w:p>
          <w:p>
            <w:pPr>
              <w:pStyle w:val="66"/>
              <w:widowControl w:val="0"/>
              <w:topLinePunct/>
              <w:spacing w:line="240" w:lineRule="auto"/>
              <w:contextualSpacing/>
              <w:rPr>
                <w:rFonts w:ascii="宋体" w:hAnsi="宋体"/>
              </w:rPr>
            </w:pPr>
            <w:r>
              <w:rPr>
                <w:rFonts w:hint="eastAsia" w:ascii="宋体" w:hAnsi="宋体"/>
              </w:rPr>
              <w:t>（G</w:t>
            </w:r>
            <w:r>
              <w:rPr>
                <w:rFonts w:ascii="宋体" w:hAnsi="宋体"/>
              </w:rPr>
              <w:t>B 50187-2012</w:t>
            </w:r>
            <w:r>
              <w:rPr>
                <w:rFonts w:hint="eastAsia" w:ascii="宋体" w:hAnsi="宋体"/>
              </w:rPr>
              <w:t>）第</w:t>
            </w:r>
          </w:p>
          <w:p>
            <w:pPr>
              <w:tabs>
                <w:tab w:val="left" w:pos="1650"/>
              </w:tabs>
              <w:topLinePunct/>
              <w:adjustRightInd/>
              <w:snapToGrid/>
              <w:spacing w:line="240" w:lineRule="auto"/>
              <w:ind w:firstLine="0" w:firstLineChars="0"/>
              <w:contextualSpacing/>
              <w:jc w:val="left"/>
              <w:rPr>
                <w:rFonts w:ascii="宋体" w:hAnsi="宋体" w:cs="Arial Unicode MS"/>
                <w:color w:val="auto"/>
                <w:kern w:val="0"/>
                <w:sz w:val="21"/>
                <w:szCs w:val="21"/>
              </w:rPr>
            </w:pPr>
            <w:r>
              <w:rPr>
                <w:rFonts w:hint="eastAsia" w:ascii="宋体" w:hAnsi="宋体" w:cs="Tahoma"/>
                <w:color w:val="auto"/>
                <w:sz w:val="21"/>
                <w:szCs w:val="21"/>
              </w:rPr>
              <w:t>5.7.4条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厂区根据实际需要</w:t>
            </w:r>
            <w:r>
              <w:rPr>
                <w:rFonts w:hint="eastAsia" w:ascii="宋体" w:hAnsi="宋体"/>
                <w:color w:val="auto"/>
                <w:kern w:val="0"/>
                <w:sz w:val="21"/>
                <w:szCs w:val="21"/>
              </w:rPr>
              <w:t>东面</w:t>
            </w:r>
            <w:r>
              <w:rPr>
                <w:rFonts w:hint="eastAsia" w:ascii="宋体" w:hAnsi="宋体"/>
                <w:bCs/>
                <w:color w:val="auto"/>
                <w:sz w:val="21"/>
                <w:szCs w:val="21"/>
              </w:rPr>
              <w:t>设置二个主要出入口，分为人流通道和货流通道。</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8</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消防车道的布置，应符合下列要求：</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① 道路宜呈环状布置；</w:t>
            </w:r>
          </w:p>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②车道宽度不应小于4.0m；</w:t>
            </w:r>
          </w:p>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olor w:val="auto"/>
                <w:kern w:val="0"/>
                <w:sz w:val="21"/>
                <w:szCs w:val="21"/>
              </w:rPr>
              <w:t>③应避免与铁路平交。必须平交时，应设备用车道，且两车道之间的距离，不应小于进入厂内最长列车的长度。</w:t>
            </w:r>
          </w:p>
        </w:tc>
        <w:tc>
          <w:tcPr>
            <w:tcW w:w="2185" w:type="dxa"/>
            <w:vAlign w:val="center"/>
          </w:tcPr>
          <w:p>
            <w:pPr>
              <w:pStyle w:val="66"/>
              <w:widowControl w:val="0"/>
              <w:topLinePunct/>
              <w:spacing w:line="240" w:lineRule="auto"/>
              <w:contextualSpacing/>
              <w:rPr>
                <w:rFonts w:ascii="宋体" w:hAnsi="宋体"/>
              </w:rPr>
            </w:pPr>
            <w:r>
              <w:rPr>
                <w:rFonts w:hint="eastAsia" w:ascii="宋体" w:hAnsi="宋体"/>
              </w:rPr>
              <w:t>《工业企业总平面设计规范》</w:t>
            </w:r>
          </w:p>
          <w:p>
            <w:pPr>
              <w:pStyle w:val="66"/>
              <w:widowControl w:val="0"/>
              <w:topLinePunct/>
              <w:spacing w:line="240" w:lineRule="auto"/>
              <w:contextualSpacing/>
              <w:rPr>
                <w:rFonts w:ascii="宋体" w:hAnsi="宋体"/>
              </w:rPr>
            </w:pPr>
            <w:r>
              <w:rPr>
                <w:rFonts w:hint="eastAsia" w:ascii="宋体" w:hAnsi="宋体"/>
              </w:rPr>
              <w:t>（G</w:t>
            </w:r>
            <w:r>
              <w:rPr>
                <w:rFonts w:ascii="宋体" w:hAnsi="宋体"/>
              </w:rPr>
              <w:t>B 50187-2012</w:t>
            </w:r>
            <w:r>
              <w:rPr>
                <w:rFonts w:hint="eastAsia" w:ascii="宋体" w:hAnsi="宋体"/>
              </w:rPr>
              <w:t>）第</w:t>
            </w:r>
          </w:p>
          <w:p>
            <w:pPr>
              <w:topLinePunct/>
              <w:adjustRightInd/>
              <w:snapToGrid/>
              <w:spacing w:line="240" w:lineRule="auto"/>
              <w:ind w:firstLine="0" w:firstLineChars="0"/>
              <w:contextualSpacing/>
              <w:jc w:val="left"/>
              <w:rPr>
                <w:rFonts w:ascii="宋体" w:hAnsi="宋体" w:cs="Arial Unicode MS"/>
                <w:color w:val="auto"/>
                <w:sz w:val="21"/>
                <w:szCs w:val="21"/>
              </w:rPr>
            </w:pPr>
            <w:r>
              <w:rPr>
                <w:rFonts w:hint="eastAsia" w:ascii="宋体" w:hAnsi="宋体" w:cs="Tahoma"/>
                <w:color w:val="auto"/>
                <w:sz w:val="21"/>
                <w:szCs w:val="21"/>
              </w:rPr>
              <w:t>6.4.11条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厂区能行成环形消防车道，道路宽度8</w:t>
            </w:r>
            <w:r>
              <w:rPr>
                <w:rFonts w:ascii="宋体" w:hAnsi="宋体"/>
                <w:bCs/>
                <w:color w:val="auto"/>
                <w:sz w:val="21"/>
                <w:szCs w:val="21"/>
              </w:rPr>
              <w:t>m</w:t>
            </w:r>
            <w:r>
              <w:rPr>
                <w:rFonts w:hint="eastAsia" w:ascii="宋体" w:hAnsi="宋体"/>
                <w:bCs/>
                <w:color w:val="auto"/>
                <w:sz w:val="21"/>
                <w:szCs w:val="21"/>
              </w:rPr>
              <w:t>。</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9</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olor w:val="auto"/>
                <w:sz w:val="21"/>
                <w:szCs w:val="21"/>
              </w:rPr>
              <w:t>员工宿舍严禁设置在厂房内</w:t>
            </w:r>
          </w:p>
        </w:tc>
        <w:tc>
          <w:tcPr>
            <w:tcW w:w="2185"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color w:val="000000" w:themeColor="text1"/>
                <w:sz w:val="21"/>
                <w:szCs w:val="21"/>
              </w:rPr>
              <w:t>《建筑设计防火规范（2018年版）》（GB50016-2014）</w:t>
            </w:r>
            <w:r>
              <w:rPr>
                <w:rFonts w:hint="eastAsia" w:ascii="宋体" w:hAnsi="宋体"/>
                <w:sz w:val="21"/>
                <w:szCs w:val="21"/>
              </w:rPr>
              <w:t>第</w:t>
            </w:r>
            <w:r>
              <w:rPr>
                <w:rFonts w:hint="eastAsia" w:ascii="宋体" w:hAnsi="宋体" w:cs="Arial Unicode MS"/>
                <w:color w:val="auto"/>
                <w:sz w:val="21"/>
                <w:szCs w:val="21"/>
              </w:rPr>
              <w:t>3.3.5条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现场检查：未在生产区内设员工宿舍。</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10</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sz w:val="21"/>
                <w:szCs w:val="21"/>
              </w:rPr>
              <w:t>员工宿舍严禁设置在仓库内</w:t>
            </w:r>
          </w:p>
        </w:tc>
        <w:tc>
          <w:tcPr>
            <w:tcW w:w="2185" w:type="dxa"/>
            <w:vAlign w:val="center"/>
          </w:tcPr>
          <w:p>
            <w:pPr>
              <w:topLinePunct/>
              <w:adjustRightInd/>
              <w:snapToGrid/>
              <w:spacing w:line="240" w:lineRule="auto"/>
              <w:ind w:firstLine="0" w:firstLineChars="0"/>
              <w:contextualSpacing/>
              <w:jc w:val="left"/>
              <w:rPr>
                <w:rFonts w:ascii="宋体" w:hAnsi="宋体" w:cs="Arial Unicode MS"/>
                <w:color w:val="auto"/>
                <w:sz w:val="21"/>
                <w:szCs w:val="21"/>
              </w:rPr>
            </w:pPr>
            <w:r>
              <w:rPr>
                <w:rFonts w:hint="eastAsia" w:ascii="宋体" w:hAnsi="宋体" w:cs="Tahoma"/>
                <w:color w:val="auto"/>
                <w:sz w:val="21"/>
                <w:szCs w:val="21"/>
              </w:rPr>
              <w:t>《建筑设计防火规范（2018年版）》（GB50016-2014）</w:t>
            </w:r>
            <w:r>
              <w:rPr>
                <w:rFonts w:hint="eastAsia" w:ascii="宋体" w:hAnsi="宋体"/>
                <w:sz w:val="21"/>
                <w:szCs w:val="21"/>
              </w:rPr>
              <w:t>第</w:t>
            </w:r>
            <w:r>
              <w:rPr>
                <w:rFonts w:hint="eastAsia" w:ascii="宋体" w:hAnsi="宋体" w:cs="Arial Unicode MS"/>
                <w:color w:val="auto"/>
                <w:sz w:val="21"/>
                <w:szCs w:val="21"/>
              </w:rPr>
              <w:t>3.3.9条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现场检查：项目区域内未设置员工宿舍。</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11</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sz w:val="21"/>
                <w:szCs w:val="21"/>
              </w:rPr>
              <w:t>厂房之间及其与乙、丙、丁、戊类仓库、民用建筑等之间的防火间距不应小于表3.4.1 的规定。</w:t>
            </w:r>
          </w:p>
        </w:tc>
        <w:tc>
          <w:tcPr>
            <w:tcW w:w="2185" w:type="dxa"/>
            <w:vAlign w:val="center"/>
          </w:tcPr>
          <w:p>
            <w:pPr>
              <w:topLinePunct/>
              <w:adjustRightInd/>
              <w:snapToGrid/>
              <w:spacing w:line="240" w:lineRule="auto"/>
              <w:ind w:firstLine="0" w:firstLineChars="0"/>
              <w:contextualSpacing/>
              <w:jc w:val="left"/>
              <w:rPr>
                <w:rFonts w:ascii="宋体" w:hAnsi="宋体" w:cs="Arial Unicode MS"/>
                <w:color w:val="auto"/>
                <w:sz w:val="21"/>
                <w:szCs w:val="21"/>
              </w:rPr>
            </w:pPr>
            <w:r>
              <w:rPr>
                <w:rFonts w:hint="eastAsia" w:ascii="宋体" w:hAnsi="宋体" w:cs="Tahoma"/>
                <w:color w:val="auto"/>
                <w:sz w:val="21"/>
                <w:szCs w:val="21"/>
              </w:rPr>
              <w:t>《建筑设计防火规范（2018年版）》（GB50016-2014）</w:t>
            </w:r>
            <w:r>
              <w:rPr>
                <w:rFonts w:hint="eastAsia" w:ascii="宋体" w:hAnsi="宋体"/>
                <w:sz w:val="21"/>
                <w:szCs w:val="21"/>
              </w:rPr>
              <w:t>第</w:t>
            </w:r>
            <w:r>
              <w:rPr>
                <w:rFonts w:hint="eastAsia" w:ascii="宋体" w:hAnsi="宋体" w:cs="Arial Unicode MS"/>
                <w:color w:val="auto"/>
                <w:sz w:val="21"/>
                <w:szCs w:val="21"/>
              </w:rPr>
              <w:t>3.4.1条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项目区域内建筑物之间的防火间距满足要求建规要求。</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12</w:t>
            </w:r>
          </w:p>
        </w:tc>
        <w:tc>
          <w:tcPr>
            <w:tcW w:w="3972"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工业企业厂区总平面布置应明确功能分区，可分为生产区、非生产区、辅助生产区。</w:t>
            </w:r>
          </w:p>
        </w:tc>
        <w:tc>
          <w:tcPr>
            <w:tcW w:w="2185"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bCs/>
                <w:color w:val="auto"/>
                <w:sz w:val="21"/>
                <w:szCs w:val="21"/>
              </w:rPr>
              <w:t>《工业企业设计卫生标准》</w:t>
            </w:r>
            <w:r>
              <w:rPr>
                <w:rFonts w:hint="eastAsia" w:ascii="宋体" w:hAnsi="宋体"/>
                <w:color w:val="auto"/>
                <w:kern w:val="0"/>
                <w:sz w:val="21"/>
                <w:szCs w:val="21"/>
              </w:rPr>
              <w:t>（GBZ 1-2010）</w:t>
            </w:r>
            <w:r>
              <w:rPr>
                <w:rFonts w:hint="eastAsia" w:ascii="宋体" w:hAnsi="宋体"/>
                <w:sz w:val="21"/>
                <w:szCs w:val="21"/>
              </w:rPr>
              <w:t>第</w:t>
            </w:r>
            <w:r>
              <w:rPr>
                <w:rFonts w:hint="eastAsia" w:ascii="宋体" w:hAnsi="宋体"/>
                <w:color w:val="auto"/>
                <w:kern w:val="0"/>
                <w:sz w:val="21"/>
                <w:szCs w:val="21"/>
              </w:rPr>
              <w:t>5.2.1.1条</w:t>
            </w:r>
          </w:p>
          <w:p>
            <w:pPr>
              <w:topLinePunct/>
              <w:adjustRightInd/>
              <w:snapToGrid/>
              <w:spacing w:line="240" w:lineRule="auto"/>
              <w:ind w:firstLine="0" w:firstLineChars="0"/>
              <w:contextualSpacing/>
              <w:jc w:val="left"/>
              <w:rPr>
                <w:rFonts w:ascii="宋体" w:hAnsi="宋体" w:cs="Arial Unicode MS"/>
                <w:color w:val="auto"/>
                <w:sz w:val="21"/>
                <w:szCs w:val="21"/>
              </w:rPr>
            </w:pP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cs="Arial Unicode MS"/>
                <w:color w:val="auto"/>
                <w:sz w:val="21"/>
                <w:szCs w:val="21"/>
              </w:rPr>
              <w:t>厂区总平面布置功能分区明确，具体设置详见F6.36。</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13</w:t>
            </w:r>
          </w:p>
        </w:tc>
        <w:tc>
          <w:tcPr>
            <w:tcW w:w="3972"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产生噪声的车间，应在控制噪声发生源的基础上，对厂房的建筑设计采取减轻噪声影响的措施，注意增加隔声、吸声措施。</w:t>
            </w:r>
          </w:p>
        </w:tc>
        <w:tc>
          <w:tcPr>
            <w:tcW w:w="2185"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bCs/>
                <w:color w:val="auto"/>
                <w:sz w:val="21"/>
                <w:szCs w:val="21"/>
              </w:rPr>
              <w:t>《工业企业设计卫生标准》</w:t>
            </w:r>
            <w:r>
              <w:rPr>
                <w:rFonts w:hint="eastAsia" w:ascii="宋体" w:hAnsi="宋体"/>
                <w:color w:val="auto"/>
                <w:kern w:val="0"/>
                <w:sz w:val="21"/>
                <w:szCs w:val="21"/>
              </w:rPr>
              <w:t>（GBZ 1-2010）</w:t>
            </w:r>
            <w:r>
              <w:rPr>
                <w:rFonts w:hint="eastAsia" w:ascii="宋体" w:hAnsi="宋体"/>
                <w:sz w:val="21"/>
                <w:szCs w:val="21"/>
              </w:rPr>
              <w:t>第</w:t>
            </w:r>
            <w:r>
              <w:rPr>
                <w:rFonts w:hint="eastAsia" w:ascii="宋体" w:hAnsi="宋体"/>
                <w:color w:val="auto"/>
                <w:kern w:val="0"/>
                <w:sz w:val="21"/>
                <w:szCs w:val="21"/>
              </w:rPr>
              <w:t>6.3.1.6条</w:t>
            </w:r>
          </w:p>
          <w:p>
            <w:pPr>
              <w:topLinePunct/>
              <w:adjustRightInd/>
              <w:snapToGrid/>
              <w:spacing w:line="240" w:lineRule="auto"/>
              <w:ind w:firstLine="0" w:firstLineChars="0"/>
              <w:contextualSpacing/>
              <w:jc w:val="left"/>
              <w:rPr>
                <w:rFonts w:ascii="宋体" w:hAnsi="宋体"/>
                <w:color w:val="auto"/>
                <w:sz w:val="21"/>
                <w:szCs w:val="21"/>
              </w:rPr>
            </w:pPr>
          </w:p>
        </w:tc>
        <w:tc>
          <w:tcPr>
            <w:tcW w:w="1475" w:type="dxa"/>
            <w:vAlign w:val="center"/>
          </w:tcPr>
          <w:p>
            <w:pPr>
              <w:topLinePunct/>
              <w:adjustRightInd/>
              <w:snapToGrid/>
              <w:spacing w:line="240" w:lineRule="auto"/>
              <w:ind w:firstLine="0" w:firstLineChars="0"/>
              <w:contextualSpacing/>
              <w:jc w:val="left"/>
              <w:rPr>
                <w:rFonts w:ascii="宋体" w:hAnsi="宋体" w:cs="Arial Unicode MS"/>
                <w:color w:val="auto"/>
                <w:sz w:val="21"/>
                <w:szCs w:val="21"/>
              </w:rPr>
            </w:pPr>
            <w:r>
              <w:rPr>
                <w:rFonts w:hint="eastAsia" w:ascii="宋体" w:hAnsi="宋体"/>
                <w:color w:val="auto"/>
                <w:sz w:val="21"/>
                <w:szCs w:val="21"/>
              </w:rPr>
              <w:t>生产区远离办公辅助区，减小噪声对人员的影响。</w:t>
            </w:r>
          </w:p>
        </w:tc>
        <w:tc>
          <w:tcPr>
            <w:tcW w:w="694"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三</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建构筑物</w:t>
            </w:r>
          </w:p>
        </w:tc>
        <w:tc>
          <w:tcPr>
            <w:tcW w:w="2185"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1</w:t>
            </w:r>
          </w:p>
        </w:tc>
        <w:tc>
          <w:tcPr>
            <w:tcW w:w="3972" w:type="dxa"/>
            <w:vAlign w:val="center"/>
          </w:tcPr>
          <w:p>
            <w:pPr>
              <w:topLinePunct/>
              <w:adjustRightInd/>
              <w:snapToGrid/>
              <w:spacing w:line="240" w:lineRule="auto"/>
              <w:ind w:firstLine="0" w:firstLineChars="0"/>
              <w:contextualSpacing/>
              <w:jc w:val="left"/>
              <w:rPr>
                <w:rFonts w:ascii="宋体" w:hAnsi="宋体"/>
                <w:color w:val="auto"/>
                <w:kern w:val="0"/>
                <w:sz w:val="21"/>
                <w:szCs w:val="21"/>
              </w:rPr>
            </w:pPr>
            <w:r>
              <w:rPr>
                <w:rFonts w:hint="eastAsia" w:ascii="宋体" w:hAnsi="宋体"/>
                <w:color w:val="auto"/>
                <w:kern w:val="0"/>
                <w:sz w:val="21"/>
                <w:szCs w:val="21"/>
              </w:rPr>
              <w:t>高架仓库、高层仓库、甲类仓库、多层乙类仓库和储存可燃液体的多层丙类仓库，其耐火等级不应低于二级。</w:t>
            </w:r>
          </w:p>
        </w:tc>
        <w:tc>
          <w:tcPr>
            <w:tcW w:w="218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s="Tahoma"/>
                <w:color w:val="auto"/>
                <w:sz w:val="21"/>
                <w:szCs w:val="21"/>
              </w:rPr>
              <w:t>《建筑设计防火规范（2018年版）》（GB50016-2014）第</w:t>
            </w:r>
            <w:r>
              <w:rPr>
                <w:rFonts w:ascii="宋体" w:hAnsi="宋体" w:cs="Tahoma"/>
                <w:color w:val="auto"/>
                <w:sz w:val="21"/>
                <w:szCs w:val="21"/>
              </w:rPr>
              <w:t>3.2.7</w:t>
            </w:r>
            <w:r>
              <w:rPr>
                <w:rFonts w:hint="eastAsia" w:ascii="宋体" w:hAnsi="宋体" w:cs="Tahoma"/>
                <w:color w:val="auto"/>
                <w:sz w:val="21"/>
                <w:szCs w:val="21"/>
              </w:rPr>
              <w:t>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现场检查：项目未涉及高架仓库、高层仓库、甲类仓库、多层乙类仓库和储存可燃液体的多层丙类仓库。</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2</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除本规范另有规定外，仓库的层数和面积应符合表3.3.2的规定。</w:t>
            </w:r>
          </w:p>
        </w:tc>
        <w:tc>
          <w:tcPr>
            <w:tcW w:w="2185"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《建筑设计防火规范（2018年版）》（GB50016-2014）第3.3.</w:t>
            </w:r>
            <w:r>
              <w:rPr>
                <w:rFonts w:ascii="宋体" w:hAnsi="宋体" w:cs="Tahoma"/>
                <w:color w:val="auto"/>
                <w:sz w:val="21"/>
                <w:szCs w:val="21"/>
              </w:rPr>
              <w:t>2</w:t>
            </w:r>
            <w:r>
              <w:rPr>
                <w:rFonts w:hint="eastAsia" w:ascii="宋体" w:hAnsi="宋体" w:cs="Tahoma"/>
                <w:color w:val="auto"/>
                <w:sz w:val="21"/>
                <w:szCs w:val="21"/>
              </w:rPr>
              <w:t>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项目仓库火灾危险性为戊类，一层，</w:t>
            </w:r>
            <w:r>
              <w:rPr>
                <w:rFonts w:hint="eastAsia" w:ascii="宋体" w:hAnsi="宋体" w:cs="Tahoma"/>
                <w:color w:val="auto"/>
                <w:sz w:val="21"/>
                <w:szCs w:val="21"/>
              </w:rPr>
              <w:t>面积2475</w:t>
            </w:r>
            <w:r>
              <w:rPr>
                <w:rFonts w:hint="eastAsia" w:ascii="宋体" w:hAnsi="宋体"/>
                <w:bCs/>
                <w:color w:val="auto"/>
                <w:kern w:val="0"/>
                <w:sz w:val="21"/>
                <w:szCs w:val="21"/>
              </w:rPr>
              <w:t>m</w:t>
            </w:r>
            <w:r>
              <w:rPr>
                <w:rFonts w:hint="eastAsia" w:ascii="宋体" w:hAnsi="宋体"/>
                <w:bCs/>
                <w:color w:val="auto"/>
                <w:kern w:val="0"/>
                <w:sz w:val="21"/>
                <w:szCs w:val="21"/>
                <w:vertAlign w:val="superscript"/>
              </w:rPr>
              <w:t>2</w:t>
            </w:r>
            <w:r>
              <w:rPr>
                <w:rFonts w:hint="eastAsia" w:ascii="宋体" w:hAnsi="宋体"/>
                <w:bCs/>
                <w:color w:val="auto"/>
                <w:sz w:val="21"/>
                <w:szCs w:val="21"/>
              </w:rPr>
              <w:t>符合表3.3.2</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3</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除本规范另有规定外，不同耐火等级建筑的允许建筑高度或层数、防火分区最大允许建筑面积应符合表5.3.1的规定。</w:t>
            </w:r>
          </w:p>
        </w:tc>
        <w:tc>
          <w:tcPr>
            <w:tcW w:w="2185"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《建筑设计防火规范（2018年版）》（GB50016-2014）第</w:t>
            </w:r>
            <w:r>
              <w:rPr>
                <w:rFonts w:ascii="宋体" w:hAnsi="宋体" w:cs="Tahoma"/>
                <w:color w:val="auto"/>
                <w:sz w:val="21"/>
                <w:szCs w:val="21"/>
              </w:rPr>
              <w:t>5.3.1</w:t>
            </w:r>
            <w:r>
              <w:rPr>
                <w:rFonts w:hint="eastAsia" w:ascii="宋体" w:hAnsi="宋体" w:cs="Tahoma"/>
                <w:color w:val="auto"/>
                <w:sz w:val="21"/>
                <w:szCs w:val="21"/>
              </w:rPr>
              <w:t>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color w:val="auto"/>
                <w:kern w:val="0"/>
                <w:sz w:val="21"/>
                <w:szCs w:val="21"/>
              </w:rPr>
              <w:t>焙烧厂房</w:t>
            </w:r>
            <w:r>
              <w:rPr>
                <w:rFonts w:hint="eastAsia" w:ascii="宋体" w:hAnsi="宋体"/>
                <w:bCs/>
                <w:color w:val="auto"/>
                <w:sz w:val="21"/>
                <w:szCs w:val="21"/>
              </w:rPr>
              <w:t>、</w:t>
            </w:r>
            <w:r>
              <w:rPr>
                <w:rFonts w:hint="eastAsia" w:ascii="宋体" w:hAnsi="宋体"/>
                <w:color w:val="auto"/>
                <w:kern w:val="0"/>
                <w:sz w:val="21"/>
                <w:szCs w:val="21"/>
              </w:rPr>
              <w:t>原料仓库</w:t>
            </w:r>
            <w:r>
              <w:rPr>
                <w:rFonts w:hint="eastAsia" w:ascii="宋体" w:hAnsi="宋体"/>
                <w:bCs/>
                <w:color w:val="auto"/>
                <w:sz w:val="21"/>
                <w:szCs w:val="21"/>
              </w:rPr>
              <w:t>等的防火分区满足规范要求。</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4</w:t>
            </w:r>
          </w:p>
        </w:tc>
        <w:tc>
          <w:tcPr>
            <w:tcW w:w="3972"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olor w:val="auto"/>
                <w:sz w:val="21"/>
                <w:szCs w:val="21"/>
              </w:rPr>
              <w:t>厂房内任一点至最近安全出口的直线距离不应大于表3.7.4的规定。</w:t>
            </w:r>
          </w:p>
        </w:tc>
        <w:tc>
          <w:tcPr>
            <w:tcW w:w="2185" w:type="dxa"/>
            <w:vAlign w:val="center"/>
          </w:tcPr>
          <w:p>
            <w:pPr>
              <w:topLinePunct/>
              <w:adjustRightInd/>
              <w:snapToGrid/>
              <w:spacing w:line="240" w:lineRule="auto"/>
              <w:ind w:firstLine="0" w:firstLineChars="0"/>
              <w:contextualSpacing/>
              <w:jc w:val="left"/>
              <w:rPr>
                <w:rFonts w:ascii="宋体" w:hAnsi="宋体" w:cs="Tahoma"/>
                <w:color w:val="auto"/>
                <w:sz w:val="21"/>
                <w:szCs w:val="21"/>
              </w:rPr>
            </w:pPr>
            <w:r>
              <w:rPr>
                <w:rFonts w:hint="eastAsia" w:ascii="宋体" w:hAnsi="宋体" w:cs="Tahoma"/>
                <w:color w:val="auto"/>
                <w:sz w:val="21"/>
                <w:szCs w:val="21"/>
              </w:rPr>
              <w:t>《建筑设计防火规范（2018年版）》（GB50016-2014）第</w:t>
            </w:r>
            <w:r>
              <w:rPr>
                <w:rFonts w:hint="eastAsia" w:ascii="宋体" w:hAnsi="宋体"/>
                <w:color w:val="auto"/>
                <w:sz w:val="21"/>
                <w:szCs w:val="21"/>
              </w:rPr>
              <w:t>3.7.4</w:t>
            </w:r>
            <w:r>
              <w:rPr>
                <w:rFonts w:hint="eastAsia" w:ascii="宋体" w:hAnsi="宋体" w:cs="Tahoma"/>
                <w:color w:val="auto"/>
                <w:sz w:val="21"/>
                <w:szCs w:val="21"/>
              </w:rPr>
              <w:t>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项目设置3个安全出口，</w:t>
            </w:r>
            <w:r>
              <w:rPr>
                <w:rFonts w:hint="eastAsia" w:ascii="宋体" w:hAnsi="宋体"/>
                <w:color w:val="auto"/>
                <w:sz w:val="21"/>
                <w:szCs w:val="21"/>
              </w:rPr>
              <w:t>厂房内任一点至最近安全出口的直线距离小于表3.7.4的规定</w:t>
            </w:r>
            <w:r>
              <w:rPr>
                <w:rFonts w:hint="eastAsia" w:ascii="宋体" w:hAnsi="宋体"/>
                <w:bCs/>
                <w:color w:val="auto"/>
                <w:sz w:val="21"/>
                <w:szCs w:val="21"/>
              </w:rPr>
              <w:t>，</w:t>
            </w:r>
            <w:r>
              <w:rPr>
                <w:rFonts w:hint="eastAsia" w:ascii="宋体" w:hAnsi="宋体"/>
                <w:color w:val="auto"/>
                <w:sz w:val="21"/>
                <w:szCs w:val="21"/>
              </w:rPr>
              <w:t>详见报告F6.47</w:t>
            </w:r>
            <w:r>
              <w:rPr>
                <w:rFonts w:hint="eastAsia" w:ascii="宋体" w:hAnsi="宋体"/>
                <w:bCs/>
                <w:color w:val="auto"/>
                <w:sz w:val="21"/>
                <w:szCs w:val="21"/>
              </w:rPr>
              <w:t>。</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2" w:type="dxa"/>
            <w:vAlign w:val="center"/>
          </w:tcPr>
          <w:p>
            <w:pPr>
              <w:topLinePunct/>
              <w:adjustRightInd/>
              <w:snapToGrid/>
              <w:spacing w:line="240" w:lineRule="auto"/>
              <w:ind w:firstLine="0" w:firstLineChars="0"/>
              <w:contextualSpacing/>
              <w:jc w:val="center"/>
              <w:rPr>
                <w:rFonts w:ascii="宋体" w:hAnsi="宋体"/>
                <w:bCs/>
                <w:color w:val="auto"/>
                <w:sz w:val="21"/>
                <w:szCs w:val="21"/>
              </w:rPr>
            </w:pPr>
            <w:r>
              <w:rPr>
                <w:rFonts w:hint="eastAsia" w:ascii="宋体" w:hAnsi="宋体"/>
                <w:bCs/>
                <w:color w:val="auto"/>
                <w:sz w:val="21"/>
                <w:szCs w:val="21"/>
              </w:rPr>
              <w:t>5</w:t>
            </w:r>
          </w:p>
        </w:tc>
        <w:tc>
          <w:tcPr>
            <w:tcW w:w="3972"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ascii="宋体" w:hAnsi="宋体" w:cs="Tahoma"/>
                <w:color w:val="auto"/>
                <w:sz w:val="21"/>
                <w:szCs w:val="21"/>
              </w:rPr>
              <w:t>厂房内疏散楼梯、走道、门的各自总净宽度，应根据疏散人算按每100人的最小疏散净宽度不小于表3.7.5条的规定计算。但疏散楼梯的最小净宽度不宜小于1.10m，疏散走道的最小净宽度不宜小于1.40m，门的最小净宽度不宜小于0.90m。当每层疏散人数不相等时，疏散楼梯的总净宽度应分层计算。</w:t>
            </w:r>
          </w:p>
        </w:tc>
        <w:tc>
          <w:tcPr>
            <w:tcW w:w="2185" w:type="dxa"/>
            <w:vAlign w:val="center"/>
          </w:tcPr>
          <w:p>
            <w:pPr>
              <w:topLinePunct/>
              <w:adjustRightInd/>
              <w:snapToGrid/>
              <w:spacing w:line="240" w:lineRule="auto"/>
              <w:ind w:firstLine="0" w:firstLineChars="0"/>
              <w:contextualSpacing/>
              <w:jc w:val="left"/>
              <w:rPr>
                <w:rFonts w:ascii="宋体" w:hAnsi="宋体"/>
                <w:color w:val="auto"/>
                <w:sz w:val="21"/>
                <w:szCs w:val="21"/>
              </w:rPr>
            </w:pPr>
            <w:r>
              <w:rPr>
                <w:rFonts w:hint="eastAsia"/>
                <w:color w:val="000000" w:themeColor="text1"/>
                <w:sz w:val="21"/>
                <w:szCs w:val="21"/>
              </w:rPr>
              <w:t>《建筑设计防火规范（2018年版）》（GB50016-2014）第</w:t>
            </w:r>
            <w:r>
              <w:rPr>
                <w:rFonts w:hint="eastAsia" w:ascii="宋体" w:hAnsi="宋体" w:cs="宋体"/>
                <w:color w:val="auto"/>
                <w:kern w:val="0"/>
                <w:sz w:val="21"/>
                <w:szCs w:val="21"/>
              </w:rPr>
              <w:t>3.7.5条</w:t>
            </w:r>
          </w:p>
        </w:tc>
        <w:tc>
          <w:tcPr>
            <w:tcW w:w="1475"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现场检查：厂房内疏散楼梯、走道、门各自总净宽度满足要求。</w:t>
            </w:r>
          </w:p>
        </w:tc>
        <w:tc>
          <w:tcPr>
            <w:tcW w:w="694" w:type="dxa"/>
            <w:vAlign w:val="center"/>
          </w:tcPr>
          <w:p>
            <w:pPr>
              <w:topLinePunct/>
              <w:adjustRightInd/>
              <w:snapToGrid/>
              <w:spacing w:line="240" w:lineRule="auto"/>
              <w:ind w:firstLine="0" w:firstLineChars="0"/>
              <w:contextualSpacing/>
              <w:jc w:val="left"/>
              <w:rPr>
                <w:rFonts w:ascii="宋体" w:hAnsi="宋体"/>
                <w:bCs/>
                <w:color w:val="auto"/>
                <w:sz w:val="21"/>
                <w:szCs w:val="21"/>
              </w:rPr>
            </w:pPr>
            <w:r>
              <w:rPr>
                <w:rFonts w:hint="eastAsia" w:ascii="宋体" w:hAnsi="宋体"/>
                <w:bCs/>
                <w:color w:val="auto"/>
                <w:sz w:val="21"/>
                <w:szCs w:val="21"/>
              </w:rPr>
              <w:t>符合要求</w:t>
            </w:r>
          </w:p>
        </w:tc>
      </w:tr>
    </w:tbl>
    <w:p>
      <w:pPr>
        <w:ind w:firstLine="0" w:firstLineChars="0"/>
        <w:rPr>
          <w:color w:val="000000" w:themeColor="text1"/>
        </w:rPr>
      </w:pPr>
    </w:p>
    <w:p>
      <w:pPr>
        <w:ind w:firstLine="560"/>
        <w:rPr>
          <w:color w:val="000000" w:themeColor="text1"/>
        </w:rPr>
      </w:pPr>
      <w:r>
        <w:rPr>
          <w:rFonts w:hint="eastAsia"/>
          <w:color w:val="000000" w:themeColor="text1"/>
        </w:rPr>
        <w:t>通过检查表评价可知：企业总平面布置符合《化工企业安全卫生设计规范》（HG20571-2014）、《工业企业总平面设计规范》（GB50187-2012）、《建筑设计防火规范（2018年版）》（GB50016-2014）等标准规范的要求。</w:t>
      </w:r>
    </w:p>
    <w:p>
      <w:pPr>
        <w:pStyle w:val="4"/>
        <w:ind w:firstLine="562"/>
      </w:pPr>
      <w:bookmarkStart w:id="4052" w:name="_Toc1692"/>
      <w:bookmarkStart w:id="4053" w:name="_Toc16166"/>
      <w:bookmarkStart w:id="4054" w:name="_Toc1166"/>
      <w:bookmarkStart w:id="4055" w:name="_Toc28428"/>
      <w:bookmarkStart w:id="4056" w:name="_Toc28652"/>
      <w:bookmarkStart w:id="4057" w:name="_Toc7614"/>
      <w:bookmarkStart w:id="4058" w:name="_Toc28576"/>
      <w:bookmarkStart w:id="4059" w:name="_Toc3309"/>
      <w:bookmarkStart w:id="4060" w:name="_Toc12069"/>
      <w:bookmarkStart w:id="4061" w:name="_Toc7746"/>
      <w:bookmarkStart w:id="4062" w:name="_Toc20996"/>
      <w:bookmarkStart w:id="4063" w:name="_Toc4217"/>
      <w:bookmarkStart w:id="4064" w:name="_Toc12777"/>
      <w:bookmarkStart w:id="4065" w:name="_Toc17197"/>
      <w:bookmarkStart w:id="4066" w:name="_Toc5403"/>
      <w:bookmarkStart w:id="4067" w:name="_Toc29540"/>
      <w:bookmarkStart w:id="4068" w:name="_Toc17664"/>
      <w:bookmarkStart w:id="4069" w:name="_Toc30801"/>
      <w:bookmarkStart w:id="4070" w:name="_Toc15487"/>
      <w:bookmarkStart w:id="4071" w:name="_Toc5620"/>
      <w:bookmarkStart w:id="4072" w:name="_Toc28189"/>
      <w:bookmarkStart w:id="4073" w:name="_Toc32333"/>
      <w:bookmarkStart w:id="4074" w:name="_Toc128056527"/>
      <w:bookmarkStart w:id="4075" w:name="_Toc20634"/>
      <w:bookmarkStart w:id="4076" w:name="_Toc2336"/>
      <w:bookmarkStart w:id="4077" w:name="_Toc31000"/>
      <w:r>
        <w:rPr>
          <w:rFonts w:hint="eastAsia"/>
        </w:rPr>
        <w:t>F4.1.2 厂内建构筑物与周边建筑物距离检查表</w:t>
      </w:r>
      <w:bookmarkEnd w:id="4052"/>
      <w:bookmarkEnd w:id="4053"/>
      <w:bookmarkEnd w:id="4054"/>
      <w:bookmarkEnd w:id="4055"/>
      <w:bookmarkEnd w:id="4056"/>
      <w:bookmarkEnd w:id="4057"/>
      <w:bookmarkEnd w:id="4058"/>
      <w:bookmarkEnd w:id="4059"/>
      <w:bookmarkEnd w:id="4060"/>
      <w:bookmarkEnd w:id="4061"/>
      <w:bookmarkEnd w:id="4062"/>
      <w:bookmarkEnd w:id="4063"/>
      <w:bookmarkEnd w:id="4064"/>
      <w:bookmarkEnd w:id="4065"/>
      <w:bookmarkEnd w:id="4066"/>
      <w:bookmarkEnd w:id="4067"/>
      <w:bookmarkEnd w:id="4068"/>
      <w:bookmarkEnd w:id="4069"/>
      <w:bookmarkEnd w:id="4070"/>
      <w:bookmarkEnd w:id="4071"/>
      <w:bookmarkEnd w:id="4072"/>
      <w:bookmarkEnd w:id="4073"/>
      <w:bookmarkEnd w:id="4074"/>
      <w:bookmarkEnd w:id="4075"/>
      <w:bookmarkEnd w:id="4076"/>
      <w:bookmarkEnd w:id="4077"/>
    </w:p>
    <w:p>
      <w:pPr>
        <w:widowControl/>
        <w:topLinePunct/>
        <w:ind w:firstLine="560"/>
        <w:textAlignment w:val="baseline"/>
        <w:rPr>
          <w:rFonts w:ascii="宋体" w:hAnsi="宋体"/>
          <w:color w:val="auto"/>
          <w:szCs w:val="28"/>
          <w:u w:color="000000"/>
        </w:rPr>
      </w:pPr>
      <w:r>
        <w:rPr>
          <w:rFonts w:hint="eastAsia" w:ascii="宋体" w:hAnsi="宋体"/>
          <w:color w:val="auto"/>
        </w:rPr>
        <w:t>经安全评价人员现场测量调查，</w:t>
      </w:r>
      <w:r>
        <w:rPr>
          <w:rFonts w:hint="eastAsia" w:ascii="宋体" w:hAnsi="宋体"/>
          <w:color w:val="auto"/>
          <w:szCs w:val="28"/>
          <w:u w:color="000000"/>
        </w:rPr>
        <w:t>跃进化工厂址所属的行政区是漾濞彝族自治县顺濞镇顺濞村委会，位于顺濞村委会的大利市村东南约328m；</w:t>
      </w:r>
    </w:p>
    <w:p>
      <w:pPr>
        <w:widowControl/>
        <w:topLinePunct/>
        <w:ind w:firstLine="560"/>
        <w:textAlignment w:val="baseline"/>
        <w:rPr>
          <w:rFonts w:ascii="宋体" w:hAnsi="宋体"/>
          <w:color w:val="auto"/>
          <w:szCs w:val="28"/>
          <w:u w:color="000000"/>
        </w:rPr>
      </w:pPr>
      <w:r>
        <w:rPr>
          <w:rFonts w:hint="eastAsia" w:ascii="宋体" w:hAnsi="宋体"/>
          <w:color w:val="auto"/>
          <w:szCs w:val="28"/>
          <w:u w:color="000000"/>
        </w:rPr>
        <w:t>北面：厂区紧邻国道320，国道320北面为山地，130米半山有2户民居。</w:t>
      </w:r>
    </w:p>
    <w:p>
      <w:pPr>
        <w:widowControl/>
        <w:topLinePunct/>
        <w:ind w:firstLine="560"/>
        <w:textAlignment w:val="baseline"/>
        <w:rPr>
          <w:rFonts w:ascii="宋体" w:hAnsi="宋体"/>
          <w:color w:val="auto"/>
          <w:szCs w:val="28"/>
          <w:u w:color="000000"/>
        </w:rPr>
      </w:pPr>
      <w:r>
        <w:rPr>
          <w:rFonts w:hint="eastAsia" w:ascii="宋体" w:hAnsi="宋体"/>
          <w:color w:val="auto"/>
          <w:szCs w:val="28"/>
          <w:u w:color="000000"/>
        </w:rPr>
        <w:t>南面：紧邻顺濞河，60米处为杭瑞高速公路及山林。</w:t>
      </w:r>
    </w:p>
    <w:p>
      <w:pPr>
        <w:widowControl/>
        <w:topLinePunct/>
        <w:ind w:firstLine="560"/>
        <w:textAlignment w:val="baseline"/>
        <w:rPr>
          <w:rFonts w:ascii="宋体" w:hAnsi="宋体"/>
          <w:color w:val="auto"/>
          <w:szCs w:val="28"/>
          <w:u w:color="000000"/>
        </w:rPr>
      </w:pPr>
      <w:r>
        <w:rPr>
          <w:rFonts w:hint="eastAsia" w:ascii="宋体" w:hAnsi="宋体"/>
          <w:color w:val="auto"/>
          <w:szCs w:val="28"/>
          <w:u w:color="000000"/>
        </w:rPr>
        <w:t>西面：为空地。西南面328米有一民房。</w:t>
      </w:r>
    </w:p>
    <w:p>
      <w:pPr>
        <w:widowControl/>
        <w:topLinePunct/>
        <w:ind w:firstLine="560"/>
        <w:textAlignment w:val="baseline"/>
        <w:rPr>
          <w:rFonts w:ascii="宋体" w:hAnsi="宋体"/>
          <w:color w:val="auto"/>
          <w:szCs w:val="28"/>
          <w:u w:color="000000"/>
        </w:rPr>
      </w:pPr>
      <w:r>
        <w:rPr>
          <w:rFonts w:hint="eastAsia" w:ascii="宋体" w:hAnsi="宋体"/>
          <w:color w:val="auto"/>
          <w:szCs w:val="28"/>
          <w:u w:color="000000"/>
        </w:rPr>
        <w:t>东面：246米处为顺濞镇民房。东南面395米有一民房。</w:t>
      </w:r>
    </w:p>
    <w:p>
      <w:pPr>
        <w:widowControl/>
        <w:topLinePunct/>
        <w:ind w:firstLine="560"/>
        <w:textAlignment w:val="baseline"/>
        <w:rPr>
          <w:rFonts w:ascii="宋体" w:hAnsi="宋体"/>
          <w:color w:val="000000" w:themeColor="text1"/>
          <w:szCs w:val="28"/>
          <w:u w:color="000000"/>
        </w:rPr>
      </w:pPr>
      <w:r>
        <w:rPr>
          <w:rFonts w:hint="eastAsia" w:ascii="宋体" w:hAnsi="宋体"/>
          <w:color w:val="auto"/>
          <w:szCs w:val="28"/>
          <w:u w:color="000000"/>
        </w:rPr>
        <w:t>常年主导风向西南风，下风向2km内主要是山林，无农作物，上风向2km内均是山林。厂区附近1km内无工矿企业、人口稠密区，无自然保护区、水源保护区、古树名木、国家保护珍稀动植物，无文物保护单位、公共设施、水厂、车站、码头、军事禁区等。</w:t>
      </w:r>
      <w:r>
        <w:rPr>
          <w:rFonts w:hint="eastAsia" w:ascii="宋体" w:hAnsi="宋体"/>
          <w:color w:val="000000" w:themeColor="text1"/>
          <w:szCs w:val="28"/>
          <w:u w:color="000000"/>
        </w:rPr>
        <w:t>依据《建筑设计防火规范（2018年版）》（GB50016-2014）生产厂房与</w:t>
      </w:r>
      <w:r>
        <w:rPr>
          <w:rFonts w:hint="eastAsia" w:ascii="宋体" w:hAnsi="宋体"/>
          <w:color w:val="000000" w:themeColor="text1"/>
        </w:rPr>
        <w:t>周边企业、建构筑</w:t>
      </w:r>
      <w:r>
        <w:rPr>
          <w:rFonts w:hint="eastAsia" w:ascii="宋体" w:hAnsi="宋体"/>
          <w:color w:val="000000" w:themeColor="text1"/>
          <w:szCs w:val="28"/>
          <w:u w:color="000000"/>
        </w:rPr>
        <w:t>安全距离见F表4.1-2：</w:t>
      </w:r>
    </w:p>
    <w:p>
      <w:pPr>
        <w:pStyle w:val="54"/>
        <w:rPr>
          <w:rFonts w:hint="default" w:ascii="宋体" w:hAnsi="宋体"/>
          <w:color w:val="000000" w:themeColor="text1"/>
          <w:szCs w:val="28"/>
          <w:u w:color="000000"/>
        </w:rPr>
      </w:pPr>
    </w:p>
    <w:p>
      <w:pPr>
        <w:pStyle w:val="54"/>
        <w:rPr>
          <w:rFonts w:hint="default" w:ascii="宋体" w:hAnsi="宋体"/>
          <w:color w:val="000000" w:themeColor="text1"/>
          <w:szCs w:val="28"/>
          <w:u w:color="000000"/>
        </w:rPr>
      </w:pPr>
    </w:p>
    <w:p>
      <w:pPr>
        <w:pStyle w:val="54"/>
        <w:rPr>
          <w:rFonts w:hint="default" w:ascii="宋体" w:hAnsi="宋体"/>
          <w:color w:val="000000" w:themeColor="text1"/>
          <w:szCs w:val="28"/>
          <w:u w:color="000000"/>
        </w:rPr>
      </w:pPr>
    </w:p>
    <w:p>
      <w:pPr>
        <w:pStyle w:val="54"/>
        <w:rPr>
          <w:rFonts w:hint="default" w:ascii="宋体" w:hAnsi="宋体"/>
          <w:color w:val="000000" w:themeColor="text1"/>
          <w:szCs w:val="28"/>
          <w:u w:color="000000"/>
        </w:rPr>
      </w:pPr>
    </w:p>
    <w:p>
      <w:pPr>
        <w:pStyle w:val="92"/>
        <w:rPr>
          <w:sz w:val="24"/>
          <w:szCs w:val="24"/>
        </w:rPr>
      </w:pPr>
      <w:r>
        <w:rPr>
          <w:rFonts w:hint="eastAsia"/>
          <w:sz w:val="24"/>
          <w:szCs w:val="24"/>
        </w:rPr>
        <w:t>F</w:t>
      </w:r>
      <w:r>
        <w:rPr>
          <w:sz w:val="24"/>
          <w:szCs w:val="24"/>
        </w:rPr>
        <w:t>表</w:t>
      </w:r>
      <w:r>
        <w:rPr>
          <w:rFonts w:hint="eastAsia"/>
          <w:sz w:val="24"/>
          <w:szCs w:val="24"/>
        </w:rPr>
        <w:t>4.1-2 生产厂房与周边企业、建构筑安全距离表</w:t>
      </w:r>
    </w:p>
    <w:tbl>
      <w:tblPr>
        <w:tblStyle w:val="3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593"/>
        <w:gridCol w:w="992"/>
        <w:gridCol w:w="1160"/>
        <w:gridCol w:w="825"/>
        <w:gridCol w:w="850"/>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序号</w:t>
            </w:r>
          </w:p>
        </w:tc>
        <w:tc>
          <w:tcPr>
            <w:tcW w:w="1593"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周边设施</w:t>
            </w:r>
          </w:p>
        </w:tc>
        <w:tc>
          <w:tcPr>
            <w:tcW w:w="992"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方位</w:t>
            </w:r>
          </w:p>
        </w:tc>
        <w:tc>
          <w:tcPr>
            <w:tcW w:w="1160"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规范防火间距/m</w:t>
            </w:r>
          </w:p>
        </w:tc>
        <w:tc>
          <w:tcPr>
            <w:tcW w:w="825"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实测距离/m</w:t>
            </w:r>
          </w:p>
        </w:tc>
        <w:tc>
          <w:tcPr>
            <w:tcW w:w="850"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合规性</w:t>
            </w:r>
          </w:p>
        </w:tc>
        <w:tc>
          <w:tcPr>
            <w:tcW w:w="2835" w:type="dxa"/>
            <w:shd w:val="clear" w:color="auto" w:fill="auto"/>
            <w:vAlign w:val="center"/>
          </w:tcPr>
          <w:p>
            <w:pPr>
              <w:tabs>
                <w:tab w:val="left" w:pos="2235"/>
              </w:tabs>
              <w:spacing w:line="240" w:lineRule="auto"/>
              <w:ind w:firstLine="0" w:firstLineChars="0"/>
              <w:jc w:val="center"/>
              <w:rPr>
                <w:b/>
                <w:color w:val="auto"/>
                <w:sz w:val="21"/>
                <w:szCs w:val="21"/>
              </w:rPr>
            </w:pPr>
            <w:r>
              <w:rPr>
                <w:rFonts w:hint="eastAsia"/>
                <w:b/>
                <w:color w:val="auto"/>
                <w:sz w:val="21"/>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1</w:t>
            </w:r>
          </w:p>
        </w:tc>
        <w:tc>
          <w:tcPr>
            <w:tcW w:w="1593"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u w:color="000000"/>
              </w:rPr>
              <w:t>民房</w:t>
            </w:r>
          </w:p>
        </w:tc>
        <w:tc>
          <w:tcPr>
            <w:tcW w:w="992"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东</w:t>
            </w:r>
            <w:r>
              <w:rPr>
                <w:color w:val="auto"/>
                <w:sz w:val="21"/>
                <w:szCs w:val="21"/>
              </w:rPr>
              <w:t>面</w:t>
            </w:r>
          </w:p>
        </w:tc>
        <w:tc>
          <w:tcPr>
            <w:tcW w:w="1160"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2</w:t>
            </w:r>
            <w:r>
              <w:rPr>
                <w:b/>
                <w:bCs/>
                <w:color w:val="auto"/>
                <w:sz w:val="21"/>
                <w:szCs w:val="21"/>
              </w:rPr>
              <w:t>5</w:t>
            </w:r>
          </w:p>
        </w:tc>
        <w:tc>
          <w:tcPr>
            <w:tcW w:w="825" w:type="dxa"/>
            <w:shd w:val="clear" w:color="auto" w:fill="auto"/>
            <w:vAlign w:val="center"/>
          </w:tcPr>
          <w:p>
            <w:pPr>
              <w:tabs>
                <w:tab w:val="left" w:pos="2235"/>
              </w:tabs>
              <w:spacing w:line="240" w:lineRule="auto"/>
              <w:ind w:firstLine="0" w:firstLineChars="0"/>
              <w:jc w:val="center"/>
              <w:rPr>
                <w:color w:val="auto"/>
                <w:sz w:val="21"/>
                <w:szCs w:val="21"/>
              </w:rPr>
            </w:pPr>
            <w:r>
              <w:rPr>
                <w:color w:val="auto"/>
                <w:sz w:val="21"/>
                <w:szCs w:val="21"/>
              </w:rPr>
              <w:t>246</w:t>
            </w:r>
          </w:p>
        </w:tc>
        <w:tc>
          <w:tcPr>
            <w:tcW w:w="8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符合</w:t>
            </w:r>
          </w:p>
        </w:tc>
        <w:tc>
          <w:tcPr>
            <w:tcW w:w="2835" w:type="dxa"/>
            <w:shd w:val="clear" w:color="auto" w:fill="auto"/>
            <w:vAlign w:val="center"/>
          </w:tcPr>
          <w:p>
            <w:pPr>
              <w:tabs>
                <w:tab w:val="left" w:pos="2235"/>
              </w:tabs>
              <w:spacing w:line="240" w:lineRule="auto"/>
              <w:ind w:firstLine="0" w:firstLineChars="0"/>
              <w:rPr>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2</w:t>
            </w:r>
          </w:p>
        </w:tc>
        <w:tc>
          <w:tcPr>
            <w:tcW w:w="1593"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u w:color="000000"/>
              </w:rPr>
              <w:t>民房</w:t>
            </w:r>
          </w:p>
        </w:tc>
        <w:tc>
          <w:tcPr>
            <w:tcW w:w="992"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西</w:t>
            </w:r>
            <w:r>
              <w:rPr>
                <w:color w:val="auto"/>
                <w:sz w:val="21"/>
                <w:szCs w:val="21"/>
              </w:rPr>
              <w:t>面</w:t>
            </w:r>
          </w:p>
        </w:tc>
        <w:tc>
          <w:tcPr>
            <w:tcW w:w="1160"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2</w:t>
            </w:r>
            <w:r>
              <w:rPr>
                <w:b/>
                <w:bCs/>
                <w:color w:val="auto"/>
                <w:sz w:val="21"/>
                <w:szCs w:val="21"/>
              </w:rPr>
              <w:t>5</w:t>
            </w:r>
          </w:p>
        </w:tc>
        <w:tc>
          <w:tcPr>
            <w:tcW w:w="825" w:type="dxa"/>
            <w:shd w:val="clear" w:color="auto" w:fill="auto"/>
            <w:vAlign w:val="center"/>
          </w:tcPr>
          <w:p>
            <w:pPr>
              <w:tabs>
                <w:tab w:val="left" w:pos="2235"/>
              </w:tabs>
              <w:spacing w:line="240" w:lineRule="auto"/>
              <w:ind w:firstLine="0" w:firstLineChars="0"/>
              <w:jc w:val="center"/>
              <w:rPr>
                <w:color w:val="auto"/>
                <w:sz w:val="21"/>
                <w:szCs w:val="21"/>
              </w:rPr>
            </w:pPr>
            <w:r>
              <w:rPr>
                <w:color w:val="auto"/>
                <w:sz w:val="21"/>
                <w:szCs w:val="21"/>
              </w:rPr>
              <w:t>328</w:t>
            </w:r>
          </w:p>
        </w:tc>
        <w:tc>
          <w:tcPr>
            <w:tcW w:w="8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符合</w:t>
            </w:r>
          </w:p>
        </w:tc>
        <w:tc>
          <w:tcPr>
            <w:tcW w:w="2835" w:type="dxa"/>
            <w:shd w:val="clear" w:color="auto" w:fill="auto"/>
            <w:vAlign w:val="center"/>
          </w:tcPr>
          <w:p>
            <w:pPr>
              <w:tabs>
                <w:tab w:val="left" w:pos="2235"/>
              </w:tabs>
              <w:spacing w:line="240" w:lineRule="auto"/>
              <w:ind w:firstLine="0" w:firstLineChars="0"/>
              <w:rPr>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3</w:t>
            </w:r>
          </w:p>
        </w:tc>
        <w:tc>
          <w:tcPr>
            <w:tcW w:w="1593" w:type="dxa"/>
            <w:shd w:val="clear" w:color="auto" w:fill="auto"/>
            <w:vAlign w:val="center"/>
          </w:tcPr>
          <w:p>
            <w:pPr>
              <w:tabs>
                <w:tab w:val="left" w:pos="2235"/>
              </w:tabs>
              <w:spacing w:line="240" w:lineRule="auto"/>
              <w:ind w:firstLine="0" w:firstLineChars="0"/>
              <w:jc w:val="center"/>
              <w:rPr>
                <w:color w:val="auto"/>
                <w:sz w:val="21"/>
                <w:szCs w:val="21"/>
                <w:u w:color="000000"/>
              </w:rPr>
            </w:pPr>
            <w:r>
              <w:rPr>
                <w:rFonts w:hint="eastAsia"/>
                <w:color w:val="auto"/>
                <w:sz w:val="21"/>
                <w:szCs w:val="21"/>
                <w:u w:color="000000"/>
              </w:rPr>
              <w:t>民房</w:t>
            </w:r>
          </w:p>
        </w:tc>
        <w:tc>
          <w:tcPr>
            <w:tcW w:w="992"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北面</w:t>
            </w:r>
          </w:p>
        </w:tc>
        <w:tc>
          <w:tcPr>
            <w:tcW w:w="1160"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2</w:t>
            </w:r>
            <w:r>
              <w:rPr>
                <w:b/>
                <w:bCs/>
                <w:color w:val="auto"/>
                <w:sz w:val="21"/>
                <w:szCs w:val="21"/>
              </w:rPr>
              <w:t>5</w:t>
            </w:r>
          </w:p>
        </w:tc>
        <w:tc>
          <w:tcPr>
            <w:tcW w:w="825"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1</w:t>
            </w:r>
            <w:r>
              <w:rPr>
                <w:color w:val="auto"/>
                <w:sz w:val="21"/>
                <w:szCs w:val="21"/>
              </w:rPr>
              <w:t>30</w:t>
            </w:r>
          </w:p>
        </w:tc>
        <w:tc>
          <w:tcPr>
            <w:tcW w:w="8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符合</w:t>
            </w:r>
          </w:p>
        </w:tc>
        <w:tc>
          <w:tcPr>
            <w:tcW w:w="2835" w:type="dxa"/>
            <w:shd w:val="clear" w:color="auto" w:fill="auto"/>
            <w:vAlign w:val="center"/>
          </w:tcPr>
          <w:p>
            <w:pPr>
              <w:tabs>
                <w:tab w:val="left" w:pos="2235"/>
              </w:tabs>
              <w:spacing w:line="240" w:lineRule="auto"/>
              <w:ind w:firstLine="0" w:firstLineChars="0"/>
              <w:rPr>
                <w:color w:val="auto"/>
                <w:sz w:val="21"/>
                <w:szCs w:val="21"/>
              </w:rPr>
            </w:pPr>
            <w:r>
              <w:rPr>
                <w:rFonts w:hint="eastAsia" w:ascii="宋体" w:hAnsi="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4</w:t>
            </w:r>
          </w:p>
        </w:tc>
        <w:tc>
          <w:tcPr>
            <w:tcW w:w="1593" w:type="dxa"/>
            <w:shd w:val="clear" w:color="auto" w:fill="auto"/>
            <w:vAlign w:val="center"/>
          </w:tcPr>
          <w:p>
            <w:pPr>
              <w:tabs>
                <w:tab w:val="left" w:pos="2235"/>
              </w:tabs>
              <w:spacing w:line="240" w:lineRule="auto"/>
              <w:ind w:firstLine="0" w:firstLineChars="0"/>
              <w:jc w:val="center"/>
              <w:rPr>
                <w:color w:val="auto"/>
                <w:sz w:val="21"/>
                <w:szCs w:val="21"/>
                <w:u w:color="000000"/>
              </w:rPr>
            </w:pPr>
            <w:r>
              <w:rPr>
                <w:rFonts w:hint="eastAsia"/>
                <w:color w:val="auto"/>
                <w:sz w:val="21"/>
                <w:szCs w:val="21"/>
                <w:u w:color="000000"/>
              </w:rPr>
              <w:t>G</w:t>
            </w:r>
            <w:r>
              <w:rPr>
                <w:color w:val="auto"/>
                <w:sz w:val="21"/>
                <w:szCs w:val="21"/>
                <w:u w:color="000000"/>
              </w:rPr>
              <w:t>320</w:t>
            </w:r>
            <w:r>
              <w:rPr>
                <w:rFonts w:hint="eastAsia"/>
                <w:color w:val="auto"/>
                <w:sz w:val="21"/>
                <w:szCs w:val="21"/>
                <w:u w:color="000000"/>
              </w:rPr>
              <w:t>国道</w:t>
            </w:r>
          </w:p>
        </w:tc>
        <w:tc>
          <w:tcPr>
            <w:tcW w:w="992"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北面</w:t>
            </w:r>
          </w:p>
        </w:tc>
        <w:tc>
          <w:tcPr>
            <w:tcW w:w="1160"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2</w:t>
            </w:r>
            <w:r>
              <w:rPr>
                <w:b/>
                <w:bCs/>
                <w:color w:val="auto"/>
                <w:sz w:val="21"/>
                <w:szCs w:val="21"/>
              </w:rPr>
              <w:t>0</w:t>
            </w:r>
          </w:p>
        </w:tc>
        <w:tc>
          <w:tcPr>
            <w:tcW w:w="825" w:type="dxa"/>
            <w:shd w:val="clear" w:color="auto" w:fill="auto"/>
            <w:vAlign w:val="center"/>
          </w:tcPr>
          <w:p>
            <w:pPr>
              <w:tabs>
                <w:tab w:val="left" w:pos="2235"/>
              </w:tabs>
              <w:spacing w:line="240" w:lineRule="auto"/>
              <w:ind w:firstLine="0" w:firstLineChars="0"/>
              <w:jc w:val="center"/>
              <w:rPr>
                <w:color w:val="auto"/>
                <w:sz w:val="21"/>
                <w:szCs w:val="21"/>
              </w:rPr>
            </w:pPr>
            <w:r>
              <w:rPr>
                <w:color w:val="auto"/>
                <w:sz w:val="21"/>
                <w:szCs w:val="21"/>
              </w:rPr>
              <w:t>30</w:t>
            </w:r>
          </w:p>
        </w:tc>
        <w:tc>
          <w:tcPr>
            <w:tcW w:w="8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符合</w:t>
            </w:r>
          </w:p>
        </w:tc>
        <w:tc>
          <w:tcPr>
            <w:tcW w:w="2835" w:type="dxa"/>
            <w:shd w:val="clear" w:color="auto" w:fill="auto"/>
            <w:vAlign w:val="center"/>
          </w:tcPr>
          <w:p>
            <w:pPr>
              <w:tabs>
                <w:tab w:val="left" w:pos="2235"/>
              </w:tabs>
              <w:spacing w:line="240" w:lineRule="auto"/>
              <w:ind w:firstLine="0" w:firstLineChars="0"/>
              <w:rPr>
                <w:color w:val="auto"/>
                <w:sz w:val="21"/>
                <w:szCs w:val="21"/>
              </w:rPr>
            </w:pPr>
            <w:r>
              <w:rPr>
                <w:rFonts w:hint="eastAsia"/>
                <w:color w:val="auto"/>
                <w:sz w:val="21"/>
                <w:szCs w:val="21"/>
              </w:rPr>
              <w:t>《公路安全保护条例》（中华人民共和国国务院令 第</w:t>
            </w:r>
            <w:r>
              <w:rPr>
                <w:color w:val="auto"/>
                <w:sz w:val="21"/>
                <w:szCs w:val="21"/>
              </w:rPr>
              <w:t>593号</w:t>
            </w:r>
            <w:r>
              <w:rPr>
                <w:rFonts w:hint="eastAsia"/>
                <w:color w:val="auto"/>
                <w:sz w:val="21"/>
                <w:szCs w:val="21"/>
              </w:rPr>
              <w:t>）第十一条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5</w:t>
            </w:r>
          </w:p>
        </w:tc>
        <w:tc>
          <w:tcPr>
            <w:tcW w:w="1593" w:type="dxa"/>
            <w:shd w:val="clear" w:color="auto" w:fill="auto"/>
            <w:vAlign w:val="center"/>
          </w:tcPr>
          <w:p>
            <w:pPr>
              <w:tabs>
                <w:tab w:val="left" w:pos="2235"/>
              </w:tabs>
              <w:spacing w:line="240" w:lineRule="auto"/>
              <w:ind w:firstLine="0" w:firstLineChars="0"/>
              <w:jc w:val="center"/>
              <w:rPr>
                <w:color w:val="auto"/>
                <w:sz w:val="21"/>
                <w:szCs w:val="21"/>
                <w:u w:color="000000"/>
              </w:rPr>
            </w:pPr>
            <w:r>
              <w:rPr>
                <w:rFonts w:hint="eastAsia"/>
                <w:color w:val="auto"/>
                <w:sz w:val="21"/>
                <w:szCs w:val="21"/>
                <w:u w:color="000000"/>
              </w:rPr>
              <w:t>杭瑞高速公路</w:t>
            </w:r>
          </w:p>
        </w:tc>
        <w:tc>
          <w:tcPr>
            <w:tcW w:w="992"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南面</w:t>
            </w:r>
          </w:p>
        </w:tc>
        <w:tc>
          <w:tcPr>
            <w:tcW w:w="1160" w:type="dxa"/>
            <w:shd w:val="clear" w:color="auto" w:fill="auto"/>
            <w:vAlign w:val="center"/>
          </w:tcPr>
          <w:p>
            <w:pPr>
              <w:tabs>
                <w:tab w:val="left" w:pos="2235"/>
              </w:tabs>
              <w:spacing w:line="240" w:lineRule="auto"/>
              <w:ind w:firstLine="0" w:firstLineChars="0"/>
              <w:jc w:val="center"/>
              <w:rPr>
                <w:b/>
                <w:bCs/>
                <w:color w:val="auto"/>
                <w:sz w:val="21"/>
                <w:szCs w:val="21"/>
              </w:rPr>
            </w:pPr>
            <w:r>
              <w:rPr>
                <w:rFonts w:hint="eastAsia"/>
                <w:b/>
                <w:bCs/>
                <w:color w:val="auto"/>
                <w:sz w:val="21"/>
                <w:szCs w:val="21"/>
              </w:rPr>
              <w:t>3</w:t>
            </w:r>
            <w:r>
              <w:rPr>
                <w:b/>
                <w:bCs/>
                <w:color w:val="auto"/>
                <w:sz w:val="21"/>
                <w:szCs w:val="21"/>
              </w:rPr>
              <w:t>0</w:t>
            </w:r>
          </w:p>
        </w:tc>
        <w:tc>
          <w:tcPr>
            <w:tcW w:w="825"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6</w:t>
            </w:r>
            <w:r>
              <w:rPr>
                <w:color w:val="auto"/>
                <w:sz w:val="21"/>
                <w:szCs w:val="21"/>
              </w:rPr>
              <w:t>0</w:t>
            </w:r>
          </w:p>
        </w:tc>
        <w:tc>
          <w:tcPr>
            <w:tcW w:w="850" w:type="dxa"/>
            <w:shd w:val="clear" w:color="auto" w:fill="auto"/>
            <w:vAlign w:val="center"/>
          </w:tcPr>
          <w:p>
            <w:pPr>
              <w:tabs>
                <w:tab w:val="left" w:pos="2235"/>
              </w:tabs>
              <w:spacing w:line="240" w:lineRule="auto"/>
              <w:ind w:firstLine="0" w:firstLineChars="0"/>
              <w:jc w:val="center"/>
              <w:rPr>
                <w:color w:val="auto"/>
                <w:sz w:val="21"/>
                <w:szCs w:val="21"/>
              </w:rPr>
            </w:pPr>
            <w:r>
              <w:rPr>
                <w:rFonts w:hint="eastAsia"/>
                <w:color w:val="auto"/>
                <w:sz w:val="21"/>
                <w:szCs w:val="21"/>
              </w:rPr>
              <w:t>符合</w:t>
            </w:r>
          </w:p>
        </w:tc>
        <w:tc>
          <w:tcPr>
            <w:tcW w:w="2835" w:type="dxa"/>
            <w:shd w:val="clear" w:color="auto" w:fill="auto"/>
            <w:vAlign w:val="center"/>
          </w:tcPr>
          <w:p>
            <w:pPr>
              <w:tabs>
                <w:tab w:val="left" w:pos="2235"/>
              </w:tabs>
              <w:spacing w:line="240" w:lineRule="auto"/>
              <w:ind w:firstLine="0" w:firstLineChars="0"/>
              <w:rPr>
                <w:color w:val="auto"/>
                <w:sz w:val="21"/>
                <w:szCs w:val="21"/>
              </w:rPr>
            </w:pPr>
            <w:r>
              <w:rPr>
                <w:rFonts w:hint="eastAsia"/>
                <w:color w:val="auto"/>
                <w:sz w:val="21"/>
                <w:szCs w:val="21"/>
              </w:rPr>
              <w:t>《公路安全保护条例》（中华人民共和国国务院令 第</w:t>
            </w:r>
            <w:r>
              <w:rPr>
                <w:color w:val="auto"/>
                <w:sz w:val="21"/>
                <w:szCs w:val="21"/>
              </w:rPr>
              <w:t>593号</w:t>
            </w:r>
            <w:r>
              <w:rPr>
                <w:rFonts w:hint="eastAsia"/>
                <w:color w:val="auto"/>
                <w:sz w:val="21"/>
                <w:szCs w:val="21"/>
              </w:rPr>
              <w:t>）第十一条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72" w:type="dxa"/>
            <w:gridSpan w:val="7"/>
            <w:shd w:val="clear" w:color="auto" w:fill="auto"/>
            <w:vAlign w:val="center"/>
          </w:tcPr>
          <w:p>
            <w:pPr>
              <w:tabs>
                <w:tab w:val="left" w:pos="2235"/>
              </w:tabs>
              <w:spacing w:line="240" w:lineRule="auto"/>
              <w:ind w:firstLine="0" w:firstLineChars="0"/>
              <w:rPr>
                <w:color w:val="auto"/>
                <w:sz w:val="21"/>
                <w:szCs w:val="21"/>
              </w:rPr>
            </w:pPr>
            <w:r>
              <w:rPr>
                <w:rFonts w:hint="eastAsia"/>
                <w:color w:val="auto"/>
                <w:sz w:val="21"/>
                <w:szCs w:val="21"/>
              </w:rPr>
              <w:t>注：①</w:t>
            </w:r>
            <w:r>
              <w:rPr>
                <w:color w:val="auto"/>
                <w:sz w:val="21"/>
                <w:szCs w:val="21"/>
              </w:rPr>
              <w:t>建（构）筑物防火间距的起算点是外墙、外缘、外壁的最近距离；</w:t>
            </w:r>
          </w:p>
          <w:p>
            <w:pPr>
              <w:tabs>
                <w:tab w:val="left" w:pos="2235"/>
              </w:tabs>
              <w:spacing w:line="240" w:lineRule="auto"/>
              <w:ind w:firstLine="0" w:firstLineChars="0"/>
              <w:rPr>
                <w:color w:val="auto"/>
                <w:sz w:val="21"/>
                <w:szCs w:val="21"/>
              </w:rPr>
            </w:pPr>
            <w:r>
              <w:rPr>
                <w:rFonts w:hint="eastAsia"/>
                <w:color w:val="auto"/>
                <w:sz w:val="21"/>
                <w:szCs w:val="21"/>
              </w:rPr>
              <w:t>②</w:t>
            </w:r>
            <w:r>
              <w:rPr>
                <w:color w:val="auto"/>
                <w:sz w:val="21"/>
                <w:szCs w:val="21"/>
              </w:rPr>
              <w:t>上表中黑体字部分为标准值；</w:t>
            </w:r>
            <w:r>
              <w:rPr>
                <w:rFonts w:hint="eastAsia"/>
                <w:color w:val="auto"/>
                <w:sz w:val="21"/>
                <w:szCs w:val="21"/>
              </w:rPr>
              <w:t>实测距离</w:t>
            </w:r>
            <w:r>
              <w:rPr>
                <w:color w:val="auto"/>
                <w:sz w:val="21"/>
                <w:szCs w:val="21"/>
              </w:rPr>
              <w:t>指距最近建构筑物之间的距离</w:t>
            </w:r>
            <w:r>
              <w:rPr>
                <w:rFonts w:hint="eastAsia"/>
                <w:color w:val="auto"/>
                <w:sz w:val="21"/>
                <w:szCs w:val="21"/>
              </w:rPr>
              <w:t>，</w:t>
            </w:r>
            <w:r>
              <w:rPr>
                <w:color w:val="auto"/>
                <w:sz w:val="21"/>
                <w:szCs w:val="21"/>
              </w:rPr>
              <w:t>根据现场检查情况得出；</w:t>
            </w:r>
          </w:p>
          <w:p>
            <w:pPr>
              <w:tabs>
                <w:tab w:val="left" w:pos="2235"/>
              </w:tabs>
              <w:spacing w:line="240" w:lineRule="auto"/>
              <w:ind w:firstLine="0" w:firstLineChars="0"/>
              <w:rPr>
                <w:color w:val="auto"/>
                <w:sz w:val="21"/>
                <w:szCs w:val="21"/>
              </w:rPr>
            </w:pPr>
            <w:r>
              <w:rPr>
                <w:rFonts w:hint="eastAsia"/>
                <w:color w:val="auto"/>
                <w:sz w:val="21"/>
                <w:szCs w:val="21"/>
              </w:rPr>
              <w:t>③</w:t>
            </w:r>
            <w:r>
              <w:rPr>
                <w:color w:val="auto"/>
                <w:sz w:val="21"/>
                <w:szCs w:val="21"/>
              </w:rPr>
              <w:t>上表的距离是根据《建筑设计防火规范</w:t>
            </w:r>
            <w:r>
              <w:rPr>
                <w:rFonts w:hint="eastAsia"/>
                <w:color w:val="auto"/>
                <w:sz w:val="21"/>
                <w:szCs w:val="21"/>
              </w:rPr>
              <w:t>（2018版）</w:t>
            </w:r>
            <w:r>
              <w:rPr>
                <w:color w:val="auto"/>
                <w:sz w:val="21"/>
                <w:szCs w:val="21"/>
              </w:rPr>
              <w:t>》（GB50016-2014）表3.4.1</w:t>
            </w:r>
            <w:r>
              <w:rPr>
                <w:rFonts w:hint="eastAsia"/>
                <w:color w:val="auto"/>
                <w:sz w:val="21"/>
                <w:szCs w:val="21"/>
              </w:rPr>
              <w:t>，《公路安全保护条例》（中华人民共和国国务院令 第</w:t>
            </w:r>
            <w:r>
              <w:rPr>
                <w:color w:val="auto"/>
                <w:sz w:val="21"/>
                <w:szCs w:val="21"/>
              </w:rPr>
              <w:t>593号</w:t>
            </w:r>
            <w:r>
              <w:rPr>
                <w:rFonts w:hint="eastAsia"/>
                <w:color w:val="auto"/>
                <w:sz w:val="21"/>
                <w:szCs w:val="21"/>
              </w:rPr>
              <w:t>）第十一条；</w:t>
            </w:r>
          </w:p>
        </w:tc>
      </w:tr>
    </w:tbl>
    <w:p>
      <w:pPr>
        <w:pStyle w:val="92"/>
        <w:jc w:val="both"/>
      </w:pPr>
    </w:p>
    <w:p>
      <w:pPr>
        <w:pStyle w:val="92"/>
        <w:rPr>
          <w:sz w:val="24"/>
          <w:szCs w:val="24"/>
        </w:rPr>
      </w:pPr>
      <w:r>
        <w:rPr>
          <w:rFonts w:hint="eastAsia"/>
          <w:sz w:val="24"/>
          <w:szCs w:val="24"/>
        </w:rPr>
        <w:t>F表4.1-3 项目</w:t>
      </w:r>
      <w:r>
        <w:rPr>
          <w:sz w:val="24"/>
          <w:szCs w:val="24"/>
        </w:rPr>
        <w:t>内建（构）筑物之间的安全距离表</w:t>
      </w:r>
    </w:p>
    <w:tbl>
      <w:tblPr>
        <w:tblStyle w:val="3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851"/>
        <w:gridCol w:w="1524"/>
        <w:gridCol w:w="911"/>
        <w:gridCol w:w="859"/>
        <w:gridCol w:w="850"/>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1384" w:type="dxa"/>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bookmarkStart w:id="4078" w:name="_Hlk68543019"/>
            <w:r>
              <w:rPr>
                <w:rFonts w:hint="eastAsia" w:ascii="宋体" w:hAnsi="宋体" w:cs="宋体"/>
                <w:b/>
                <w:color w:val="auto"/>
                <w:sz w:val="21"/>
                <w:szCs w:val="21"/>
              </w:rPr>
              <w:t>项目建构筑名称</w:t>
            </w:r>
          </w:p>
        </w:tc>
        <w:tc>
          <w:tcPr>
            <w:tcW w:w="851" w:type="dxa"/>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方位</w:t>
            </w:r>
          </w:p>
        </w:tc>
        <w:tc>
          <w:tcPr>
            <w:tcW w:w="1524" w:type="dxa"/>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周边设施</w:t>
            </w:r>
          </w:p>
        </w:tc>
        <w:tc>
          <w:tcPr>
            <w:tcW w:w="911" w:type="dxa"/>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规范防火间距/m</w:t>
            </w:r>
          </w:p>
        </w:tc>
        <w:tc>
          <w:tcPr>
            <w:tcW w:w="859" w:type="dxa"/>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实测距离/m</w:t>
            </w:r>
          </w:p>
        </w:tc>
        <w:tc>
          <w:tcPr>
            <w:tcW w:w="850" w:type="dxa"/>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合规性</w:t>
            </w:r>
          </w:p>
        </w:tc>
        <w:tc>
          <w:tcPr>
            <w:tcW w:w="2693" w:type="dxa"/>
            <w:shd w:val="clear" w:color="auto" w:fill="auto"/>
            <w:vAlign w:val="center"/>
          </w:tcPr>
          <w:p>
            <w:pPr>
              <w:tabs>
                <w:tab w:val="left" w:pos="2235"/>
              </w:tabs>
              <w:adjustRightInd/>
              <w:snapToGrid/>
              <w:spacing w:line="240" w:lineRule="auto"/>
              <w:ind w:firstLine="0" w:firstLineChars="0"/>
              <w:jc w:val="center"/>
              <w:rPr>
                <w:rFonts w:ascii="宋体" w:hAnsi="宋体" w:cs="宋体"/>
                <w:b/>
                <w:color w:val="auto"/>
                <w:sz w:val="21"/>
                <w:szCs w:val="21"/>
              </w:rPr>
            </w:pPr>
            <w:r>
              <w:rPr>
                <w:rFonts w:hint="eastAsia" w:ascii="宋体" w:hAnsi="宋体" w:cs="宋体"/>
                <w:b/>
                <w:color w:val="auto"/>
                <w:sz w:val="21"/>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84" w:type="dxa"/>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原料仓库（戊）</w:t>
            </w:r>
          </w:p>
        </w:tc>
        <w:tc>
          <w:tcPr>
            <w:tcW w:w="851" w:type="dxa"/>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东北面</w:t>
            </w:r>
          </w:p>
        </w:tc>
        <w:tc>
          <w:tcPr>
            <w:tcW w:w="152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1#焙烧厂房</w:t>
            </w:r>
          </w:p>
        </w:tc>
        <w:tc>
          <w:tcPr>
            <w:tcW w:w="911" w:type="dxa"/>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10</w:t>
            </w:r>
          </w:p>
        </w:tc>
        <w:tc>
          <w:tcPr>
            <w:tcW w:w="859"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26.6</w:t>
            </w:r>
          </w:p>
        </w:tc>
        <w:tc>
          <w:tcPr>
            <w:tcW w:w="850" w:type="dxa"/>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符合</w:t>
            </w:r>
          </w:p>
        </w:tc>
        <w:tc>
          <w:tcPr>
            <w:tcW w:w="2693" w:type="dxa"/>
            <w:vMerge w:val="restart"/>
            <w:shd w:val="clear" w:color="auto" w:fill="auto"/>
            <w:vAlign w:val="center"/>
          </w:tcPr>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84" w:type="dxa"/>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851" w:type="dxa"/>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152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2#焙烧厂房</w:t>
            </w:r>
          </w:p>
        </w:tc>
        <w:tc>
          <w:tcPr>
            <w:tcW w:w="911" w:type="dxa"/>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p>
        </w:tc>
        <w:tc>
          <w:tcPr>
            <w:tcW w:w="859"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17.9</w:t>
            </w:r>
          </w:p>
        </w:tc>
        <w:tc>
          <w:tcPr>
            <w:tcW w:w="850" w:type="dxa"/>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2693" w:type="dxa"/>
            <w:vMerge w:val="continue"/>
            <w:shd w:val="clear" w:color="auto" w:fill="auto"/>
            <w:vAlign w:val="center"/>
          </w:tcPr>
          <w:p>
            <w:pPr>
              <w:tabs>
                <w:tab w:val="left" w:pos="2235"/>
              </w:tabs>
              <w:adjustRightInd/>
              <w:snapToGrid/>
              <w:spacing w:line="240" w:lineRule="auto"/>
              <w:ind w:firstLine="210" w:firstLineChars="100"/>
              <w:jc w:val="center"/>
              <w:rPr>
                <w:rFonts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8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u w:color="000000"/>
              </w:rPr>
              <w:t>1#焙烧厂房（丁）</w:t>
            </w:r>
          </w:p>
        </w:tc>
        <w:tc>
          <w:tcPr>
            <w:tcW w:w="851"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西北面</w:t>
            </w:r>
          </w:p>
        </w:tc>
        <w:tc>
          <w:tcPr>
            <w:tcW w:w="152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2#焙烧厂房</w:t>
            </w:r>
          </w:p>
        </w:tc>
        <w:tc>
          <w:tcPr>
            <w:tcW w:w="911" w:type="dxa"/>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10</w:t>
            </w:r>
          </w:p>
        </w:tc>
        <w:tc>
          <w:tcPr>
            <w:tcW w:w="859"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15.05</w:t>
            </w:r>
          </w:p>
        </w:tc>
        <w:tc>
          <w:tcPr>
            <w:tcW w:w="850"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w:t>
            </w:r>
          </w:p>
        </w:tc>
        <w:tc>
          <w:tcPr>
            <w:tcW w:w="2693" w:type="dxa"/>
            <w:shd w:val="clear" w:color="auto" w:fill="auto"/>
            <w:vAlign w:val="center"/>
          </w:tcPr>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84" w:type="dxa"/>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SO</w:t>
            </w:r>
            <w:r>
              <w:rPr>
                <w:rFonts w:hint="eastAsia" w:ascii="宋体" w:hAnsi="宋体" w:cs="宋体"/>
                <w:color w:val="auto"/>
                <w:sz w:val="21"/>
                <w:szCs w:val="21"/>
                <w:vertAlign w:val="subscript"/>
              </w:rPr>
              <w:t>2</w:t>
            </w:r>
            <w:r>
              <w:rPr>
                <w:rFonts w:hint="eastAsia" w:ascii="宋体" w:hAnsi="宋体" w:cs="宋体"/>
                <w:color w:val="auto"/>
                <w:sz w:val="21"/>
                <w:szCs w:val="21"/>
              </w:rPr>
              <w:t>风机房（戊）</w:t>
            </w:r>
          </w:p>
        </w:tc>
        <w:tc>
          <w:tcPr>
            <w:tcW w:w="851"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东南面</w:t>
            </w:r>
          </w:p>
        </w:tc>
        <w:tc>
          <w:tcPr>
            <w:tcW w:w="152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储藏室（戊）</w:t>
            </w:r>
          </w:p>
        </w:tc>
        <w:tc>
          <w:tcPr>
            <w:tcW w:w="911" w:type="dxa"/>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color w:val="auto"/>
                <w:sz w:val="21"/>
                <w:szCs w:val="21"/>
              </w:rPr>
              <w:t>不限</w:t>
            </w:r>
          </w:p>
        </w:tc>
        <w:tc>
          <w:tcPr>
            <w:tcW w:w="859"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4</w:t>
            </w:r>
          </w:p>
        </w:tc>
        <w:tc>
          <w:tcPr>
            <w:tcW w:w="850" w:type="dxa"/>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color w:val="auto"/>
                <w:sz w:val="21"/>
                <w:szCs w:val="21"/>
              </w:rPr>
              <w:t>符合</w:t>
            </w:r>
          </w:p>
        </w:tc>
        <w:tc>
          <w:tcPr>
            <w:tcW w:w="2693" w:type="dxa"/>
            <w:shd w:val="clear" w:color="auto" w:fill="auto"/>
            <w:vAlign w:val="center"/>
          </w:tcPr>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《建筑设计防火规范（2018年版）》（GB50016-2014）版）表3.4.1“注2”，SO</w:t>
            </w:r>
            <w:r>
              <w:rPr>
                <w:rFonts w:hint="eastAsia" w:ascii="宋体" w:hAnsi="宋体" w:cs="宋体"/>
                <w:color w:val="auto"/>
                <w:sz w:val="21"/>
                <w:szCs w:val="21"/>
                <w:vertAlign w:val="subscript"/>
              </w:rPr>
              <w:t>2</w:t>
            </w:r>
            <w:r>
              <w:rPr>
                <w:rFonts w:hint="eastAsia" w:ascii="宋体" w:hAnsi="宋体" w:cs="宋体"/>
                <w:color w:val="auto"/>
                <w:sz w:val="21"/>
                <w:szCs w:val="21"/>
              </w:rPr>
              <w:t>风机房面对</w:t>
            </w:r>
            <w:r>
              <w:rPr>
                <w:rFonts w:hint="eastAsia" w:ascii="宋体" w:hAnsi="宋体" w:cs="宋体"/>
                <w:color w:val="auto"/>
                <w:sz w:val="21"/>
                <w:szCs w:val="21"/>
                <w:u w:color="000000"/>
              </w:rPr>
              <w:t>储藏室的墙为防火墙，耐火等级为二级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84" w:type="dxa"/>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851"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东北面</w:t>
            </w:r>
          </w:p>
        </w:tc>
        <w:tc>
          <w:tcPr>
            <w:tcW w:w="152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硫酸储罐区</w:t>
            </w:r>
          </w:p>
        </w:tc>
        <w:tc>
          <w:tcPr>
            <w:tcW w:w="911" w:type="dxa"/>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w:t>
            </w:r>
          </w:p>
        </w:tc>
        <w:tc>
          <w:tcPr>
            <w:tcW w:w="859"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11</w:t>
            </w:r>
          </w:p>
        </w:tc>
        <w:tc>
          <w:tcPr>
            <w:tcW w:w="850"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w:t>
            </w:r>
          </w:p>
        </w:tc>
        <w:tc>
          <w:tcPr>
            <w:tcW w:w="2693" w:type="dxa"/>
            <w:shd w:val="clear" w:color="auto" w:fill="auto"/>
            <w:vAlign w:val="center"/>
          </w:tcPr>
          <w:p>
            <w:pPr>
              <w:tabs>
                <w:tab w:val="left" w:pos="2235"/>
              </w:tabs>
              <w:adjustRightInd/>
              <w:snapToGrid/>
              <w:spacing w:line="240" w:lineRule="auto"/>
              <w:ind w:firstLine="211" w:firstLineChars="100"/>
              <w:jc w:val="center"/>
              <w:rPr>
                <w:rFonts w:ascii="宋体" w:hAnsi="宋体" w:cs="宋体"/>
                <w:color w:val="auto"/>
                <w:sz w:val="21"/>
                <w:szCs w:val="21"/>
              </w:rPr>
            </w:pPr>
            <w:r>
              <w:rPr>
                <w:rFonts w:hint="eastAsia" w:ascii="宋体" w:hAnsi="宋体" w:cs="宋体"/>
                <w:b/>
                <w:bCs/>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84" w:type="dxa"/>
            <w:vMerge w:val="restart"/>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值班室（含低压、高压配电室）（丁）</w:t>
            </w:r>
          </w:p>
        </w:tc>
        <w:tc>
          <w:tcPr>
            <w:tcW w:w="851"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西北面</w:t>
            </w:r>
          </w:p>
        </w:tc>
        <w:tc>
          <w:tcPr>
            <w:tcW w:w="152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硫酸储罐区</w:t>
            </w:r>
          </w:p>
        </w:tc>
        <w:tc>
          <w:tcPr>
            <w:tcW w:w="911" w:type="dxa"/>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w:t>
            </w:r>
          </w:p>
        </w:tc>
        <w:tc>
          <w:tcPr>
            <w:tcW w:w="859"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7.67</w:t>
            </w:r>
          </w:p>
        </w:tc>
        <w:tc>
          <w:tcPr>
            <w:tcW w:w="850"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w:t>
            </w:r>
          </w:p>
        </w:tc>
        <w:tc>
          <w:tcPr>
            <w:tcW w:w="2693" w:type="dxa"/>
            <w:shd w:val="clear" w:color="auto" w:fill="auto"/>
            <w:vAlign w:val="center"/>
          </w:tcPr>
          <w:p>
            <w:pPr>
              <w:tabs>
                <w:tab w:val="left" w:pos="2235"/>
              </w:tabs>
              <w:adjustRightInd/>
              <w:snapToGrid/>
              <w:spacing w:line="240" w:lineRule="auto"/>
              <w:ind w:firstLine="211" w:firstLineChars="100"/>
              <w:jc w:val="center"/>
              <w:rPr>
                <w:rFonts w:ascii="宋体" w:hAnsi="宋体" w:cs="宋体"/>
                <w:color w:val="auto"/>
                <w:sz w:val="21"/>
                <w:szCs w:val="21"/>
              </w:rPr>
            </w:pPr>
            <w:r>
              <w:rPr>
                <w:rFonts w:hint="eastAsia" w:ascii="宋体" w:hAnsi="宋体" w:cs="宋体"/>
                <w:b/>
                <w:bCs/>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84" w:type="dxa"/>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851"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东北面</w:t>
            </w:r>
          </w:p>
        </w:tc>
        <w:tc>
          <w:tcPr>
            <w:tcW w:w="152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rPr>
              <w:t>中控室、汽机房</w:t>
            </w:r>
          </w:p>
        </w:tc>
        <w:tc>
          <w:tcPr>
            <w:tcW w:w="911" w:type="dxa"/>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10</w:t>
            </w:r>
          </w:p>
        </w:tc>
        <w:tc>
          <w:tcPr>
            <w:tcW w:w="859"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10</w:t>
            </w:r>
          </w:p>
        </w:tc>
        <w:tc>
          <w:tcPr>
            <w:tcW w:w="850"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w:t>
            </w:r>
          </w:p>
        </w:tc>
        <w:tc>
          <w:tcPr>
            <w:tcW w:w="2693" w:type="dxa"/>
            <w:shd w:val="clear" w:color="auto" w:fill="auto"/>
          </w:tcPr>
          <w:p>
            <w:pPr>
              <w:spacing w:line="240" w:lineRule="auto"/>
              <w:ind w:firstLine="0" w:firstLineChars="0"/>
              <w:rPr>
                <w:rFonts w:ascii="宋体" w:hAnsi="宋体" w:cs="宋体"/>
                <w:sz w:val="21"/>
                <w:szCs w:val="21"/>
              </w:rPr>
            </w:pPr>
            <w:r>
              <w:rPr>
                <w:rFonts w:hint="eastAsia" w:ascii="宋体" w:hAnsi="宋体" w:cs="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84" w:type="dxa"/>
            <w:vMerge w:val="continue"/>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p>
        </w:tc>
        <w:tc>
          <w:tcPr>
            <w:tcW w:w="851"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西南面</w:t>
            </w:r>
          </w:p>
        </w:tc>
        <w:tc>
          <w:tcPr>
            <w:tcW w:w="152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u w:color="000000"/>
              </w:rPr>
              <w:t>储藏室</w:t>
            </w:r>
          </w:p>
        </w:tc>
        <w:tc>
          <w:tcPr>
            <w:tcW w:w="911" w:type="dxa"/>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10</w:t>
            </w:r>
          </w:p>
        </w:tc>
        <w:tc>
          <w:tcPr>
            <w:tcW w:w="859"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10</w:t>
            </w:r>
          </w:p>
        </w:tc>
        <w:tc>
          <w:tcPr>
            <w:tcW w:w="850"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w:t>
            </w:r>
          </w:p>
        </w:tc>
        <w:tc>
          <w:tcPr>
            <w:tcW w:w="2693" w:type="dxa"/>
            <w:shd w:val="clear" w:color="auto" w:fill="auto"/>
          </w:tcPr>
          <w:p>
            <w:pPr>
              <w:spacing w:line="240" w:lineRule="auto"/>
              <w:ind w:firstLine="0" w:firstLineChars="0"/>
              <w:rPr>
                <w:rFonts w:ascii="宋体" w:hAnsi="宋体" w:cs="宋体"/>
                <w:sz w:val="21"/>
                <w:szCs w:val="21"/>
              </w:rPr>
            </w:pPr>
            <w:r>
              <w:rPr>
                <w:rFonts w:hint="eastAsia" w:ascii="宋体" w:hAnsi="宋体" w:cs="宋体"/>
                <w:color w:val="auto"/>
                <w:sz w:val="21"/>
                <w:szCs w:val="21"/>
              </w:rPr>
              <w:t>《建筑设计防火规范（2018年版）》（GB50016-2014））表3.4.1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8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中控室、汽机房（戊）</w:t>
            </w:r>
          </w:p>
        </w:tc>
        <w:tc>
          <w:tcPr>
            <w:tcW w:w="851"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西面</w:t>
            </w:r>
          </w:p>
        </w:tc>
        <w:tc>
          <w:tcPr>
            <w:tcW w:w="1524"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u w:color="000000"/>
              </w:rPr>
            </w:pPr>
            <w:r>
              <w:rPr>
                <w:rFonts w:hint="eastAsia" w:ascii="宋体" w:hAnsi="宋体" w:cs="宋体"/>
                <w:color w:val="auto"/>
                <w:sz w:val="21"/>
                <w:szCs w:val="21"/>
                <w:u w:color="000000"/>
              </w:rPr>
              <w:t>硫酸储罐区</w:t>
            </w:r>
          </w:p>
        </w:tc>
        <w:tc>
          <w:tcPr>
            <w:tcW w:w="911" w:type="dxa"/>
            <w:shd w:val="clear" w:color="auto" w:fill="auto"/>
            <w:vAlign w:val="center"/>
          </w:tcPr>
          <w:p>
            <w:pPr>
              <w:tabs>
                <w:tab w:val="left" w:pos="2235"/>
              </w:tabs>
              <w:adjustRightInd/>
              <w:snapToGrid/>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w:t>
            </w:r>
          </w:p>
        </w:tc>
        <w:tc>
          <w:tcPr>
            <w:tcW w:w="859"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11.5</w:t>
            </w:r>
          </w:p>
        </w:tc>
        <w:tc>
          <w:tcPr>
            <w:tcW w:w="850" w:type="dxa"/>
            <w:shd w:val="clear" w:color="auto" w:fill="auto"/>
            <w:vAlign w:val="center"/>
          </w:tcPr>
          <w:p>
            <w:pPr>
              <w:tabs>
                <w:tab w:val="left" w:pos="2235"/>
              </w:tabs>
              <w:adjustRightInd/>
              <w:snapToGrid/>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w:t>
            </w:r>
          </w:p>
        </w:tc>
        <w:tc>
          <w:tcPr>
            <w:tcW w:w="2693" w:type="dxa"/>
            <w:shd w:val="clear" w:color="auto" w:fill="auto"/>
            <w:vAlign w:val="center"/>
          </w:tcPr>
          <w:p>
            <w:pPr>
              <w:tabs>
                <w:tab w:val="left" w:pos="2235"/>
              </w:tabs>
              <w:adjustRightInd/>
              <w:snapToGrid/>
              <w:spacing w:line="240" w:lineRule="auto"/>
              <w:ind w:firstLine="211" w:firstLineChars="100"/>
              <w:jc w:val="center"/>
              <w:rPr>
                <w:rFonts w:ascii="宋体" w:hAnsi="宋体" w:cs="宋体"/>
                <w:color w:val="auto"/>
                <w:sz w:val="21"/>
                <w:szCs w:val="21"/>
              </w:rPr>
            </w:pPr>
            <w:r>
              <w:rPr>
                <w:rFonts w:hint="eastAsia" w:ascii="宋体" w:hAnsi="宋体" w:cs="宋体"/>
                <w:b/>
                <w:bCs/>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72" w:type="dxa"/>
            <w:gridSpan w:val="7"/>
            <w:shd w:val="clear" w:color="auto" w:fill="auto"/>
            <w:vAlign w:val="center"/>
          </w:tcPr>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b/>
                <w:bCs/>
                <w:color w:val="auto"/>
                <w:sz w:val="21"/>
                <w:szCs w:val="21"/>
              </w:rPr>
              <w:t>注：</w:t>
            </w:r>
            <w:r>
              <w:rPr>
                <w:rFonts w:hint="eastAsia" w:ascii="宋体" w:hAnsi="宋体" w:cs="宋体"/>
                <w:color w:val="auto"/>
                <w:sz w:val="21"/>
                <w:szCs w:val="21"/>
              </w:rPr>
              <w:t>①建（构）筑物防火间距的起算点是外墙、外缘、外壁的最近距离；</w:t>
            </w:r>
          </w:p>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②上表中黑体字部分为标准值；实测距离指距最近建构筑物之间的距离，根据现场检查情况得出；</w:t>
            </w:r>
          </w:p>
          <w:p>
            <w:pPr>
              <w:tabs>
                <w:tab w:val="left" w:pos="2235"/>
              </w:tabs>
              <w:adjustRightInd/>
              <w:snapToGrid/>
              <w:spacing w:line="240" w:lineRule="auto"/>
              <w:ind w:firstLine="0" w:firstLineChars="0"/>
              <w:rPr>
                <w:rFonts w:ascii="宋体" w:hAnsi="宋体" w:cs="宋体"/>
                <w:color w:val="auto"/>
                <w:sz w:val="21"/>
                <w:szCs w:val="21"/>
              </w:rPr>
            </w:pPr>
            <w:r>
              <w:rPr>
                <w:rFonts w:hint="eastAsia" w:ascii="宋体" w:hAnsi="宋体" w:cs="宋体"/>
                <w:color w:val="auto"/>
                <w:sz w:val="21"/>
                <w:szCs w:val="21"/>
              </w:rPr>
              <w:t>③上表的距离是根据</w:t>
            </w:r>
            <w:bookmarkStart w:id="4079" w:name="_Hlk68186231"/>
            <w:r>
              <w:rPr>
                <w:rFonts w:hint="eastAsia" w:ascii="宋体" w:hAnsi="宋体" w:cs="宋体"/>
                <w:color w:val="auto"/>
                <w:sz w:val="21"/>
                <w:szCs w:val="21"/>
              </w:rPr>
              <w:t>《建筑设计防火规范（2018年版）》（GB50016-2014））表3.4.1</w:t>
            </w:r>
            <w:bookmarkEnd w:id="4079"/>
            <w:r>
              <w:rPr>
                <w:rFonts w:hint="eastAsia" w:ascii="宋体" w:hAnsi="宋体" w:cs="宋体"/>
                <w:color w:val="auto"/>
                <w:sz w:val="21"/>
                <w:szCs w:val="21"/>
              </w:rPr>
              <w:t>确定；</w:t>
            </w:r>
          </w:p>
          <w:p>
            <w:pPr>
              <w:pStyle w:val="16"/>
              <w:spacing w:line="240" w:lineRule="auto"/>
              <w:ind w:firstLine="0" w:firstLineChars="0"/>
              <w:jc w:val="left"/>
              <w:rPr>
                <w:rFonts w:hAnsi="宋体" w:cs="宋体"/>
                <w:color w:val="auto"/>
                <w:sz w:val="21"/>
              </w:rPr>
            </w:pPr>
            <w:r>
              <w:rPr>
                <w:rFonts w:hint="eastAsia" w:hAnsi="宋体" w:cs="宋体"/>
                <w:color w:val="auto"/>
                <w:sz w:val="21"/>
              </w:rPr>
              <w:t>④《建筑设计防火规范（2018年版）》（GB50016-2014）版）表3.4.1“注2”两座厂房相邻较高一面外墙为防火墙，或相邻两座高度相同的一、二级耐火等级建筑中相邻任一侧外墙为防火墙且屋顶的耐火极限不低于1.00h时，其防火间距不限。</w:t>
            </w:r>
          </w:p>
          <w:p>
            <w:pPr>
              <w:pStyle w:val="16"/>
              <w:spacing w:line="240" w:lineRule="auto"/>
              <w:ind w:firstLine="0" w:firstLineChars="0"/>
              <w:jc w:val="left"/>
              <w:rPr>
                <w:rFonts w:hAnsi="宋体" w:cs="宋体"/>
                <w:color w:val="auto"/>
                <w:sz w:val="21"/>
              </w:rPr>
            </w:pPr>
            <w:r>
              <w:rPr>
                <w:rFonts w:hint="eastAsia" w:hAnsi="宋体" w:cs="宋体"/>
                <w:color w:val="auto"/>
                <w:sz w:val="21"/>
              </w:rPr>
              <w:t>⑤——为无规范要求。</w:t>
            </w:r>
          </w:p>
        </w:tc>
      </w:tr>
      <w:bookmarkEnd w:id="4078"/>
    </w:tbl>
    <w:p>
      <w:pPr>
        <w:ind w:firstLine="0" w:firstLineChars="0"/>
        <w:rPr>
          <w:color w:val="000000" w:themeColor="text1"/>
        </w:rPr>
      </w:pPr>
    </w:p>
    <w:p>
      <w:pPr>
        <w:ind w:firstLine="560"/>
        <w:rPr>
          <w:rFonts w:ascii="宋体" w:hAnsi="宋体"/>
          <w:color w:val="000000" w:themeColor="text1"/>
        </w:rPr>
      </w:pPr>
      <w:r>
        <w:rPr>
          <w:rFonts w:hint="eastAsia"/>
          <w:color w:val="000000" w:themeColor="text1"/>
        </w:rPr>
        <w:t>通过检查表评价可知：</w:t>
      </w:r>
      <w:r>
        <w:rPr>
          <w:color w:val="000000" w:themeColor="text1"/>
        </w:rPr>
        <w:t>该</w:t>
      </w:r>
      <w:r>
        <w:rPr>
          <w:rFonts w:hint="eastAsia"/>
          <w:color w:val="000000" w:themeColor="text1"/>
        </w:rPr>
        <w:t>公司与周边企业建构筑物，企业内建构筑物</w:t>
      </w:r>
      <w:r>
        <w:rPr>
          <w:color w:val="000000" w:themeColor="text1"/>
        </w:rPr>
        <w:t>布置满足</w:t>
      </w:r>
      <w:r>
        <w:rPr>
          <w:rFonts w:hint="eastAsia"/>
          <w:color w:val="000000" w:themeColor="text1"/>
        </w:rPr>
        <w:t>《建筑设计防火规范（2018年版）》（GB50016-2014）</w:t>
      </w:r>
      <w:r>
        <w:rPr>
          <w:color w:val="000000" w:themeColor="text1"/>
        </w:rPr>
        <w:t>的要求。</w:t>
      </w:r>
    </w:p>
    <w:p>
      <w:pPr>
        <w:pStyle w:val="4"/>
        <w:keepNext w:val="0"/>
        <w:keepLines w:val="0"/>
        <w:ind w:firstLine="562"/>
      </w:pPr>
      <w:bookmarkStart w:id="4080" w:name="_Toc12364"/>
      <w:bookmarkStart w:id="4081" w:name="_Toc31299"/>
      <w:bookmarkStart w:id="4082" w:name="_Toc888"/>
      <w:bookmarkStart w:id="4083" w:name="_Toc2456"/>
      <w:bookmarkStart w:id="4084" w:name="_Toc30980"/>
      <w:bookmarkStart w:id="4085" w:name="_Toc21435"/>
      <w:bookmarkStart w:id="4086" w:name="_Toc31312"/>
      <w:bookmarkStart w:id="4087" w:name="_Toc25505"/>
      <w:bookmarkStart w:id="4088" w:name="_Toc9192"/>
      <w:bookmarkStart w:id="4089" w:name="_Toc32027"/>
      <w:bookmarkStart w:id="4090" w:name="_Toc27782"/>
      <w:bookmarkStart w:id="4091" w:name="_Toc21014"/>
      <w:bookmarkStart w:id="4092" w:name="_Toc31907"/>
      <w:bookmarkStart w:id="4093" w:name="_Toc6290"/>
      <w:bookmarkStart w:id="4094" w:name="_Toc8135"/>
      <w:bookmarkStart w:id="4095" w:name="_Toc2296"/>
      <w:bookmarkStart w:id="4096" w:name="_Toc22774"/>
      <w:bookmarkStart w:id="4097" w:name="_Toc25516"/>
      <w:bookmarkStart w:id="4098" w:name="_Toc1106"/>
      <w:bookmarkStart w:id="4099" w:name="_Toc13305"/>
      <w:bookmarkStart w:id="4100" w:name="_Toc25527"/>
      <w:bookmarkStart w:id="4101" w:name="_Toc30277"/>
      <w:bookmarkStart w:id="4102" w:name="_Toc14697"/>
      <w:bookmarkStart w:id="4103" w:name="_Toc128056529"/>
      <w:bookmarkStart w:id="4104" w:name="_Toc8209"/>
      <w:bookmarkStart w:id="4105" w:name="_Toc31620"/>
      <w:r>
        <w:rPr>
          <w:rFonts w:hint="eastAsia"/>
        </w:rPr>
        <w:t>F4.1.3 单元小结</w:t>
      </w:r>
      <w:bookmarkEnd w:id="4080"/>
      <w:bookmarkEnd w:id="4081"/>
      <w:bookmarkEnd w:id="4082"/>
      <w:bookmarkEnd w:id="4083"/>
      <w:bookmarkEnd w:id="4084"/>
      <w:bookmarkEnd w:id="4085"/>
      <w:bookmarkEnd w:id="4086"/>
      <w:bookmarkEnd w:id="4087"/>
      <w:bookmarkEnd w:id="4088"/>
      <w:bookmarkEnd w:id="4089"/>
      <w:bookmarkEnd w:id="4090"/>
      <w:bookmarkEnd w:id="4091"/>
      <w:bookmarkEnd w:id="4092"/>
      <w:bookmarkEnd w:id="4093"/>
      <w:bookmarkEnd w:id="4094"/>
      <w:bookmarkEnd w:id="4095"/>
      <w:bookmarkEnd w:id="4096"/>
      <w:bookmarkEnd w:id="4097"/>
      <w:bookmarkEnd w:id="4098"/>
      <w:bookmarkEnd w:id="4099"/>
      <w:bookmarkEnd w:id="4100"/>
      <w:bookmarkEnd w:id="4101"/>
      <w:bookmarkEnd w:id="4102"/>
      <w:bookmarkEnd w:id="4103"/>
      <w:bookmarkEnd w:id="4104"/>
      <w:bookmarkEnd w:id="4105"/>
    </w:p>
    <w:p>
      <w:pPr>
        <w:ind w:firstLine="560"/>
        <w:rPr>
          <w:color w:val="000000" w:themeColor="text1"/>
        </w:rPr>
      </w:pPr>
      <w:r>
        <w:rPr>
          <w:color w:val="000000" w:themeColor="text1"/>
        </w:rPr>
        <w:t>通过以上分析评价可知</w:t>
      </w:r>
      <w:r>
        <w:rPr>
          <w:rFonts w:hint="eastAsia"/>
          <w:color w:val="000000" w:themeColor="text1"/>
        </w:rPr>
        <w:t>：</w:t>
      </w:r>
    </w:p>
    <w:p>
      <w:pPr>
        <w:ind w:firstLine="560"/>
      </w:pPr>
      <w:r>
        <w:rPr>
          <w:rFonts w:hint="eastAsia"/>
        </w:rPr>
        <w:t>（1）漾濞县跃进化工有限责任公司</w:t>
      </w:r>
      <w:r>
        <w:rPr>
          <w:rFonts w:hint="eastAsia"/>
          <w:lang w:val="zh-CN"/>
        </w:rPr>
        <w:t>厂址周围无重点生态保护区，</w:t>
      </w:r>
      <w:r>
        <w:rPr>
          <w:lang w:val="zh-CN"/>
        </w:rPr>
        <w:t>厂内按功能分区，布置合理</w:t>
      </w:r>
      <w:r>
        <w:rPr>
          <w:rFonts w:hint="eastAsia"/>
          <w:lang w:val="zh-CN"/>
        </w:rPr>
        <w:t>，生产装置均位于厂区内部，</w:t>
      </w:r>
      <w:r>
        <w:t>其</w:t>
      </w:r>
      <w:r>
        <w:rPr>
          <w:rFonts w:hint="eastAsia"/>
        </w:rPr>
        <w:t>厂址及</w:t>
      </w:r>
      <w:r>
        <w:t>总平面布置符合《工业企业总平面设计规范》(GB50187-2012)</w:t>
      </w:r>
      <w:r>
        <w:rPr>
          <w:rFonts w:hint="eastAsia"/>
        </w:rPr>
        <w:t>、</w:t>
      </w:r>
      <w:r>
        <w:t>《化工企业安全卫生设计规范》(HG20571-2014)、《建筑设计防火规范</w:t>
      </w:r>
      <w:r>
        <w:rPr>
          <w:rFonts w:hint="eastAsia"/>
        </w:rPr>
        <w:t>（</w:t>
      </w:r>
      <w:r>
        <w:t>2018年版</w:t>
      </w:r>
      <w:r>
        <w:rPr>
          <w:rFonts w:hint="eastAsia"/>
        </w:rPr>
        <w:t>）》</w:t>
      </w:r>
      <w:r>
        <w:t>(GB50016-2014)等标准、规范的要求。</w:t>
      </w:r>
    </w:p>
    <w:p>
      <w:pPr>
        <w:ind w:firstLine="560"/>
        <w:rPr>
          <w:lang w:val="zh-CN"/>
        </w:rPr>
      </w:pPr>
      <w:r>
        <w:rPr>
          <w:rFonts w:hint="eastAsia"/>
        </w:rPr>
        <w:t>（2）</w:t>
      </w:r>
      <w:r>
        <w:rPr>
          <w:rFonts w:hint="eastAsia"/>
          <w:lang w:val="zh-CN"/>
        </w:rPr>
        <w:t>跃进化工</w:t>
      </w:r>
      <w:r>
        <w:rPr>
          <w:lang w:val="zh-CN"/>
        </w:rPr>
        <w:t>与周边设施的</w:t>
      </w:r>
      <w:r>
        <w:rPr>
          <w:rFonts w:hint="eastAsia"/>
          <w:lang w:val="zh-CN"/>
        </w:rPr>
        <w:t>防火</w:t>
      </w:r>
      <w:r>
        <w:rPr>
          <w:lang w:val="zh-CN"/>
        </w:rPr>
        <w:t>距离</w:t>
      </w:r>
      <w:r>
        <w:rPr>
          <w:rFonts w:hint="eastAsia"/>
        </w:rPr>
        <w:t>及跃进化工</w:t>
      </w:r>
      <w:r>
        <w:t>区域内各建构筑物间的防火距离</w:t>
      </w:r>
      <w:r>
        <w:rPr>
          <w:rFonts w:hint="eastAsia"/>
          <w:lang w:val="zh-CN"/>
        </w:rPr>
        <w:t>符合</w:t>
      </w:r>
      <w:r>
        <w:t>《建筑设计防火规范</w:t>
      </w:r>
      <w:r>
        <w:rPr>
          <w:rFonts w:hint="eastAsia"/>
        </w:rPr>
        <w:t>（</w:t>
      </w:r>
      <w:r>
        <w:t>2018年版</w:t>
      </w:r>
      <w:r>
        <w:rPr>
          <w:rFonts w:hint="eastAsia"/>
        </w:rPr>
        <w:t>）》</w:t>
      </w:r>
      <w:r>
        <w:t>(GB50016-2014)</w:t>
      </w:r>
      <w:r>
        <w:rPr>
          <w:rFonts w:hint="eastAsia"/>
        </w:rPr>
        <w:t>及</w:t>
      </w:r>
      <w:r>
        <w:rPr>
          <w:rFonts w:hint="eastAsia"/>
          <w:color w:val="auto"/>
        </w:rPr>
        <w:t>《危险化学品生产装置和储存设施外部安全防护距离确定方法》（GB/T37243-2019）</w:t>
      </w:r>
      <w:r>
        <w:rPr>
          <w:rFonts w:hint="eastAsia"/>
          <w:lang w:val="zh-CN"/>
        </w:rPr>
        <w:t>要求。</w:t>
      </w:r>
    </w:p>
    <w:p>
      <w:pPr>
        <w:ind w:firstLine="560"/>
        <w:rPr>
          <w:rFonts w:ascii="宋体" w:hAnsi="宋体"/>
        </w:rPr>
      </w:pPr>
      <w:r>
        <w:rPr>
          <w:rFonts w:hint="eastAsia"/>
        </w:rPr>
        <w:t>（3）</w:t>
      </w:r>
      <w:r>
        <w:rPr>
          <w:rFonts w:hint="eastAsia"/>
          <w:lang w:val="zh-CN"/>
        </w:rPr>
        <w:t>当厂内发生事故时，对厂外周边企业、居民生活不会产生影响。厂区外部周边企业的正常生活对其生产不会产生影响。</w:t>
      </w:r>
    </w:p>
    <w:p>
      <w:pPr>
        <w:ind w:firstLine="560"/>
        <w:rPr>
          <w:rFonts w:ascii="宋体" w:hAnsi="宋体"/>
        </w:rPr>
      </w:pPr>
      <w:r>
        <w:rPr>
          <w:rFonts w:hint="eastAsia"/>
        </w:rPr>
        <w:t>（4）</w:t>
      </w:r>
      <w:r>
        <w:rPr>
          <w:rFonts w:hint="eastAsia" w:ascii="宋体" w:hAnsi="宋体"/>
          <w:szCs w:val="28"/>
          <w:lang w:val="zh-CN"/>
        </w:rPr>
        <w:t>跃进化工</w:t>
      </w:r>
      <w:r>
        <w:rPr>
          <w:rFonts w:ascii="宋体" w:hAnsi="宋体"/>
          <w:szCs w:val="28"/>
          <w:lang w:val="zh-CN"/>
        </w:rPr>
        <w:t>所在地的自然条件对该</w:t>
      </w:r>
      <w:r>
        <w:rPr>
          <w:rFonts w:hint="eastAsia" w:ascii="宋体" w:hAnsi="宋体"/>
          <w:szCs w:val="28"/>
          <w:lang w:val="zh-CN"/>
        </w:rPr>
        <w:t>建设项目</w:t>
      </w:r>
      <w:r>
        <w:rPr>
          <w:rFonts w:ascii="宋体" w:hAnsi="宋体"/>
          <w:szCs w:val="28"/>
          <w:lang w:val="zh-CN"/>
        </w:rPr>
        <w:t>的影响在可接受和可控制的范围内，没有发现重大不利安全影响。</w:t>
      </w:r>
    </w:p>
    <w:p>
      <w:pPr>
        <w:pStyle w:val="3"/>
        <w:ind w:firstLine="562"/>
        <w:rPr>
          <w:rFonts w:ascii="黑体" w:hAnsi="黑体" w:eastAsia="黑体" w:cs="黑体"/>
          <w:color w:val="000000" w:themeColor="text1"/>
        </w:rPr>
      </w:pPr>
      <w:bookmarkStart w:id="4106" w:name="_Toc21631"/>
      <w:bookmarkStart w:id="4107" w:name="_Toc1987"/>
      <w:bookmarkStart w:id="4108" w:name="_Toc23062"/>
      <w:bookmarkStart w:id="4109" w:name="_Toc788"/>
      <w:bookmarkStart w:id="4110" w:name="_Toc29207"/>
      <w:bookmarkStart w:id="4111" w:name="_Toc4739"/>
      <w:bookmarkStart w:id="4112" w:name="_Toc3571"/>
      <w:bookmarkStart w:id="4113" w:name="_Toc17620"/>
      <w:bookmarkStart w:id="4114" w:name="_Toc5328"/>
      <w:bookmarkStart w:id="4115" w:name="_Toc128056530"/>
      <w:bookmarkStart w:id="4116" w:name="_Toc28115"/>
      <w:bookmarkStart w:id="4117" w:name="_Toc27575"/>
      <w:bookmarkStart w:id="4118" w:name="_Toc23873"/>
      <w:bookmarkStart w:id="4119" w:name="_Toc22244"/>
      <w:bookmarkStart w:id="4120" w:name="_Toc10868"/>
      <w:bookmarkStart w:id="4121" w:name="_Toc22539"/>
      <w:bookmarkStart w:id="4122" w:name="_Toc22802"/>
      <w:bookmarkStart w:id="4123" w:name="_Toc7280"/>
      <w:bookmarkStart w:id="4124" w:name="_Toc7035"/>
      <w:bookmarkStart w:id="4125" w:name="_Toc12824"/>
      <w:bookmarkStart w:id="4126" w:name="_Toc12303"/>
      <w:bookmarkStart w:id="4127" w:name="_Toc9338"/>
      <w:bookmarkStart w:id="4128" w:name="_Toc2887"/>
      <w:bookmarkStart w:id="4129" w:name="_Toc62740977"/>
      <w:bookmarkStart w:id="4130" w:name="_Toc1874"/>
      <w:bookmarkStart w:id="4131" w:name="_Toc28378"/>
      <w:bookmarkStart w:id="4132" w:name="_Toc9233"/>
      <w:bookmarkStart w:id="4133" w:name="_Toc11044"/>
      <w:bookmarkStart w:id="4134" w:name="_Toc11122"/>
      <w:bookmarkStart w:id="4135" w:name="_Toc23662"/>
      <w:bookmarkStart w:id="4136" w:name="_Toc13444"/>
      <w:bookmarkStart w:id="4137" w:name="_Toc2104"/>
      <w:bookmarkStart w:id="4138" w:name="_Toc4702"/>
      <w:bookmarkStart w:id="4139" w:name="_Toc3077"/>
      <w:bookmarkStart w:id="4140" w:name="_Toc2050"/>
      <w:bookmarkStart w:id="4141" w:name="_Toc7269"/>
      <w:bookmarkStart w:id="4142" w:name="_Toc5371"/>
      <w:r>
        <w:rPr>
          <w:rFonts w:hint="eastAsia" w:ascii="黑体" w:hAnsi="黑体" w:eastAsia="黑体" w:cs="黑体"/>
          <w:color w:val="000000" w:themeColor="text1"/>
        </w:rPr>
        <w:t>F4.2 生产工艺及设备设施单元评价</w:t>
      </w:r>
      <w:bookmarkEnd w:id="4106"/>
      <w:bookmarkEnd w:id="4107"/>
      <w:bookmarkEnd w:id="4108"/>
      <w:bookmarkEnd w:id="4109"/>
      <w:bookmarkEnd w:id="4110"/>
      <w:bookmarkEnd w:id="4111"/>
      <w:bookmarkEnd w:id="4112"/>
      <w:bookmarkEnd w:id="4113"/>
      <w:bookmarkEnd w:id="4114"/>
      <w:bookmarkEnd w:id="4115"/>
      <w:bookmarkEnd w:id="4116"/>
      <w:bookmarkEnd w:id="4117"/>
      <w:bookmarkEnd w:id="4118"/>
      <w:bookmarkEnd w:id="4119"/>
      <w:bookmarkEnd w:id="4120"/>
      <w:bookmarkEnd w:id="4121"/>
      <w:bookmarkEnd w:id="4122"/>
      <w:bookmarkEnd w:id="4123"/>
      <w:bookmarkEnd w:id="4124"/>
      <w:bookmarkEnd w:id="4125"/>
      <w:bookmarkEnd w:id="4126"/>
      <w:bookmarkEnd w:id="4127"/>
      <w:bookmarkEnd w:id="4128"/>
      <w:bookmarkEnd w:id="4129"/>
      <w:bookmarkEnd w:id="4130"/>
      <w:bookmarkEnd w:id="4131"/>
      <w:bookmarkEnd w:id="4132"/>
      <w:bookmarkEnd w:id="4133"/>
      <w:bookmarkEnd w:id="4134"/>
      <w:bookmarkEnd w:id="4135"/>
      <w:bookmarkEnd w:id="4136"/>
      <w:bookmarkEnd w:id="4137"/>
      <w:bookmarkEnd w:id="4138"/>
      <w:bookmarkEnd w:id="4139"/>
      <w:bookmarkEnd w:id="4140"/>
      <w:bookmarkEnd w:id="4141"/>
      <w:bookmarkEnd w:id="4142"/>
    </w:p>
    <w:p>
      <w:pPr>
        <w:pStyle w:val="4"/>
        <w:keepNext w:val="0"/>
        <w:keepLines w:val="0"/>
        <w:ind w:firstLine="562"/>
      </w:pPr>
      <w:bookmarkStart w:id="4143" w:name="_Toc3529"/>
      <w:bookmarkStart w:id="4144" w:name="_Toc24910"/>
      <w:bookmarkStart w:id="4145" w:name="_Toc11942"/>
      <w:bookmarkStart w:id="4146" w:name="_Toc26651"/>
      <w:bookmarkStart w:id="4147" w:name="_Toc8364"/>
      <w:bookmarkStart w:id="4148" w:name="_Toc999"/>
      <w:bookmarkStart w:id="4149" w:name="_Toc27225"/>
      <w:bookmarkStart w:id="4150" w:name="_Toc20389"/>
      <w:bookmarkStart w:id="4151" w:name="_Toc8530"/>
      <w:bookmarkStart w:id="4152" w:name="_Toc27801"/>
      <w:bookmarkStart w:id="4153" w:name="_Toc2"/>
      <w:bookmarkStart w:id="4154" w:name="_Toc3568"/>
      <w:bookmarkStart w:id="4155" w:name="_Toc24497"/>
      <w:bookmarkStart w:id="4156" w:name="_Toc27783"/>
      <w:bookmarkStart w:id="4157" w:name="_Toc29576"/>
      <w:bookmarkStart w:id="4158" w:name="_Toc16974"/>
      <w:bookmarkStart w:id="4159" w:name="_Toc7362"/>
      <w:bookmarkStart w:id="4160" w:name="_Toc6991"/>
      <w:bookmarkStart w:id="4161" w:name="_Toc11169"/>
      <w:bookmarkStart w:id="4162" w:name="_Toc4452"/>
      <w:bookmarkStart w:id="4163" w:name="_Toc29489"/>
      <w:bookmarkStart w:id="4164" w:name="_Toc18491"/>
      <w:bookmarkStart w:id="4165" w:name="_Toc10609"/>
      <w:bookmarkStart w:id="4166" w:name="_Toc4219"/>
      <w:bookmarkStart w:id="4167" w:name="_Toc128056531"/>
      <w:bookmarkStart w:id="4168" w:name="_Toc14458"/>
      <w:r>
        <w:rPr>
          <w:rFonts w:hint="eastAsia"/>
        </w:rPr>
        <w:t>F4.2.1 生产工艺及设备设施安全检查表评价</w:t>
      </w:r>
      <w:bookmarkEnd w:id="4143"/>
      <w:bookmarkEnd w:id="4144"/>
      <w:bookmarkEnd w:id="4145"/>
      <w:bookmarkEnd w:id="4146"/>
      <w:bookmarkEnd w:id="4147"/>
      <w:bookmarkEnd w:id="4148"/>
      <w:bookmarkEnd w:id="4149"/>
      <w:bookmarkEnd w:id="4150"/>
      <w:bookmarkEnd w:id="4151"/>
      <w:bookmarkEnd w:id="4152"/>
      <w:bookmarkEnd w:id="4153"/>
      <w:bookmarkEnd w:id="4154"/>
      <w:bookmarkEnd w:id="4155"/>
      <w:bookmarkEnd w:id="4156"/>
      <w:bookmarkEnd w:id="4157"/>
      <w:bookmarkEnd w:id="4158"/>
      <w:bookmarkEnd w:id="4159"/>
      <w:bookmarkEnd w:id="4160"/>
      <w:bookmarkEnd w:id="4161"/>
      <w:bookmarkEnd w:id="4162"/>
      <w:bookmarkEnd w:id="4163"/>
      <w:bookmarkEnd w:id="4164"/>
      <w:bookmarkEnd w:id="4165"/>
      <w:bookmarkEnd w:id="4166"/>
      <w:bookmarkEnd w:id="4167"/>
      <w:bookmarkEnd w:id="4168"/>
    </w:p>
    <w:p>
      <w:pPr>
        <w:ind w:firstLine="560"/>
        <w:rPr>
          <w:color w:val="000000" w:themeColor="text1"/>
        </w:rPr>
      </w:pPr>
      <w:r>
        <w:rPr>
          <w:rFonts w:hint="eastAsia"/>
          <w:color w:val="000000" w:themeColor="text1"/>
        </w:rPr>
        <w:t>根据《生产设备安全卫生设计总则》（GB5083-1999）、《工业企业设计卫生标准》（GBZ1-2010）、《化工企业安全卫生设计规范》（HG20571-2014），编制安全检查表对漾濞县跃进化工有限责任公司生产工艺及设备设施进行分析评价。</w:t>
      </w:r>
    </w:p>
    <w:p>
      <w:pPr>
        <w:pStyle w:val="92"/>
        <w:rPr>
          <w:sz w:val="24"/>
          <w:szCs w:val="24"/>
          <w:lang w:val="zh-CN"/>
        </w:rPr>
      </w:pPr>
      <w:r>
        <w:rPr>
          <w:rFonts w:hint="eastAsia"/>
          <w:sz w:val="24"/>
          <w:szCs w:val="24"/>
        </w:rPr>
        <w:t>F</w:t>
      </w:r>
      <w:r>
        <w:rPr>
          <w:rFonts w:hint="eastAsia"/>
          <w:sz w:val="24"/>
          <w:szCs w:val="24"/>
          <w:lang w:val="zh-CN"/>
        </w:rPr>
        <w:t>表</w:t>
      </w:r>
      <w:r>
        <w:rPr>
          <w:rFonts w:hint="eastAsia"/>
          <w:sz w:val="24"/>
          <w:szCs w:val="24"/>
        </w:rPr>
        <w:t>4</w:t>
      </w:r>
      <w:r>
        <w:rPr>
          <w:rFonts w:hint="eastAsia"/>
          <w:sz w:val="24"/>
          <w:szCs w:val="24"/>
          <w:lang w:val="zh-CN"/>
        </w:rPr>
        <w:t>.</w:t>
      </w:r>
      <w:r>
        <w:rPr>
          <w:rFonts w:hint="eastAsia"/>
          <w:sz w:val="24"/>
          <w:szCs w:val="24"/>
        </w:rPr>
        <w:t>2</w:t>
      </w:r>
      <w:r>
        <w:rPr>
          <w:rFonts w:hint="eastAsia"/>
          <w:sz w:val="24"/>
          <w:szCs w:val="24"/>
          <w:lang w:val="zh-CN"/>
        </w:rPr>
        <w:t>-1</w:t>
      </w:r>
      <w:r>
        <w:rPr>
          <w:rFonts w:hint="eastAsia"/>
          <w:sz w:val="24"/>
          <w:szCs w:val="24"/>
        </w:rPr>
        <w:t xml:space="preserve"> </w:t>
      </w:r>
      <w:r>
        <w:rPr>
          <w:rFonts w:hint="eastAsia"/>
          <w:sz w:val="24"/>
          <w:szCs w:val="24"/>
          <w:lang w:val="zh-CN"/>
        </w:rPr>
        <w:t>生产工艺及设备</w:t>
      </w:r>
      <w:r>
        <w:rPr>
          <w:rFonts w:hint="eastAsia"/>
          <w:sz w:val="24"/>
          <w:szCs w:val="24"/>
        </w:rPr>
        <w:t>设施</w:t>
      </w:r>
      <w:r>
        <w:rPr>
          <w:rFonts w:hint="eastAsia"/>
          <w:sz w:val="24"/>
          <w:szCs w:val="24"/>
          <w:lang w:val="zh-CN"/>
        </w:rPr>
        <w:t>安全检查表</w:t>
      </w:r>
    </w:p>
    <w:tbl>
      <w:tblPr>
        <w:tblStyle w:val="89"/>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4"/>
        <w:gridCol w:w="3299"/>
        <w:gridCol w:w="2464"/>
        <w:gridCol w:w="2383"/>
        <w:gridCol w:w="5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b/>
                <w:bCs/>
                <w:color w:val="000000" w:themeColor="text1"/>
                <w:kern w:val="0"/>
                <w:sz w:val="21"/>
                <w:szCs w:val="21"/>
                <w:lang w:eastAsia="en-US"/>
              </w:rPr>
            </w:pPr>
            <w:r>
              <w:rPr>
                <w:rFonts w:hint="eastAsia" w:cs="宋体"/>
                <w:b/>
                <w:bCs/>
                <w:color w:val="000000" w:themeColor="text1"/>
                <w:kern w:val="0"/>
                <w:sz w:val="21"/>
                <w:szCs w:val="21"/>
                <w:lang w:eastAsia="en-US"/>
              </w:rPr>
              <w:t>序号</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b/>
                <w:bCs/>
                <w:color w:val="000000" w:themeColor="text1"/>
                <w:kern w:val="0"/>
                <w:sz w:val="21"/>
                <w:szCs w:val="21"/>
                <w:lang w:eastAsia="en-US"/>
              </w:rPr>
            </w:pPr>
            <w:r>
              <w:rPr>
                <w:rFonts w:hint="eastAsia" w:cs="宋体"/>
                <w:b/>
                <w:bCs/>
                <w:color w:val="000000" w:themeColor="text1"/>
                <w:kern w:val="0"/>
                <w:sz w:val="21"/>
                <w:szCs w:val="21"/>
                <w:lang w:eastAsia="en-US"/>
              </w:rPr>
              <w:t>检  查  内  容</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b/>
                <w:bCs/>
                <w:color w:val="000000" w:themeColor="text1"/>
                <w:kern w:val="0"/>
                <w:sz w:val="21"/>
                <w:szCs w:val="21"/>
                <w:lang w:eastAsia="en-US"/>
              </w:rPr>
            </w:pPr>
            <w:r>
              <w:rPr>
                <w:rFonts w:hint="eastAsia" w:cs="宋体"/>
                <w:b/>
                <w:bCs/>
                <w:color w:val="000000" w:themeColor="text1"/>
                <w:kern w:val="0"/>
                <w:sz w:val="21"/>
                <w:szCs w:val="21"/>
                <w:lang w:eastAsia="en-US"/>
              </w:rPr>
              <w:t>依 据 标 准</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b/>
                <w:bCs/>
                <w:color w:val="000000" w:themeColor="text1"/>
                <w:kern w:val="0"/>
                <w:sz w:val="21"/>
                <w:szCs w:val="21"/>
                <w:lang w:eastAsia="en-US"/>
              </w:rPr>
            </w:pPr>
            <w:r>
              <w:rPr>
                <w:rFonts w:hint="eastAsia" w:cs="宋体"/>
                <w:b/>
                <w:bCs/>
                <w:color w:val="000000" w:themeColor="text1"/>
                <w:kern w:val="0"/>
                <w:sz w:val="21"/>
                <w:szCs w:val="21"/>
                <w:lang w:eastAsia="en-US"/>
              </w:rPr>
              <w:t>检 查 情 况</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b/>
                <w:bCs/>
                <w:color w:val="000000" w:themeColor="text1"/>
                <w:kern w:val="0"/>
                <w:sz w:val="21"/>
                <w:szCs w:val="21"/>
                <w:lang w:eastAsia="en-US"/>
              </w:rPr>
            </w:pPr>
            <w:r>
              <w:rPr>
                <w:rFonts w:hint="eastAsia" w:cs="宋体"/>
                <w:b/>
                <w:bCs/>
                <w:color w:val="000000" w:themeColor="text1"/>
                <w:kern w:val="0"/>
                <w:sz w:val="21"/>
                <w:szCs w:val="21"/>
                <w:lang w:eastAsia="en-US"/>
              </w:rPr>
              <w:t>检查结果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生产设备的各种受力零、部件及其联接，必须合理选择结构、材料、工艺和安全系数，在规定使用寿命内按规定使用时，不得产生断裂和破碎。</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2.2</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跃进化工内生产设备各种受力零、部件及其联接均在使用寿命内使用。</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2</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生产设备不得在振动、风载或其他预期的外载荷作用下倾覆，或产生不应有的位移。</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2.4.1</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跃进化工内生产设备均采取牢靠的固定措施。</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3</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设计、选择和布置操纵器，应与人体操作部分的特性（特别是功能特性），以及控制任务相适应。</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2.6.1</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跃进化工内生产装置的操纵器均按要求进行了设置。</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4</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生产设备上供人员作业的工作位置，应安全可靠。其工作空间应保证操作人员的头、臂、手、腿、足有充分的活动余地。危险作业点，应留有足够的退避空间。</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2.7</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跃进化工内生产设备人员工作的操作位置，按要求进行了设置，能满足作业人员的巡检空间。</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5</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生产设备必须保证操作点和操作区域有充足的照度。但要消除各种频闪效应和眩光现象。</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2.8.1</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跃进化工设备周围设置照明灯。</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6</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生产设备内部需要经常进行观察的部位，应备有照明装置或电源插座。</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2.8.2</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跃进化工生产设备内部不需要经常进行观察。</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7</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生产设备上的相对运动部位，应具有良好的润滑条件，并尽可能采用集中润滑或自动润滑方式。</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2.9.1</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生产设备上的相对运动部位，具有良好的润滑条件。</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8</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人员易触及的可动零、部件，应尽可能封闭，以避免在运转时与</w:t>
            </w:r>
            <w:r>
              <w:rPr>
                <w:rFonts w:hint="eastAsia" w:cs="宋体"/>
                <w:color w:val="000000" w:themeColor="text1"/>
                <w:kern w:val="0"/>
                <w:sz w:val="21"/>
                <w:szCs w:val="21"/>
                <w:lang w:val="zh-CN" w:eastAsia="en-US"/>
              </w:rPr>
              <w:t>其接触。</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val="zh-CN" w:eastAsia="en-US"/>
              </w:rPr>
              <w:t>3.1.1</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对人员易触及的可动零、部件</w:t>
            </w:r>
            <w:r>
              <w:rPr>
                <w:rFonts w:hint="eastAsia" w:cs="宋体"/>
                <w:color w:val="000000" w:themeColor="text1"/>
                <w:kern w:val="0"/>
                <w:sz w:val="21"/>
                <w:szCs w:val="21"/>
                <w:lang w:val="zh-CN" w:eastAsia="en-US"/>
              </w:rPr>
              <w:t>主要设置机械防护罩进行保护。</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9</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设备运行时，操作者需要接近的可动零、部件，必须配置必要的安全防护装置。</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3.1.2</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配备了相应的安全防护装置。</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0</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生产设备的控制装置，应安装在使操作者能看到整个设备动作的位置上。对于某些开车时在控制点看不见全貌的生产设备，应配置开车预警信号装置。</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3.6.1.4</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跃进化工内的设备控制装置按要求进行了设置，设置在易于辨识的位置。</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1</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生产设备因意外起动可能危及人身安全时，必须配置起强制作用的安全防护装置（有的需要配置两种以上互为联锁的安全装置），以防止意外起动。</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3.6.3.2</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配置了相应的安全防护装置。</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2</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设计生产设备，应通过下列途径保证其安全卫生：选择最佳设计方案并进行安全卫生评价；对可能产生的危险因素和有害因素采取有效防护措施；在运输、贮存、安装、使用和维修等技术文件中写明安全卫生要求。</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4.4</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跃进化工的生产设备采购合格生产厂家生产的设备，并安装了有效的防护设施，制定了相关的安全规程。</w:t>
            </w:r>
            <w:r>
              <w:rPr>
                <w:rFonts w:hint="eastAsia" w:ascii="宋体" w:hAnsi="宋体"/>
                <w:color w:val="auto"/>
                <w:sz w:val="21"/>
                <w:szCs w:val="21"/>
                <w:lang w:eastAsia="en-US"/>
              </w:rPr>
              <w:t>详见报告F6.40</w:t>
            </w:r>
            <w:r>
              <w:rPr>
                <w:rFonts w:hint="eastAsia" w:cs="宋体"/>
                <w:color w:val="000000" w:themeColor="text1"/>
                <w:kern w:val="0"/>
                <w:sz w:val="21"/>
                <w:szCs w:val="21"/>
                <w:lang w:eastAsia="en-US"/>
              </w:rPr>
              <w:t>。</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3</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用于制造生产设备的材料，在规定使用期限内必须能承受在规定使用条件下可能出现的各种物理的、化学的和生物的作用。</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5.2.1</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跃进化工内的相应生产设备的材料在施工前进行了检查验收，符合相应的要求。</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4</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易被腐蚀或空蚀的生产设备及其零部件应选用耐腐蚀或耐空蚀材料制造，并应采取防蚀措施。同时，应规定检查和更换周期。</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5.2.4</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跃进化工的生产设备和零部件采用了相应的耐蚀材料，并采取了相应的防腐蚀措施。</w:t>
            </w:r>
            <w:r>
              <w:rPr>
                <w:rFonts w:hint="eastAsia" w:ascii="宋体" w:hAnsi="宋体"/>
                <w:color w:val="auto"/>
                <w:sz w:val="21"/>
                <w:szCs w:val="21"/>
                <w:lang w:eastAsia="en-US"/>
              </w:rPr>
              <w:t>详见报告F6.44</w:t>
            </w:r>
            <w:r>
              <w:rPr>
                <w:rFonts w:hint="eastAsia" w:cs="宋体"/>
                <w:color w:val="000000" w:themeColor="text1"/>
                <w:kern w:val="0"/>
                <w:sz w:val="21"/>
                <w:szCs w:val="21"/>
                <w:lang w:eastAsia="en-US"/>
              </w:rPr>
              <w:t>。</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5</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设计操作位置，必须充分考虑人员脚踏和站立的安全性。</w:t>
            </w:r>
            <w:r>
              <w:rPr>
                <w:rFonts w:cs="宋体"/>
                <w:color w:val="000000" w:themeColor="text1"/>
                <w:kern w:val="0"/>
                <w:sz w:val="21"/>
                <w:szCs w:val="21"/>
                <w:lang w:eastAsia="en-US"/>
              </w:rPr>
              <w:t>a.</w:t>
            </w:r>
            <w:r>
              <w:rPr>
                <w:rFonts w:hint="eastAsia" w:cs="宋体"/>
                <w:color w:val="000000" w:themeColor="text1"/>
                <w:kern w:val="0"/>
                <w:sz w:val="21"/>
                <w:szCs w:val="21"/>
                <w:lang w:eastAsia="en-US"/>
              </w:rPr>
              <w:t>若操作人员经常变换工作位置，则必须在生产设备上配备安全走板。</w:t>
            </w:r>
            <w:r>
              <w:rPr>
                <w:rFonts w:hint="eastAsia" w:cs="宋体"/>
                <w:color w:val="000000" w:themeColor="text1"/>
                <w:kern w:val="0"/>
                <w:sz w:val="21"/>
                <w:szCs w:val="21"/>
                <w:lang w:val="zh-CN" w:eastAsia="en-US"/>
              </w:rPr>
              <w:t>安全走板的宽度应不小于</w:t>
            </w:r>
            <w:r>
              <w:rPr>
                <w:rFonts w:cs="宋体"/>
                <w:color w:val="000000" w:themeColor="text1"/>
                <w:kern w:val="0"/>
                <w:sz w:val="21"/>
                <w:szCs w:val="21"/>
                <w:lang w:val="zh-CN" w:eastAsia="en-US"/>
              </w:rPr>
              <w:t>500mm</w:t>
            </w:r>
            <w:r>
              <w:rPr>
                <w:rFonts w:hint="eastAsia" w:cs="宋体"/>
                <w:color w:val="000000" w:themeColor="text1"/>
                <w:kern w:val="0"/>
                <w:sz w:val="21"/>
                <w:szCs w:val="21"/>
                <w:lang w:val="zh-CN" w:eastAsia="en-US"/>
              </w:rPr>
              <w:t>；</w:t>
            </w:r>
            <w:r>
              <w:rPr>
                <w:rFonts w:cs="宋体"/>
                <w:color w:val="000000" w:themeColor="text1"/>
                <w:kern w:val="0"/>
                <w:sz w:val="21"/>
                <w:szCs w:val="21"/>
                <w:lang w:val="zh-CN" w:eastAsia="en-US"/>
              </w:rPr>
              <w:t>b.</w:t>
            </w:r>
            <w:r>
              <w:rPr>
                <w:rFonts w:hint="eastAsia" w:cs="宋体"/>
                <w:color w:val="000000" w:themeColor="text1"/>
                <w:kern w:val="0"/>
                <w:sz w:val="21"/>
                <w:szCs w:val="21"/>
                <w:lang w:val="zh-CN" w:eastAsia="en-US"/>
              </w:rPr>
              <w:t>若操作人员进行操作、维护、调节的工作位置在坠落基准面</w:t>
            </w:r>
            <w:r>
              <w:rPr>
                <w:rFonts w:cs="宋体"/>
                <w:color w:val="000000" w:themeColor="text1"/>
                <w:kern w:val="0"/>
                <w:sz w:val="21"/>
                <w:szCs w:val="21"/>
                <w:lang w:val="zh-CN" w:eastAsia="en-US"/>
              </w:rPr>
              <w:t>2m</w:t>
            </w:r>
            <w:r>
              <w:rPr>
                <w:rFonts w:hint="eastAsia" w:cs="宋体"/>
                <w:color w:val="000000" w:themeColor="text1"/>
                <w:kern w:val="0"/>
                <w:sz w:val="21"/>
                <w:szCs w:val="21"/>
                <w:lang w:val="zh-CN" w:eastAsia="en-US"/>
              </w:rPr>
              <w:t>以上时，则必须在生产设备上配置供站立的平台和防坠落的护栏、护板或安全圈等；</w:t>
            </w:r>
            <w:r>
              <w:rPr>
                <w:rFonts w:cs="宋体"/>
                <w:color w:val="000000" w:themeColor="text1"/>
                <w:kern w:val="0"/>
                <w:sz w:val="21"/>
                <w:szCs w:val="21"/>
                <w:lang w:val="zh-CN" w:eastAsia="en-US"/>
              </w:rPr>
              <w:t>c.</w:t>
            </w:r>
            <w:r>
              <w:rPr>
                <w:rFonts w:hint="eastAsia" w:cs="宋体"/>
                <w:color w:val="000000" w:themeColor="text1"/>
                <w:kern w:val="0"/>
                <w:sz w:val="21"/>
                <w:szCs w:val="21"/>
                <w:lang w:val="zh-CN" w:eastAsia="en-US"/>
              </w:rPr>
              <w:t>生产设备应具有良好的防渗漏性能。对有可能产生渗漏的生产设备，应有适宜的收集和排放装置，必要时，应设有特殊防滑地板。</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5.7.4</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跃进化工按要求设置了相应的安全防护措施（护栏、盖板等）。</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6</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以操作人员的操作位置所在平面为基准，凡高度在</w:t>
            </w:r>
            <w:r>
              <w:rPr>
                <w:rFonts w:cs="宋体"/>
                <w:color w:val="000000" w:themeColor="text1"/>
                <w:kern w:val="0"/>
                <w:sz w:val="21"/>
                <w:szCs w:val="21"/>
                <w:lang w:eastAsia="en-US"/>
              </w:rPr>
              <w:t>2m</w:t>
            </w:r>
            <w:r>
              <w:rPr>
                <w:rFonts w:hint="eastAsia" w:cs="宋体"/>
                <w:color w:val="000000" w:themeColor="text1"/>
                <w:kern w:val="0"/>
                <w:sz w:val="21"/>
                <w:szCs w:val="21"/>
                <w:lang w:eastAsia="en-US"/>
              </w:rPr>
              <w:t>之内的所有传动带、转轴、传动链、联轴节、带轮、齿轮、飞轮、链轮、电锯等外露危险零部件及危险部位，都必须设置安全防护装置。</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《生产设备安全卫生设计总则》（</w:t>
            </w:r>
            <w:r>
              <w:rPr>
                <w:rFonts w:cs="宋体"/>
                <w:color w:val="000000" w:themeColor="text1"/>
                <w:kern w:val="0"/>
                <w:sz w:val="21"/>
                <w:szCs w:val="21"/>
                <w:lang w:eastAsia="en-US"/>
              </w:rPr>
              <w:t>GB5083-1999</w:t>
            </w:r>
            <w:r>
              <w:rPr>
                <w:rFonts w:hint="eastAsia" w:cs="宋体"/>
                <w:color w:val="000000" w:themeColor="text1"/>
                <w:kern w:val="0"/>
                <w:sz w:val="21"/>
                <w:szCs w:val="21"/>
                <w:lang w:eastAsia="en-US"/>
              </w:rPr>
              <w:t>）第</w:t>
            </w:r>
            <w:r>
              <w:rPr>
                <w:rFonts w:cs="宋体"/>
                <w:color w:val="000000" w:themeColor="text1"/>
                <w:kern w:val="0"/>
                <w:sz w:val="21"/>
                <w:szCs w:val="21"/>
                <w:lang w:eastAsia="en-US"/>
              </w:rPr>
              <w:t>6.1.6</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跃进化工的相关设备设施按要求设置了安全防护设施（防护罩、网等）。</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cs="宋体"/>
                <w:color w:val="000000" w:themeColor="text1"/>
                <w:kern w:val="0"/>
                <w:sz w:val="21"/>
                <w:szCs w:val="21"/>
                <w:lang w:eastAsia="en-US"/>
              </w:rPr>
              <w:t>1</w:t>
            </w:r>
            <w:r>
              <w:rPr>
                <w:rFonts w:hint="eastAsia" w:cs="宋体"/>
                <w:color w:val="000000" w:themeColor="text1"/>
                <w:kern w:val="0"/>
                <w:sz w:val="21"/>
                <w:szCs w:val="21"/>
                <w:lang w:eastAsia="en-US"/>
              </w:rPr>
              <w:t>7</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应优先采用先进的生产工艺、技术和原材料，工艺流程的设计宜使操作人员远离热源，同时根据其具体条件采取必要的隔热、通风、降温等措施，消除高温职业危害。</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《工业企业设计卫生标准》（</w:t>
            </w:r>
            <w:r>
              <w:rPr>
                <w:rFonts w:cs="宋体"/>
                <w:color w:val="000000" w:themeColor="text1"/>
                <w:kern w:val="0"/>
                <w:sz w:val="21"/>
                <w:szCs w:val="21"/>
                <w:lang w:eastAsia="en-US"/>
              </w:rPr>
              <w:t>GBZ1-2010</w:t>
            </w:r>
            <w:r>
              <w:rPr>
                <w:rFonts w:hint="eastAsia" w:cs="宋体"/>
                <w:color w:val="000000" w:themeColor="text1"/>
                <w:kern w:val="0"/>
                <w:sz w:val="21"/>
                <w:szCs w:val="21"/>
                <w:lang w:eastAsia="en-US"/>
              </w:rPr>
              <w:t>）</w:t>
            </w:r>
            <w:r>
              <w:rPr>
                <w:rFonts w:cs="宋体"/>
                <w:color w:val="000000" w:themeColor="text1"/>
                <w:kern w:val="0"/>
                <w:sz w:val="21"/>
                <w:szCs w:val="21"/>
                <w:lang w:eastAsia="en-US"/>
              </w:rPr>
              <w:t>6.2.1.1</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公司生产采用的生产工艺属于国内较成熟的生产工艺。生产过程中为作业人员配备必要的劳动防护用品。</w:t>
            </w:r>
            <w:r>
              <w:rPr>
                <w:rFonts w:hint="eastAsia" w:ascii="宋体" w:hAnsi="宋体"/>
                <w:color w:val="auto"/>
                <w:sz w:val="21"/>
                <w:szCs w:val="21"/>
                <w:lang w:eastAsia="en-US"/>
              </w:rPr>
              <w:t>详见报告F6.41</w:t>
            </w:r>
            <w:r>
              <w:rPr>
                <w:rFonts w:hint="eastAsia" w:cs="宋体"/>
                <w:color w:val="000000" w:themeColor="text1"/>
                <w:kern w:val="0"/>
                <w:sz w:val="21"/>
                <w:szCs w:val="21"/>
                <w:lang w:eastAsia="en-US"/>
              </w:rPr>
              <w:t>。</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18</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应采用没有危害或危害较小的新工艺、新技术、新设备。淘汰职业病危害严重又难以治理的落后的工艺和设备，降低、减少、削弱生产过程对环境和操作人员的危害。</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《化工企业安全卫生设计规范》（</w:t>
            </w:r>
            <w:r>
              <w:rPr>
                <w:rFonts w:cs="宋体"/>
                <w:color w:val="000000" w:themeColor="text1"/>
                <w:kern w:val="0"/>
                <w:sz w:val="21"/>
                <w:szCs w:val="21"/>
                <w:lang w:eastAsia="en-US"/>
              </w:rPr>
              <w:t>HG20571-2014</w:t>
            </w:r>
            <w:r>
              <w:rPr>
                <w:rFonts w:hint="eastAsia" w:cs="宋体"/>
                <w:color w:val="000000" w:themeColor="text1"/>
                <w:kern w:val="0"/>
                <w:sz w:val="21"/>
                <w:szCs w:val="21"/>
                <w:lang w:eastAsia="en-US"/>
              </w:rPr>
              <w:t>）第</w:t>
            </w:r>
            <w:r>
              <w:rPr>
                <w:rFonts w:cs="宋体"/>
                <w:color w:val="000000" w:themeColor="text1"/>
                <w:kern w:val="0"/>
                <w:sz w:val="21"/>
                <w:szCs w:val="21"/>
                <w:lang w:eastAsia="en-US"/>
              </w:rPr>
              <w:t>3.3.2</w:t>
            </w:r>
            <w:r>
              <w:rPr>
                <w:rFonts w:hint="eastAsia" w:cs="宋体"/>
                <w:color w:val="000000" w:themeColor="text1"/>
                <w:kern w:val="0"/>
                <w:sz w:val="21"/>
                <w:szCs w:val="21"/>
                <w:lang w:eastAsia="en-US"/>
              </w:rPr>
              <w:t>条</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跃进化工采用的生产工艺、工艺设备为国内较为成熟的设备。</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19</w:t>
            </w:r>
          </w:p>
        </w:tc>
        <w:tc>
          <w:tcPr>
            <w:tcW w:w="3299"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各种仪器、仪表、监测记录装置等，必须选用合理，灵敏可靠，易于辨识。</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《生产过程安全卫生要求总则》（GB/T12801-2008）</w:t>
            </w:r>
          </w:p>
        </w:tc>
        <w:tc>
          <w:tcPr>
            <w:tcW w:w="2383"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210" w:firstLineChars="100"/>
              <w:rPr>
                <w:rFonts w:cs="宋体"/>
                <w:color w:val="000000" w:themeColor="text1"/>
                <w:kern w:val="0"/>
                <w:sz w:val="21"/>
                <w:szCs w:val="21"/>
                <w:lang w:eastAsia="en-US"/>
              </w:rPr>
            </w:pPr>
            <w:r>
              <w:rPr>
                <w:rFonts w:hint="eastAsia" w:cs="宋体"/>
                <w:color w:val="000000" w:themeColor="text1"/>
                <w:kern w:val="0"/>
                <w:sz w:val="21"/>
                <w:szCs w:val="21"/>
                <w:lang w:eastAsia="en-US"/>
              </w:rPr>
              <w:t>跃进化工工艺系统的各种仪器、仪表、监测记录均选用合理，仪器、仪表定期检验合格，灵敏可靠。</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bl>
    <w:p>
      <w:pPr>
        <w:ind w:firstLine="560"/>
        <w:rPr>
          <w:color w:val="000000" w:themeColor="text1"/>
        </w:rPr>
      </w:pPr>
    </w:p>
    <w:p>
      <w:pPr>
        <w:ind w:firstLine="560"/>
        <w:rPr>
          <w:rFonts w:ascii="宋体" w:hAnsi="宋体"/>
          <w:color w:val="000000" w:themeColor="text1"/>
          <w:szCs w:val="28"/>
          <w:lang w:val="zh-CN"/>
        </w:rPr>
      </w:pPr>
      <w:r>
        <w:rPr>
          <w:rFonts w:hint="eastAsia"/>
          <w:color w:val="000000" w:themeColor="text1"/>
        </w:rPr>
        <w:t>通过检查表评价可知：漾濞县跃进化工有限责任公司生产工艺及设备设施符合《生产设备安全卫生设计总则》（GB5083-1999）、《工业企业设计卫生标准》（GBZ1-2010）、《化工企业安全卫生设计规范》（HG20571-2014）的规定。</w:t>
      </w:r>
    </w:p>
    <w:p>
      <w:pPr>
        <w:pStyle w:val="4"/>
        <w:keepNext w:val="0"/>
        <w:keepLines w:val="0"/>
        <w:ind w:firstLine="562"/>
      </w:pPr>
      <w:bookmarkStart w:id="4169" w:name="_Toc4045"/>
      <w:bookmarkStart w:id="4170" w:name="_Toc21754"/>
      <w:bookmarkStart w:id="4171" w:name="_Toc1897"/>
      <w:bookmarkStart w:id="4172" w:name="_Toc21596"/>
      <w:bookmarkStart w:id="4173" w:name="_Toc5104"/>
      <w:bookmarkStart w:id="4174" w:name="_Toc27765"/>
      <w:bookmarkStart w:id="4175" w:name="_Toc22457"/>
      <w:bookmarkStart w:id="4176" w:name="_Toc16588"/>
      <w:bookmarkStart w:id="4177" w:name="_Toc20099"/>
      <w:bookmarkStart w:id="4178" w:name="_Toc24794"/>
      <w:bookmarkStart w:id="4179" w:name="_Toc5715"/>
      <w:bookmarkStart w:id="4180" w:name="_Toc18214"/>
      <w:bookmarkStart w:id="4181" w:name="_Toc17527"/>
      <w:bookmarkStart w:id="4182" w:name="_Toc3546"/>
      <w:bookmarkStart w:id="4183" w:name="_Toc10371"/>
      <w:bookmarkStart w:id="4184" w:name="_Toc10434"/>
      <w:bookmarkStart w:id="4185" w:name="_Toc16363"/>
      <w:bookmarkStart w:id="4186" w:name="_Toc32588"/>
      <w:bookmarkStart w:id="4187" w:name="_Toc128056532"/>
      <w:bookmarkStart w:id="4188" w:name="_Toc19752"/>
      <w:bookmarkStart w:id="4189" w:name="_Toc27786"/>
      <w:bookmarkStart w:id="4190" w:name="_Toc20909"/>
      <w:bookmarkStart w:id="4191" w:name="_Toc15890"/>
      <w:bookmarkStart w:id="4192" w:name="_Toc31654"/>
      <w:bookmarkStart w:id="4193" w:name="_Toc23119"/>
      <w:bookmarkStart w:id="4194" w:name="_Toc22782"/>
      <w:r>
        <w:rPr>
          <w:rFonts w:hint="eastAsia"/>
        </w:rPr>
        <w:t>F4.2.</w:t>
      </w:r>
      <w:r>
        <w:t>2</w:t>
      </w:r>
      <w:r>
        <w:rPr>
          <w:rFonts w:hint="eastAsia"/>
        </w:rPr>
        <w:tab/>
      </w:r>
      <w:r>
        <w:rPr>
          <w:rFonts w:hint="eastAsia"/>
        </w:rPr>
        <w:t xml:space="preserve"> 作业条件危险性评价法评价</w:t>
      </w:r>
      <w:bookmarkEnd w:id="4169"/>
      <w:bookmarkEnd w:id="4170"/>
      <w:bookmarkEnd w:id="4171"/>
      <w:bookmarkEnd w:id="4172"/>
      <w:bookmarkEnd w:id="4173"/>
      <w:bookmarkEnd w:id="4174"/>
      <w:bookmarkEnd w:id="4175"/>
      <w:bookmarkEnd w:id="4176"/>
      <w:bookmarkEnd w:id="4177"/>
      <w:bookmarkEnd w:id="4178"/>
      <w:bookmarkEnd w:id="4179"/>
      <w:bookmarkEnd w:id="4180"/>
      <w:bookmarkEnd w:id="4181"/>
      <w:bookmarkEnd w:id="4182"/>
      <w:bookmarkEnd w:id="4183"/>
      <w:bookmarkEnd w:id="4184"/>
      <w:bookmarkEnd w:id="4185"/>
      <w:bookmarkEnd w:id="4186"/>
      <w:bookmarkEnd w:id="4187"/>
      <w:bookmarkEnd w:id="4188"/>
      <w:bookmarkEnd w:id="4189"/>
      <w:bookmarkEnd w:id="4190"/>
      <w:bookmarkEnd w:id="4191"/>
      <w:bookmarkEnd w:id="4192"/>
      <w:bookmarkEnd w:id="4193"/>
      <w:bookmarkEnd w:id="4194"/>
    </w:p>
    <w:p>
      <w:pPr>
        <w:topLinePunct/>
        <w:ind w:firstLine="560"/>
        <w:rPr>
          <w:rFonts w:ascii="宋体" w:hAnsi="宋体"/>
          <w:color w:val="auto"/>
          <w:kern w:val="0"/>
          <w:szCs w:val="28"/>
        </w:rPr>
      </w:pPr>
      <w:bookmarkStart w:id="4195" w:name="_Toc525367336"/>
      <w:bookmarkStart w:id="4196" w:name="_Toc62740978"/>
      <w:bookmarkStart w:id="4197" w:name="_Toc62219376"/>
      <w:r>
        <w:rPr>
          <w:rFonts w:hint="eastAsia" w:ascii="宋体" w:hAnsi="宋体"/>
          <w:color w:val="auto"/>
          <w:kern w:val="0"/>
          <w:szCs w:val="28"/>
        </w:rPr>
        <w:t>（1）</w:t>
      </w:r>
      <w:r>
        <w:rPr>
          <w:rFonts w:hint="eastAsia" w:ascii="宋体" w:hAnsi="宋体"/>
          <w:color w:val="auto"/>
          <w:kern w:val="0"/>
          <w:szCs w:val="28"/>
        </w:rPr>
        <w:tab/>
      </w:r>
      <w:r>
        <w:rPr>
          <w:rFonts w:hint="eastAsia" w:ascii="宋体" w:hAnsi="宋体"/>
          <w:color w:val="auto"/>
          <w:kern w:val="0"/>
          <w:szCs w:val="28"/>
        </w:rPr>
        <w:t>作业条件危险性评价法评价表</w:t>
      </w:r>
    </w:p>
    <w:p>
      <w:pPr>
        <w:topLinePunct/>
        <w:ind w:firstLine="560"/>
        <w:rPr>
          <w:color w:val="auto"/>
          <w:szCs w:val="28"/>
        </w:rPr>
      </w:pPr>
      <w:r>
        <w:rPr>
          <w:rFonts w:ascii="宋体" w:hAnsi="宋体"/>
          <w:color w:val="auto"/>
          <w:szCs w:val="28"/>
        </w:rPr>
        <w:t>生产包括</w:t>
      </w:r>
      <w:r>
        <w:rPr>
          <w:rFonts w:hint="eastAsia" w:ascii="宋体" w:hAnsi="宋体"/>
          <w:color w:val="auto"/>
          <w:szCs w:val="28"/>
        </w:rPr>
        <w:t>原料工段、焙烧工段、净化工段、转化工段、干吸工段、尾气吸收工段及污水处理工序共七个工序</w:t>
      </w:r>
      <w:r>
        <w:rPr>
          <w:rFonts w:hint="eastAsia"/>
          <w:color w:val="auto"/>
          <w:szCs w:val="28"/>
        </w:rPr>
        <w:t>。</w:t>
      </w:r>
    </w:p>
    <w:p>
      <w:pPr>
        <w:topLinePunct/>
        <w:ind w:firstLine="560"/>
        <w:rPr>
          <w:color w:val="auto"/>
          <w:szCs w:val="28"/>
        </w:rPr>
      </w:pPr>
      <w:r>
        <w:rPr>
          <w:color w:val="auto"/>
          <w:szCs w:val="28"/>
        </w:rPr>
        <w:t>通过</w:t>
      </w:r>
      <w:r>
        <w:rPr>
          <w:rFonts w:hint="eastAsia"/>
          <w:color w:val="auto"/>
          <w:szCs w:val="28"/>
        </w:rPr>
        <w:t>生产</w:t>
      </w:r>
      <w:r>
        <w:rPr>
          <w:color w:val="auto"/>
          <w:szCs w:val="28"/>
        </w:rPr>
        <w:t>工艺操作条及危险性分析，可知在生产过程中危险事件发生可能性L，由于是有可能发生，因此L值取3；操作过程</w:t>
      </w:r>
      <w:r>
        <w:rPr>
          <w:rFonts w:hint="eastAsia"/>
          <w:color w:val="auto"/>
          <w:szCs w:val="28"/>
        </w:rPr>
        <w:t>每周一次或偶尔暴露</w:t>
      </w:r>
      <w:r>
        <w:rPr>
          <w:color w:val="auto"/>
          <w:szCs w:val="28"/>
        </w:rPr>
        <w:t>在危险环境中，因此E值取6；根据该作业环境中产生的危害对人体伤害和物质损失的可能程度，危险严重度C值取3。按照以上取值计算：</w:t>
      </w:r>
    </w:p>
    <w:p>
      <w:pPr>
        <w:ind w:firstLine="560"/>
        <w:rPr>
          <w:color w:val="auto"/>
          <w:szCs w:val="28"/>
        </w:rPr>
      </w:pPr>
      <w:bookmarkStart w:id="4198" w:name="_Hlk39238453"/>
      <w:r>
        <w:rPr>
          <w:color w:val="auto"/>
          <w:szCs w:val="28"/>
        </w:rPr>
        <w:t>危险性（D）＝L×E×C</w:t>
      </w:r>
    </w:p>
    <w:p>
      <w:pPr>
        <w:ind w:firstLine="560"/>
        <w:rPr>
          <w:color w:val="auto"/>
          <w:szCs w:val="28"/>
        </w:rPr>
      </w:pPr>
      <w:r>
        <w:rPr>
          <w:color w:val="auto"/>
          <w:szCs w:val="28"/>
        </w:rPr>
        <w:t xml:space="preserve">           ＝3×6×3</w:t>
      </w:r>
    </w:p>
    <w:p>
      <w:pPr>
        <w:ind w:firstLine="560"/>
        <w:rPr>
          <w:color w:val="auto"/>
          <w:szCs w:val="28"/>
        </w:rPr>
      </w:pPr>
      <w:r>
        <w:rPr>
          <w:color w:val="auto"/>
          <w:szCs w:val="28"/>
        </w:rPr>
        <w:t xml:space="preserve">           ＝54</w:t>
      </w:r>
    </w:p>
    <w:bookmarkEnd w:id="4198"/>
    <w:p>
      <w:pPr>
        <w:ind w:firstLine="560"/>
        <w:rPr>
          <w:color w:val="auto"/>
          <w:szCs w:val="28"/>
        </w:rPr>
      </w:pPr>
      <w:r>
        <w:rPr>
          <w:color w:val="auto"/>
          <w:szCs w:val="28"/>
        </w:rPr>
        <w:t>对照危险性程度分级的分数值可以得出</w:t>
      </w:r>
      <w:r>
        <w:rPr>
          <w:rFonts w:hint="eastAsia"/>
          <w:color w:val="auto"/>
          <w:szCs w:val="28"/>
        </w:rPr>
        <w:t>该项目各生产场所的</w:t>
      </w:r>
      <w:r>
        <w:rPr>
          <w:color w:val="auto"/>
          <w:szCs w:val="28"/>
        </w:rPr>
        <w:t>危险性程度。按照以上方法取值，并计算D值，列入</w:t>
      </w:r>
      <w:r>
        <w:rPr>
          <w:rFonts w:hint="eastAsia"/>
          <w:color w:val="auto"/>
          <w:szCs w:val="28"/>
        </w:rPr>
        <w:t>下表</w:t>
      </w:r>
      <w:r>
        <w:rPr>
          <w:color w:val="auto"/>
          <w:szCs w:val="28"/>
        </w:rPr>
        <w:t>。</w:t>
      </w:r>
    </w:p>
    <w:p>
      <w:pPr>
        <w:adjustRightInd/>
        <w:snapToGrid/>
        <w:spacing w:line="240" w:lineRule="auto"/>
        <w:ind w:firstLine="0" w:firstLineChars="0"/>
        <w:jc w:val="center"/>
        <w:rPr>
          <w:b/>
          <w:bCs/>
          <w:color w:val="auto"/>
          <w:sz w:val="24"/>
        </w:rPr>
      </w:pPr>
      <w:r>
        <w:rPr>
          <w:rFonts w:hint="eastAsia" w:ascii="宋体" w:hAnsi="宋体"/>
          <w:b/>
          <w:bCs/>
          <w:color w:val="auto"/>
          <w:sz w:val="24"/>
          <w:lang w:val="zh-CN"/>
        </w:rPr>
        <w:t>F</w:t>
      </w:r>
      <w:r>
        <w:rPr>
          <w:rFonts w:ascii="宋体" w:hAnsi="宋体"/>
          <w:b/>
          <w:bCs/>
          <w:color w:val="auto"/>
          <w:sz w:val="24"/>
          <w:lang w:val="zh-CN"/>
        </w:rPr>
        <w:t>4.2</w:t>
      </w:r>
      <w:r>
        <w:rPr>
          <w:rFonts w:hint="eastAsia" w:ascii="宋体" w:hAnsi="宋体"/>
          <w:b/>
          <w:bCs/>
          <w:color w:val="auto"/>
          <w:sz w:val="24"/>
          <w:lang w:val="zh-CN"/>
        </w:rPr>
        <w:t xml:space="preserve"> -</w:t>
      </w:r>
      <w:r>
        <w:rPr>
          <w:rFonts w:ascii="宋体" w:hAnsi="宋体"/>
          <w:b/>
          <w:bCs/>
          <w:color w:val="auto"/>
          <w:sz w:val="24"/>
          <w:lang w:val="zh-CN"/>
        </w:rPr>
        <w:t>2</w:t>
      </w:r>
      <w:r>
        <w:rPr>
          <w:rFonts w:hint="eastAsia" w:ascii="宋体" w:hAnsi="宋体"/>
          <w:b/>
          <w:bCs/>
          <w:color w:val="auto"/>
          <w:sz w:val="24"/>
          <w:lang w:val="zh-CN"/>
        </w:rPr>
        <w:t xml:space="preserve"> </w:t>
      </w:r>
      <w:r>
        <w:rPr>
          <w:rFonts w:ascii="宋体" w:hAnsi="宋体"/>
          <w:b/>
          <w:bCs/>
          <w:color w:val="auto"/>
          <w:sz w:val="24"/>
          <w:lang w:val="zh-CN"/>
        </w:rPr>
        <w:t xml:space="preserve"> </w:t>
      </w:r>
      <w:r>
        <w:rPr>
          <w:rFonts w:hint="eastAsia" w:ascii="宋体" w:hAnsi="宋体"/>
          <w:b/>
          <w:bCs/>
          <w:color w:val="auto"/>
          <w:sz w:val="24"/>
          <w:lang w:val="zh-CN"/>
        </w:rPr>
        <w:t>LEC评价表</w:t>
      </w:r>
    </w:p>
    <w:tbl>
      <w:tblPr>
        <w:tblStyle w:val="38"/>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268"/>
        <w:gridCol w:w="737"/>
        <w:gridCol w:w="737"/>
        <w:gridCol w:w="737"/>
        <w:gridCol w:w="737"/>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985" w:type="dxa"/>
            <w:tcBorders>
              <w:tl2br w:val="single" w:color="auto" w:sz="4" w:space="0"/>
            </w:tcBorders>
          </w:tcPr>
          <w:p>
            <w:pPr>
              <w:spacing w:line="240" w:lineRule="exact"/>
              <w:ind w:firstLine="0" w:firstLineChars="0"/>
              <w:jc w:val="center"/>
              <w:rPr>
                <w:b/>
                <w:bCs/>
                <w:color w:val="auto"/>
                <w:sz w:val="21"/>
                <w:szCs w:val="21"/>
              </w:rPr>
            </w:pPr>
            <w:r>
              <w:rPr>
                <w:rFonts w:hint="eastAsia"/>
                <w:b/>
                <w:bCs/>
                <w:color w:val="auto"/>
                <w:sz w:val="21"/>
                <w:szCs w:val="21"/>
              </w:rPr>
              <w:t>单元                 项目</w:t>
            </w:r>
          </w:p>
        </w:tc>
        <w:tc>
          <w:tcPr>
            <w:tcW w:w="2268" w:type="dxa"/>
            <w:vAlign w:val="center"/>
          </w:tcPr>
          <w:p>
            <w:pPr>
              <w:spacing w:line="240" w:lineRule="exact"/>
              <w:ind w:firstLine="0" w:firstLineChars="0"/>
              <w:jc w:val="center"/>
              <w:rPr>
                <w:b/>
                <w:bCs/>
                <w:color w:val="auto"/>
                <w:sz w:val="21"/>
                <w:szCs w:val="21"/>
              </w:rPr>
            </w:pPr>
            <w:r>
              <w:rPr>
                <w:rFonts w:hint="eastAsia"/>
                <w:b/>
                <w:bCs/>
                <w:color w:val="auto"/>
                <w:sz w:val="21"/>
                <w:szCs w:val="21"/>
              </w:rPr>
              <w:t>事故类型</w:t>
            </w:r>
          </w:p>
        </w:tc>
        <w:tc>
          <w:tcPr>
            <w:tcW w:w="737" w:type="dxa"/>
            <w:vAlign w:val="center"/>
          </w:tcPr>
          <w:p>
            <w:pPr>
              <w:spacing w:line="240" w:lineRule="exact"/>
              <w:ind w:firstLine="0" w:firstLineChars="0"/>
              <w:jc w:val="center"/>
              <w:rPr>
                <w:b/>
                <w:bCs/>
                <w:color w:val="auto"/>
                <w:sz w:val="21"/>
                <w:szCs w:val="21"/>
              </w:rPr>
            </w:pPr>
            <w:r>
              <w:rPr>
                <w:rFonts w:hint="eastAsia"/>
                <w:b/>
                <w:bCs/>
                <w:color w:val="auto"/>
                <w:sz w:val="21"/>
                <w:szCs w:val="21"/>
              </w:rPr>
              <w:t>L</w:t>
            </w:r>
          </w:p>
        </w:tc>
        <w:tc>
          <w:tcPr>
            <w:tcW w:w="737" w:type="dxa"/>
            <w:vAlign w:val="center"/>
          </w:tcPr>
          <w:p>
            <w:pPr>
              <w:spacing w:line="240" w:lineRule="exact"/>
              <w:ind w:firstLine="0" w:firstLineChars="0"/>
              <w:jc w:val="center"/>
              <w:rPr>
                <w:b/>
                <w:bCs/>
                <w:color w:val="auto"/>
                <w:sz w:val="21"/>
                <w:szCs w:val="21"/>
              </w:rPr>
            </w:pPr>
            <w:r>
              <w:rPr>
                <w:rFonts w:hint="eastAsia"/>
                <w:b/>
                <w:bCs/>
                <w:color w:val="auto"/>
                <w:sz w:val="21"/>
                <w:szCs w:val="21"/>
              </w:rPr>
              <w:t>E</w:t>
            </w:r>
          </w:p>
        </w:tc>
        <w:tc>
          <w:tcPr>
            <w:tcW w:w="737" w:type="dxa"/>
            <w:vAlign w:val="center"/>
          </w:tcPr>
          <w:p>
            <w:pPr>
              <w:spacing w:line="240" w:lineRule="exact"/>
              <w:ind w:firstLine="0" w:firstLineChars="0"/>
              <w:jc w:val="center"/>
              <w:rPr>
                <w:b/>
                <w:bCs/>
                <w:color w:val="auto"/>
                <w:sz w:val="21"/>
                <w:szCs w:val="21"/>
              </w:rPr>
            </w:pPr>
            <w:r>
              <w:rPr>
                <w:rFonts w:hint="eastAsia"/>
                <w:b/>
                <w:bCs/>
                <w:color w:val="auto"/>
                <w:sz w:val="21"/>
                <w:szCs w:val="21"/>
              </w:rPr>
              <w:t>C</w:t>
            </w:r>
          </w:p>
        </w:tc>
        <w:tc>
          <w:tcPr>
            <w:tcW w:w="737" w:type="dxa"/>
            <w:vAlign w:val="center"/>
          </w:tcPr>
          <w:p>
            <w:pPr>
              <w:spacing w:line="240" w:lineRule="exact"/>
              <w:ind w:firstLine="0" w:firstLineChars="0"/>
              <w:jc w:val="center"/>
              <w:rPr>
                <w:b/>
                <w:bCs/>
                <w:color w:val="auto"/>
                <w:sz w:val="21"/>
                <w:szCs w:val="21"/>
              </w:rPr>
            </w:pPr>
            <w:r>
              <w:rPr>
                <w:rFonts w:hint="eastAsia"/>
                <w:b/>
                <w:bCs/>
                <w:color w:val="auto"/>
                <w:sz w:val="21"/>
                <w:szCs w:val="21"/>
              </w:rPr>
              <w:t>D</w:t>
            </w:r>
          </w:p>
        </w:tc>
        <w:tc>
          <w:tcPr>
            <w:tcW w:w="1871" w:type="dxa"/>
            <w:vAlign w:val="center"/>
          </w:tcPr>
          <w:p>
            <w:pPr>
              <w:spacing w:line="240" w:lineRule="exact"/>
              <w:ind w:firstLine="0" w:firstLineChars="0"/>
              <w:jc w:val="center"/>
              <w:rPr>
                <w:b/>
                <w:bCs/>
                <w:color w:val="auto"/>
                <w:sz w:val="21"/>
                <w:szCs w:val="21"/>
              </w:rPr>
            </w:pPr>
            <w:r>
              <w:rPr>
                <w:rFonts w:hint="eastAsia"/>
                <w:b/>
                <w:bCs/>
                <w:color w:val="auto"/>
                <w:sz w:val="21"/>
                <w:szCs w:val="21"/>
              </w:rPr>
              <w:t>危险程度分级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restart"/>
            <w:vAlign w:val="center"/>
          </w:tcPr>
          <w:p>
            <w:pPr>
              <w:spacing w:line="240" w:lineRule="exact"/>
              <w:ind w:firstLine="0" w:firstLineChars="0"/>
              <w:jc w:val="center"/>
              <w:rPr>
                <w:bCs/>
                <w:color w:val="auto"/>
                <w:sz w:val="21"/>
                <w:szCs w:val="21"/>
              </w:rPr>
            </w:pPr>
            <w:r>
              <w:rPr>
                <w:rFonts w:hint="eastAsia"/>
                <w:bCs/>
                <w:color w:val="auto"/>
                <w:sz w:val="21"/>
                <w:szCs w:val="21"/>
              </w:rPr>
              <w:t>原料工段</w:t>
            </w: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噪声</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1</w:t>
            </w:r>
          </w:p>
        </w:tc>
        <w:tc>
          <w:tcPr>
            <w:tcW w:w="737" w:type="dxa"/>
            <w:vAlign w:val="center"/>
          </w:tcPr>
          <w:p>
            <w:pPr>
              <w:snapToGrid/>
              <w:spacing w:line="280" w:lineRule="exact"/>
              <w:ind w:firstLine="0" w:firstLineChars="0"/>
              <w:jc w:val="center"/>
              <w:rPr>
                <w:bCs/>
                <w:color w:val="auto"/>
                <w:sz w:val="21"/>
                <w:szCs w:val="21"/>
              </w:rPr>
            </w:pPr>
            <w:r>
              <w:rPr>
                <w:bCs/>
                <w:color w:val="auto"/>
                <w:sz w:val="21"/>
                <w:szCs w:val="21"/>
              </w:rPr>
              <w:t>3</w:t>
            </w:r>
          </w:p>
        </w:tc>
        <w:tc>
          <w:tcPr>
            <w:tcW w:w="1871" w:type="dxa"/>
            <w:vAlign w:val="center"/>
          </w:tcPr>
          <w:p>
            <w:pPr>
              <w:spacing w:line="240" w:lineRule="exact"/>
              <w:ind w:firstLine="0" w:firstLineChars="0"/>
              <w:jc w:val="center"/>
              <w:rPr>
                <w:bCs/>
                <w:color w:val="auto"/>
                <w:sz w:val="21"/>
                <w:szCs w:val="21"/>
              </w:rPr>
            </w:pPr>
            <w:r>
              <w:rPr>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粉尘伤害</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3</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1</w:t>
            </w:r>
          </w:p>
        </w:tc>
        <w:tc>
          <w:tcPr>
            <w:tcW w:w="737" w:type="dxa"/>
            <w:vAlign w:val="center"/>
          </w:tcPr>
          <w:p>
            <w:pPr>
              <w:snapToGrid/>
              <w:spacing w:line="280" w:lineRule="exact"/>
              <w:ind w:firstLine="0" w:firstLineChars="0"/>
              <w:jc w:val="center"/>
              <w:rPr>
                <w:bCs/>
                <w:color w:val="auto"/>
                <w:sz w:val="21"/>
                <w:szCs w:val="21"/>
              </w:rPr>
            </w:pPr>
            <w:r>
              <w:rPr>
                <w:bCs/>
                <w:color w:val="auto"/>
                <w:sz w:val="21"/>
                <w:szCs w:val="21"/>
              </w:rPr>
              <w:t>18</w:t>
            </w:r>
          </w:p>
        </w:tc>
        <w:tc>
          <w:tcPr>
            <w:tcW w:w="1871" w:type="dxa"/>
            <w:vAlign w:val="center"/>
          </w:tcPr>
          <w:p>
            <w:pPr>
              <w:spacing w:line="240" w:lineRule="exact"/>
              <w:ind w:firstLine="0" w:firstLineChars="0"/>
              <w:jc w:val="center"/>
              <w:rPr>
                <w:bCs/>
                <w:color w:val="auto"/>
                <w:sz w:val="21"/>
                <w:szCs w:val="21"/>
              </w:rPr>
            </w:pPr>
            <w:r>
              <w:rPr>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机械伤害</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bCs/>
                <w:color w:val="auto"/>
                <w:sz w:val="21"/>
                <w:szCs w:val="21"/>
              </w:rPr>
              <w:t>42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restart"/>
            <w:vAlign w:val="center"/>
          </w:tcPr>
          <w:p>
            <w:pPr>
              <w:spacing w:line="240" w:lineRule="exact"/>
              <w:ind w:firstLine="0" w:firstLineChars="0"/>
              <w:jc w:val="center"/>
              <w:rPr>
                <w:bCs/>
                <w:color w:val="auto"/>
                <w:sz w:val="21"/>
                <w:szCs w:val="21"/>
              </w:rPr>
            </w:pPr>
            <w:r>
              <w:rPr>
                <w:rFonts w:hint="eastAsia"/>
                <w:bCs/>
                <w:color w:val="auto"/>
                <w:sz w:val="21"/>
                <w:szCs w:val="21"/>
              </w:rPr>
              <w:t>焙烧工段</w:t>
            </w: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中毒窒息</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bCs/>
                <w:color w:val="auto"/>
                <w:sz w:val="21"/>
                <w:szCs w:val="21"/>
              </w:rPr>
              <w:t>42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灼烫</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3</w:t>
            </w:r>
          </w:p>
        </w:tc>
        <w:tc>
          <w:tcPr>
            <w:tcW w:w="737" w:type="dxa"/>
            <w:vAlign w:val="center"/>
          </w:tcPr>
          <w:p>
            <w:pPr>
              <w:snapToGrid/>
              <w:spacing w:line="280" w:lineRule="exact"/>
              <w:ind w:firstLine="0" w:firstLineChars="0"/>
              <w:jc w:val="center"/>
              <w:rPr>
                <w:bCs/>
                <w:color w:val="auto"/>
                <w:sz w:val="21"/>
                <w:szCs w:val="21"/>
              </w:rPr>
            </w:pPr>
            <w:r>
              <w:rPr>
                <w:bCs/>
                <w:color w:val="auto"/>
                <w:sz w:val="21"/>
                <w:szCs w:val="21"/>
              </w:rPr>
              <w:t>9</w:t>
            </w:r>
          </w:p>
        </w:tc>
        <w:tc>
          <w:tcPr>
            <w:tcW w:w="1871" w:type="dxa"/>
            <w:vAlign w:val="center"/>
          </w:tcPr>
          <w:p>
            <w:pPr>
              <w:spacing w:line="240" w:lineRule="exact"/>
              <w:ind w:firstLine="0" w:firstLineChars="0"/>
              <w:jc w:val="center"/>
              <w:rPr>
                <w:bCs/>
                <w:color w:val="auto"/>
                <w:sz w:val="21"/>
                <w:szCs w:val="21"/>
              </w:rPr>
            </w:pPr>
            <w:r>
              <w:rPr>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火灾、爆炸</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15</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45</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噪声</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3</w:t>
            </w:r>
          </w:p>
        </w:tc>
        <w:tc>
          <w:tcPr>
            <w:tcW w:w="1871" w:type="dxa"/>
            <w:vAlign w:val="center"/>
          </w:tcPr>
          <w:p>
            <w:pPr>
              <w:spacing w:line="240" w:lineRule="exact"/>
              <w:ind w:firstLine="0" w:firstLineChars="0"/>
              <w:jc w:val="center"/>
              <w:rPr>
                <w:bCs/>
                <w:color w:val="auto"/>
                <w:sz w:val="21"/>
                <w:szCs w:val="21"/>
              </w:rPr>
            </w:pPr>
            <w:r>
              <w:rPr>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机械伤害</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高处坠落</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r>
              <w:rPr>
                <w:color w:val="auto"/>
                <w:sz w:val="21"/>
                <w:szCs w:val="21"/>
              </w:rPr>
              <w:t>5</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5</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restart"/>
            <w:vAlign w:val="center"/>
          </w:tcPr>
          <w:p>
            <w:pPr>
              <w:spacing w:line="240" w:lineRule="exact"/>
              <w:ind w:firstLine="0" w:firstLineChars="0"/>
              <w:jc w:val="center"/>
              <w:rPr>
                <w:bCs/>
                <w:color w:val="auto"/>
                <w:sz w:val="21"/>
                <w:szCs w:val="21"/>
              </w:rPr>
            </w:pPr>
            <w:r>
              <w:rPr>
                <w:rFonts w:hint="eastAsia"/>
                <w:bCs/>
                <w:color w:val="auto"/>
                <w:sz w:val="21"/>
                <w:szCs w:val="21"/>
              </w:rPr>
              <w:t>净化工段</w:t>
            </w: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中毒窒息</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bCs/>
                <w:color w:val="auto"/>
                <w:sz w:val="21"/>
                <w:szCs w:val="21"/>
              </w:rPr>
              <w:t>42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ab/>
            </w:r>
            <w:r>
              <w:rPr>
                <w:rFonts w:hint="eastAsia"/>
                <w:color w:val="auto"/>
                <w:sz w:val="21"/>
                <w:szCs w:val="21"/>
              </w:rPr>
              <w:t>机械伤害</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bCs/>
                <w:color w:val="auto"/>
                <w:sz w:val="21"/>
                <w:szCs w:val="21"/>
              </w:rPr>
              <w:t>42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灼烫</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3</w:t>
            </w:r>
          </w:p>
        </w:tc>
        <w:tc>
          <w:tcPr>
            <w:tcW w:w="737" w:type="dxa"/>
            <w:vAlign w:val="center"/>
          </w:tcPr>
          <w:p>
            <w:pPr>
              <w:snapToGrid/>
              <w:spacing w:line="280" w:lineRule="exact"/>
              <w:ind w:firstLine="0" w:firstLineChars="0"/>
              <w:jc w:val="center"/>
              <w:rPr>
                <w:bCs/>
                <w:color w:val="auto"/>
                <w:sz w:val="21"/>
                <w:szCs w:val="21"/>
              </w:rPr>
            </w:pPr>
            <w:r>
              <w:rPr>
                <w:bCs/>
                <w:color w:val="auto"/>
                <w:sz w:val="21"/>
                <w:szCs w:val="21"/>
              </w:rPr>
              <w:t>9</w:t>
            </w:r>
          </w:p>
        </w:tc>
        <w:tc>
          <w:tcPr>
            <w:tcW w:w="1871" w:type="dxa"/>
            <w:vAlign w:val="center"/>
          </w:tcPr>
          <w:p>
            <w:pPr>
              <w:spacing w:line="240" w:lineRule="exact"/>
              <w:ind w:firstLine="0" w:firstLineChars="0"/>
              <w:jc w:val="center"/>
              <w:rPr>
                <w:bCs/>
                <w:color w:val="auto"/>
                <w:sz w:val="21"/>
                <w:szCs w:val="21"/>
              </w:rPr>
            </w:pPr>
            <w:r>
              <w:rPr>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高处坠落</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r>
              <w:rPr>
                <w:color w:val="auto"/>
                <w:sz w:val="21"/>
                <w:szCs w:val="21"/>
              </w:rPr>
              <w:t>5</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5</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restart"/>
            <w:vAlign w:val="center"/>
          </w:tcPr>
          <w:p>
            <w:pPr>
              <w:spacing w:line="240" w:lineRule="exact"/>
              <w:ind w:firstLine="0" w:firstLineChars="0"/>
              <w:jc w:val="center"/>
              <w:rPr>
                <w:bCs/>
                <w:color w:val="auto"/>
                <w:sz w:val="21"/>
                <w:szCs w:val="21"/>
              </w:rPr>
            </w:pPr>
            <w:r>
              <w:rPr>
                <w:rFonts w:hint="eastAsia"/>
                <w:bCs/>
                <w:color w:val="auto"/>
                <w:sz w:val="21"/>
                <w:szCs w:val="21"/>
              </w:rPr>
              <w:t>转化工段</w:t>
            </w: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中毒窒息</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灼烫</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9</w:t>
            </w:r>
          </w:p>
        </w:tc>
        <w:tc>
          <w:tcPr>
            <w:tcW w:w="1871" w:type="dxa"/>
            <w:vAlign w:val="center"/>
          </w:tcPr>
          <w:p>
            <w:pPr>
              <w:spacing w:line="240" w:lineRule="exact"/>
              <w:ind w:firstLine="0" w:firstLineChars="0"/>
              <w:jc w:val="center"/>
              <w:rPr>
                <w:bCs/>
                <w:color w:val="auto"/>
                <w:sz w:val="21"/>
                <w:szCs w:val="21"/>
              </w:rPr>
            </w:pPr>
            <w:r>
              <w:rPr>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机械伤害</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高处坠落</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r>
              <w:rPr>
                <w:color w:val="auto"/>
                <w:sz w:val="21"/>
                <w:szCs w:val="21"/>
              </w:rPr>
              <w:t>5</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5</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restart"/>
            <w:vAlign w:val="center"/>
          </w:tcPr>
          <w:p>
            <w:pPr>
              <w:spacing w:line="240" w:lineRule="exact"/>
              <w:ind w:firstLine="0" w:firstLineChars="0"/>
              <w:jc w:val="center"/>
              <w:rPr>
                <w:bCs/>
                <w:color w:val="auto"/>
                <w:sz w:val="21"/>
                <w:szCs w:val="21"/>
              </w:rPr>
            </w:pPr>
            <w:r>
              <w:rPr>
                <w:rFonts w:hint="eastAsia"/>
                <w:bCs/>
                <w:color w:val="auto"/>
                <w:sz w:val="21"/>
                <w:szCs w:val="21"/>
              </w:rPr>
              <w:t>干吸工段</w:t>
            </w: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中毒窒息</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灼烫</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w:t>
            </w:r>
            <w:r>
              <w:rPr>
                <w:color w:val="auto"/>
                <w:sz w:val="21"/>
                <w:szCs w:val="21"/>
              </w:rPr>
              <w:t>.5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3</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9</w:t>
            </w:r>
          </w:p>
        </w:tc>
        <w:tc>
          <w:tcPr>
            <w:tcW w:w="1871" w:type="dxa"/>
            <w:vAlign w:val="center"/>
          </w:tcPr>
          <w:p>
            <w:pPr>
              <w:spacing w:line="240" w:lineRule="exact"/>
              <w:ind w:firstLine="0" w:firstLineChars="0"/>
              <w:jc w:val="center"/>
              <w:rPr>
                <w:bCs/>
                <w:color w:val="auto"/>
                <w:sz w:val="21"/>
                <w:szCs w:val="21"/>
              </w:rPr>
            </w:pPr>
            <w:r>
              <w:rPr>
                <w:bCs/>
                <w:color w:val="auto"/>
                <w:sz w:val="21"/>
                <w:szCs w:val="21"/>
              </w:rPr>
              <w:t>稍有危险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化学灼伤、化学腐蚀</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高处坠落</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r>
              <w:rPr>
                <w:color w:val="auto"/>
                <w:sz w:val="21"/>
                <w:szCs w:val="21"/>
              </w:rPr>
              <w:t>5</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5</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restart"/>
            <w:vAlign w:val="center"/>
          </w:tcPr>
          <w:p>
            <w:pPr>
              <w:spacing w:line="240" w:lineRule="exact"/>
              <w:ind w:firstLine="0" w:firstLineChars="0"/>
              <w:jc w:val="center"/>
              <w:rPr>
                <w:bCs/>
                <w:color w:val="auto"/>
                <w:sz w:val="21"/>
                <w:szCs w:val="21"/>
              </w:rPr>
            </w:pPr>
            <w:r>
              <w:rPr>
                <w:rFonts w:hint="eastAsia"/>
                <w:bCs/>
                <w:color w:val="auto"/>
                <w:sz w:val="21"/>
                <w:szCs w:val="21"/>
              </w:rPr>
              <w:t>尾气吸收</w:t>
            </w: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中毒窒息</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7</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2</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Merge w:val="continue"/>
            <w:vAlign w:val="center"/>
          </w:tcPr>
          <w:p>
            <w:pPr>
              <w:spacing w:line="240" w:lineRule="exact"/>
              <w:ind w:firstLine="0" w:firstLineChars="0"/>
              <w:jc w:val="center"/>
              <w:rPr>
                <w:bCs/>
                <w:color w:val="auto"/>
                <w:sz w:val="21"/>
                <w:szCs w:val="21"/>
              </w:rPr>
            </w:pP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高处坠落</w:t>
            </w:r>
          </w:p>
        </w:tc>
        <w:tc>
          <w:tcPr>
            <w:tcW w:w="737" w:type="dxa"/>
            <w:vAlign w:val="center"/>
          </w:tcPr>
          <w:p>
            <w:pPr>
              <w:snapToGrid/>
              <w:spacing w:line="280" w:lineRule="exact"/>
              <w:ind w:firstLine="0" w:firstLineChars="0"/>
              <w:jc w:val="center"/>
              <w:rPr>
                <w:color w:val="auto"/>
                <w:sz w:val="21"/>
                <w:szCs w:val="21"/>
              </w:rPr>
            </w:pPr>
            <w:r>
              <w:rPr>
                <w:color w:val="auto"/>
                <w:sz w:val="21"/>
                <w:szCs w:val="21"/>
              </w:rPr>
              <w:t>0.5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r>
              <w:rPr>
                <w:color w:val="auto"/>
                <w:sz w:val="21"/>
                <w:szCs w:val="21"/>
              </w:rPr>
              <w:t>5</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5</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5" w:type="dxa"/>
            <w:vAlign w:val="center"/>
          </w:tcPr>
          <w:p>
            <w:pPr>
              <w:spacing w:line="240" w:lineRule="exact"/>
              <w:ind w:firstLine="0" w:firstLineChars="0"/>
              <w:jc w:val="center"/>
              <w:rPr>
                <w:bCs/>
                <w:color w:val="auto"/>
                <w:sz w:val="21"/>
                <w:szCs w:val="21"/>
              </w:rPr>
            </w:pPr>
            <w:r>
              <w:rPr>
                <w:rFonts w:hint="eastAsia"/>
                <w:bCs/>
                <w:color w:val="auto"/>
                <w:sz w:val="21"/>
                <w:szCs w:val="21"/>
              </w:rPr>
              <w:t>污水处理</w:t>
            </w:r>
          </w:p>
        </w:tc>
        <w:tc>
          <w:tcPr>
            <w:tcW w:w="2268" w:type="dxa"/>
            <w:vAlign w:val="center"/>
          </w:tcPr>
          <w:p>
            <w:pPr>
              <w:snapToGrid/>
              <w:spacing w:line="280" w:lineRule="exact"/>
              <w:ind w:firstLine="0" w:firstLineChars="0"/>
              <w:jc w:val="center"/>
              <w:rPr>
                <w:color w:val="auto"/>
                <w:sz w:val="21"/>
                <w:szCs w:val="21"/>
              </w:rPr>
            </w:pPr>
            <w:r>
              <w:rPr>
                <w:rFonts w:hint="eastAsia"/>
                <w:color w:val="auto"/>
                <w:sz w:val="21"/>
                <w:szCs w:val="21"/>
              </w:rPr>
              <w:t>淹溺</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0</w:t>
            </w:r>
            <w:r>
              <w:rPr>
                <w:color w:val="auto"/>
                <w:sz w:val="21"/>
                <w:szCs w:val="21"/>
              </w:rPr>
              <w:t>.5</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6</w:t>
            </w:r>
          </w:p>
        </w:tc>
        <w:tc>
          <w:tcPr>
            <w:tcW w:w="737" w:type="dxa"/>
            <w:vAlign w:val="center"/>
          </w:tcPr>
          <w:p>
            <w:pPr>
              <w:snapToGrid/>
              <w:spacing w:line="280" w:lineRule="exact"/>
              <w:ind w:firstLine="0" w:firstLineChars="0"/>
              <w:jc w:val="center"/>
              <w:rPr>
                <w:color w:val="auto"/>
                <w:sz w:val="21"/>
                <w:szCs w:val="21"/>
              </w:rPr>
            </w:pPr>
            <w:r>
              <w:rPr>
                <w:rFonts w:hint="eastAsia"/>
                <w:color w:val="auto"/>
                <w:sz w:val="21"/>
                <w:szCs w:val="21"/>
              </w:rPr>
              <w:t>1</w:t>
            </w:r>
            <w:r>
              <w:rPr>
                <w:color w:val="auto"/>
                <w:sz w:val="21"/>
                <w:szCs w:val="21"/>
              </w:rPr>
              <w:t>5</w:t>
            </w:r>
          </w:p>
        </w:tc>
        <w:tc>
          <w:tcPr>
            <w:tcW w:w="737" w:type="dxa"/>
            <w:vAlign w:val="center"/>
          </w:tcPr>
          <w:p>
            <w:pPr>
              <w:snapToGrid/>
              <w:spacing w:line="280" w:lineRule="exact"/>
              <w:ind w:firstLine="0" w:firstLineChars="0"/>
              <w:jc w:val="center"/>
              <w:rPr>
                <w:bCs/>
                <w:color w:val="auto"/>
                <w:sz w:val="21"/>
                <w:szCs w:val="21"/>
              </w:rPr>
            </w:pPr>
            <w:r>
              <w:rPr>
                <w:rFonts w:hint="eastAsia"/>
                <w:bCs/>
                <w:color w:val="auto"/>
                <w:sz w:val="21"/>
                <w:szCs w:val="21"/>
              </w:rPr>
              <w:t>4</w:t>
            </w:r>
            <w:r>
              <w:rPr>
                <w:bCs/>
                <w:color w:val="auto"/>
                <w:sz w:val="21"/>
                <w:szCs w:val="21"/>
              </w:rPr>
              <w:t>5</w:t>
            </w:r>
          </w:p>
        </w:tc>
        <w:tc>
          <w:tcPr>
            <w:tcW w:w="1871" w:type="dxa"/>
            <w:vAlign w:val="center"/>
          </w:tcPr>
          <w:p>
            <w:pPr>
              <w:spacing w:line="240" w:lineRule="exact"/>
              <w:ind w:firstLine="0" w:firstLineChars="0"/>
              <w:jc w:val="center"/>
              <w:rPr>
                <w:bCs/>
                <w:color w:val="auto"/>
                <w:sz w:val="21"/>
                <w:szCs w:val="21"/>
              </w:rPr>
            </w:pPr>
            <w:r>
              <w:rPr>
                <w:rFonts w:hint="eastAsia"/>
                <w:bCs/>
                <w:color w:val="auto"/>
                <w:sz w:val="21"/>
                <w:szCs w:val="21"/>
              </w:rPr>
              <w:t>可能危险</w:t>
            </w:r>
          </w:p>
        </w:tc>
      </w:tr>
    </w:tbl>
    <w:p>
      <w:pPr>
        <w:ind w:firstLine="560"/>
        <w:rPr>
          <w:color w:val="000000" w:themeColor="text1"/>
        </w:rPr>
      </w:pPr>
    </w:p>
    <w:p>
      <w:pPr>
        <w:topLinePunct/>
        <w:ind w:firstLine="560"/>
        <w:rPr>
          <w:rFonts w:ascii="宋体" w:hAnsi="宋体" w:cs="Tahoma"/>
          <w:color w:val="auto"/>
          <w:szCs w:val="28"/>
        </w:rPr>
      </w:pPr>
      <w:r>
        <w:rPr>
          <w:rFonts w:hint="eastAsia"/>
          <w:color w:val="000000" w:themeColor="text1"/>
        </w:rPr>
        <w:t>通过检查表评价可知：</w:t>
      </w:r>
      <w:r>
        <w:rPr>
          <w:rFonts w:ascii="宋体" w:hAnsi="宋体" w:cs="Tahoma"/>
          <w:color w:val="auto"/>
          <w:szCs w:val="28"/>
        </w:rPr>
        <w:t>项目生产工艺</w:t>
      </w:r>
      <w:r>
        <w:rPr>
          <w:rFonts w:hint="eastAsia" w:ascii="宋体" w:hAnsi="宋体" w:cs="Tahoma"/>
          <w:color w:val="auto"/>
          <w:szCs w:val="28"/>
        </w:rPr>
        <w:t>、</w:t>
      </w:r>
      <w:r>
        <w:rPr>
          <w:rFonts w:ascii="宋体" w:hAnsi="宋体" w:cs="Tahoma"/>
          <w:color w:val="auto"/>
          <w:szCs w:val="28"/>
        </w:rPr>
        <w:t>设备为国内成熟工艺</w:t>
      </w:r>
      <w:r>
        <w:rPr>
          <w:rFonts w:hint="eastAsia" w:ascii="宋体" w:hAnsi="宋体" w:cs="Tahoma"/>
          <w:color w:val="auto"/>
          <w:szCs w:val="28"/>
        </w:rPr>
        <w:t>、设备生产，不属于国家明令禁止使用或淘汰的。生产设备为正规厂家生产，生产设施、设备安全维护符合相关要求，生产工艺过程及作业场所符合相关安全规范。</w:t>
      </w:r>
    </w:p>
    <w:p>
      <w:pPr>
        <w:topLinePunct/>
        <w:ind w:firstLine="560"/>
        <w:rPr>
          <w:color w:val="000000" w:themeColor="text1"/>
          <w:szCs w:val="28"/>
        </w:rPr>
      </w:pPr>
      <w:r>
        <w:rPr>
          <w:rFonts w:hint="eastAsia" w:ascii="宋体" w:hAnsi="宋体" w:cs="Tahoma"/>
          <w:color w:val="auto"/>
          <w:szCs w:val="28"/>
        </w:rPr>
        <w:t>根据作业条件危险性评价法评价知，生产过程中，中毒窒息、机械伤害、爆炸、火灾、爆炸、高处坠落、化学腐蚀、淹溺为可能危险等级，噪声、粉尘伤害、灼烫为稍有危险等级；</w:t>
      </w:r>
      <w:r>
        <w:rPr>
          <w:rFonts w:hint="eastAsia" w:ascii="宋体" w:hAnsi="宋体" w:cs="Tahoma"/>
          <w:color w:val="auto"/>
          <w:szCs w:val="28"/>
        </w:rPr>
        <w:tab/>
      </w:r>
      <w:r>
        <w:rPr>
          <w:rFonts w:hint="eastAsia" w:ascii="宋体" w:hAnsi="宋体" w:cs="Tahoma"/>
          <w:color w:val="auto"/>
          <w:szCs w:val="28"/>
        </w:rPr>
        <w:t>其中若发生火灾爆炸、淹溺、高处坠落事故，可能造成人员伤亡，企业在</w:t>
      </w:r>
      <w:r>
        <w:rPr>
          <w:rFonts w:ascii="宋体" w:hAnsi="宋体" w:cs="Tahoma"/>
          <w:color w:val="auto"/>
          <w:szCs w:val="28"/>
        </w:rPr>
        <w:t>生产过程中</w:t>
      </w:r>
      <w:r>
        <w:rPr>
          <w:rFonts w:hint="eastAsia" w:ascii="宋体" w:hAnsi="宋体" w:cs="Tahoma"/>
          <w:color w:val="auto"/>
          <w:szCs w:val="28"/>
        </w:rPr>
        <w:t>的安全工作</w:t>
      </w:r>
      <w:r>
        <w:rPr>
          <w:rFonts w:ascii="宋体" w:hAnsi="宋体" w:cs="Tahoma"/>
          <w:color w:val="auto"/>
          <w:szCs w:val="28"/>
        </w:rPr>
        <w:t>予以高度重视</w:t>
      </w:r>
      <w:r>
        <w:rPr>
          <w:rFonts w:hint="eastAsia" w:ascii="宋体" w:hAnsi="宋体" w:cs="Tahoma"/>
          <w:color w:val="auto"/>
          <w:szCs w:val="28"/>
        </w:rPr>
        <w:t>，并加强作业场所的安全管理，防微杜渐，严防事故的发生</w:t>
      </w:r>
      <w:r>
        <w:rPr>
          <w:rFonts w:ascii="宋体" w:hAnsi="宋体" w:cs="Tahoma"/>
          <w:color w:val="auto"/>
          <w:szCs w:val="28"/>
        </w:rPr>
        <w:t>。</w:t>
      </w:r>
      <w:r>
        <w:rPr>
          <w:rFonts w:hint="eastAsia" w:ascii="宋体" w:hAnsi="宋体" w:cs="Tahoma"/>
          <w:color w:val="auto"/>
          <w:szCs w:val="28"/>
        </w:rPr>
        <w:t>日常还</w:t>
      </w:r>
      <w:r>
        <w:rPr>
          <w:rFonts w:ascii="宋体" w:hAnsi="宋体" w:cs="Tahoma"/>
          <w:color w:val="auto"/>
          <w:szCs w:val="28"/>
        </w:rPr>
        <w:t>要加强设备维护管理、精心操作，杜绝</w:t>
      </w:r>
      <w:r>
        <w:rPr>
          <w:rFonts w:hint="eastAsia" w:ascii="宋体" w:hAnsi="宋体" w:cs="Tahoma"/>
          <w:color w:val="auto"/>
          <w:szCs w:val="28"/>
        </w:rPr>
        <w:t>违章作业；不断加强对操作人员的技术、技能培训，提高操作水平和危险自救互救能力。</w:t>
      </w:r>
    </w:p>
    <w:p>
      <w:pPr>
        <w:pStyle w:val="4"/>
        <w:ind w:firstLine="562"/>
      </w:pPr>
      <w:bookmarkStart w:id="4199" w:name="_Toc21861"/>
      <w:bookmarkStart w:id="4200" w:name="_Toc23599"/>
      <w:bookmarkStart w:id="4201" w:name="_Toc19137"/>
      <w:bookmarkStart w:id="4202" w:name="_Toc23217"/>
      <w:bookmarkStart w:id="4203" w:name="_Toc128056533"/>
      <w:bookmarkStart w:id="4204" w:name="_Toc31642"/>
      <w:bookmarkStart w:id="4205" w:name="_Toc4175"/>
      <w:bookmarkStart w:id="4206" w:name="_Toc22180"/>
      <w:bookmarkStart w:id="4207" w:name="_Toc18925"/>
      <w:bookmarkStart w:id="4208" w:name="_Toc14948"/>
      <w:bookmarkStart w:id="4209" w:name="_Toc7323"/>
      <w:bookmarkStart w:id="4210" w:name="_Toc28133"/>
      <w:bookmarkStart w:id="4211" w:name="_Toc17852"/>
      <w:bookmarkStart w:id="4212" w:name="_Toc23698"/>
      <w:bookmarkStart w:id="4213" w:name="_Toc25238"/>
      <w:bookmarkStart w:id="4214" w:name="_Toc23442"/>
      <w:bookmarkStart w:id="4215" w:name="_Toc5861"/>
      <w:bookmarkStart w:id="4216" w:name="_Toc21122"/>
      <w:bookmarkStart w:id="4217" w:name="_Toc14064"/>
      <w:bookmarkStart w:id="4218" w:name="_Toc3797"/>
      <w:bookmarkStart w:id="4219" w:name="_Toc18435"/>
      <w:bookmarkStart w:id="4220" w:name="_Toc25822"/>
      <w:bookmarkStart w:id="4221" w:name="_Toc12056"/>
      <w:bookmarkStart w:id="4222" w:name="_Toc12434"/>
      <w:bookmarkStart w:id="4223" w:name="_Toc28206"/>
      <w:bookmarkStart w:id="4224" w:name="_Toc5012"/>
      <w:r>
        <w:rPr>
          <w:rFonts w:hint="eastAsia"/>
        </w:rPr>
        <w:t>F4.2.3 危险化学品安全检查分析</w:t>
      </w:r>
      <w:bookmarkEnd w:id="4195"/>
      <w:bookmarkEnd w:id="4199"/>
      <w:bookmarkEnd w:id="4200"/>
      <w:bookmarkEnd w:id="4201"/>
      <w:bookmarkEnd w:id="4202"/>
      <w:bookmarkEnd w:id="4203"/>
      <w:bookmarkEnd w:id="4204"/>
      <w:bookmarkEnd w:id="4205"/>
      <w:bookmarkEnd w:id="4206"/>
      <w:bookmarkEnd w:id="4207"/>
      <w:bookmarkEnd w:id="4208"/>
      <w:bookmarkEnd w:id="4209"/>
      <w:bookmarkEnd w:id="4210"/>
      <w:bookmarkEnd w:id="4211"/>
      <w:bookmarkEnd w:id="4212"/>
      <w:bookmarkEnd w:id="4213"/>
      <w:bookmarkEnd w:id="4214"/>
      <w:bookmarkEnd w:id="4215"/>
      <w:bookmarkEnd w:id="4216"/>
      <w:bookmarkEnd w:id="4217"/>
      <w:bookmarkEnd w:id="4218"/>
      <w:bookmarkEnd w:id="4219"/>
      <w:bookmarkEnd w:id="4220"/>
      <w:bookmarkEnd w:id="4221"/>
      <w:bookmarkEnd w:id="4222"/>
      <w:bookmarkEnd w:id="4223"/>
      <w:bookmarkEnd w:id="4224"/>
    </w:p>
    <w:p>
      <w:pPr>
        <w:pStyle w:val="90"/>
        <w:tabs>
          <w:tab w:val="left" w:pos="5460"/>
        </w:tabs>
        <w:overflowPunct/>
        <w:spacing w:before="0" w:after="0" w:line="360" w:lineRule="auto"/>
        <w:ind w:firstLine="560"/>
        <w:textAlignment w:val="auto"/>
        <w:rPr>
          <w:rFonts w:ascii="Times New Roman" w:hAnsi="Times New Roman" w:eastAsia="宋体"/>
          <w:color w:val="000000" w:themeColor="text1"/>
          <w:kern w:val="2"/>
          <w:sz w:val="28"/>
          <w:szCs w:val="28"/>
        </w:rPr>
      </w:pPr>
      <w:r>
        <w:rPr>
          <w:rFonts w:ascii="Times New Roman" w:hAnsi="Times New Roman" w:eastAsia="宋体"/>
          <w:color w:val="000000" w:themeColor="text1"/>
          <w:kern w:val="2"/>
          <w:sz w:val="28"/>
          <w:szCs w:val="28"/>
        </w:rPr>
        <w:t>本节采用安全检查表法检查储存设施是否满足我国有关法律法规和标准的要求作出评价。</w:t>
      </w:r>
    </w:p>
    <w:p>
      <w:pPr>
        <w:ind w:firstLine="560"/>
        <w:rPr>
          <w:sz w:val="24"/>
        </w:rPr>
      </w:pPr>
      <w:r>
        <w:rPr>
          <w:color w:val="000000" w:themeColor="text1"/>
        </w:rPr>
        <w:t>按《危险化学品安全管理条例》</w:t>
      </w:r>
      <w:r>
        <w:rPr>
          <w:rFonts w:hint="eastAsia"/>
          <w:color w:val="000000" w:themeColor="text1"/>
        </w:rPr>
        <w:t>（国务院令第591号，第645号令修订）、《危险化学品仓库储存通则》（</w:t>
      </w:r>
      <w:r>
        <w:rPr>
          <w:color w:val="000000" w:themeColor="text1"/>
        </w:rPr>
        <w:t>GB15603-</w:t>
      </w:r>
      <w:r>
        <w:rPr>
          <w:rFonts w:hint="eastAsia"/>
          <w:color w:val="000000" w:themeColor="text1"/>
        </w:rPr>
        <w:t>2022）</w:t>
      </w:r>
      <w:r>
        <w:rPr>
          <w:color w:val="000000" w:themeColor="text1"/>
        </w:rPr>
        <w:t>等法律、法规及标准的规定，对危险化学品贮存场所单元安全检查，安全检查表见下表。</w:t>
      </w:r>
    </w:p>
    <w:p>
      <w:pPr>
        <w:pStyle w:val="92"/>
        <w:rPr>
          <w:sz w:val="24"/>
          <w:szCs w:val="24"/>
        </w:rPr>
      </w:pPr>
      <w:r>
        <w:rPr>
          <w:rFonts w:hint="eastAsia"/>
          <w:sz w:val="24"/>
          <w:szCs w:val="24"/>
        </w:rPr>
        <w:t>F表4.2-3</w:t>
      </w:r>
      <w:r>
        <w:rPr>
          <w:sz w:val="24"/>
          <w:szCs w:val="24"/>
        </w:rPr>
        <w:t>危险化学品贮存安全检查表</w:t>
      </w:r>
    </w:p>
    <w:tbl>
      <w:tblPr>
        <w:tblStyle w:val="3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3759"/>
        <w:gridCol w:w="2064"/>
        <w:gridCol w:w="1920"/>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561" w:type="dxa"/>
            <w:vAlign w:val="center"/>
          </w:tcPr>
          <w:p>
            <w:pPr>
              <w:spacing w:line="240" w:lineRule="auto"/>
              <w:ind w:firstLine="0" w:firstLineChars="0"/>
              <w:jc w:val="center"/>
              <w:rPr>
                <w:b/>
                <w:color w:val="000000" w:themeColor="text1"/>
                <w:sz w:val="21"/>
                <w:szCs w:val="21"/>
              </w:rPr>
            </w:pPr>
            <w:bookmarkStart w:id="4225" w:name="_Toc235379163"/>
            <w:bookmarkStart w:id="4226" w:name="_Toc179687225"/>
            <w:bookmarkStart w:id="4227" w:name="_Toc164611264"/>
            <w:r>
              <w:rPr>
                <w:b/>
                <w:color w:val="000000" w:themeColor="text1"/>
                <w:sz w:val="21"/>
                <w:szCs w:val="21"/>
              </w:rPr>
              <w:t>序号</w:t>
            </w:r>
          </w:p>
        </w:tc>
        <w:tc>
          <w:tcPr>
            <w:tcW w:w="3759" w:type="dxa"/>
            <w:vAlign w:val="center"/>
          </w:tcPr>
          <w:p>
            <w:pPr>
              <w:spacing w:line="240" w:lineRule="auto"/>
              <w:ind w:firstLine="0" w:firstLineChars="0"/>
              <w:jc w:val="center"/>
              <w:rPr>
                <w:b/>
                <w:color w:val="000000" w:themeColor="text1"/>
                <w:sz w:val="21"/>
                <w:szCs w:val="21"/>
              </w:rPr>
            </w:pPr>
            <w:r>
              <w:rPr>
                <w:b/>
                <w:color w:val="000000" w:themeColor="text1"/>
                <w:sz w:val="21"/>
                <w:szCs w:val="21"/>
              </w:rPr>
              <w:t>检</w:t>
            </w:r>
            <w:r>
              <w:rPr>
                <w:rFonts w:hint="eastAsia"/>
                <w:b/>
                <w:color w:val="000000" w:themeColor="text1"/>
                <w:sz w:val="21"/>
                <w:szCs w:val="21"/>
              </w:rPr>
              <w:t xml:space="preserve">  </w:t>
            </w:r>
            <w:r>
              <w:rPr>
                <w:b/>
                <w:color w:val="000000" w:themeColor="text1"/>
                <w:sz w:val="21"/>
                <w:szCs w:val="21"/>
              </w:rPr>
              <w:t>查</w:t>
            </w:r>
            <w:r>
              <w:rPr>
                <w:rFonts w:hint="eastAsia"/>
                <w:b/>
                <w:color w:val="000000" w:themeColor="text1"/>
                <w:sz w:val="21"/>
                <w:szCs w:val="21"/>
              </w:rPr>
              <w:t xml:space="preserve">  </w:t>
            </w:r>
            <w:r>
              <w:rPr>
                <w:b/>
                <w:color w:val="000000" w:themeColor="text1"/>
                <w:sz w:val="21"/>
                <w:szCs w:val="21"/>
              </w:rPr>
              <w:t>内</w:t>
            </w:r>
            <w:r>
              <w:rPr>
                <w:rFonts w:hint="eastAsia"/>
                <w:b/>
                <w:color w:val="000000" w:themeColor="text1"/>
                <w:sz w:val="21"/>
                <w:szCs w:val="21"/>
              </w:rPr>
              <w:t xml:space="preserve">  </w:t>
            </w:r>
            <w:r>
              <w:rPr>
                <w:b/>
                <w:color w:val="000000" w:themeColor="text1"/>
                <w:sz w:val="21"/>
                <w:szCs w:val="21"/>
              </w:rPr>
              <w:t>容</w:t>
            </w:r>
          </w:p>
        </w:tc>
        <w:tc>
          <w:tcPr>
            <w:tcW w:w="2064" w:type="dxa"/>
            <w:vAlign w:val="center"/>
          </w:tcPr>
          <w:p>
            <w:pPr>
              <w:spacing w:line="240" w:lineRule="auto"/>
              <w:ind w:firstLine="0" w:firstLineChars="0"/>
              <w:jc w:val="center"/>
              <w:rPr>
                <w:b/>
                <w:color w:val="000000" w:themeColor="text1"/>
                <w:sz w:val="21"/>
                <w:szCs w:val="21"/>
              </w:rPr>
            </w:pPr>
            <w:r>
              <w:rPr>
                <w:b/>
                <w:color w:val="000000" w:themeColor="text1"/>
                <w:sz w:val="21"/>
                <w:szCs w:val="21"/>
              </w:rPr>
              <w:t>依</w:t>
            </w:r>
            <w:r>
              <w:rPr>
                <w:rFonts w:hint="eastAsia"/>
                <w:b/>
                <w:color w:val="000000" w:themeColor="text1"/>
                <w:sz w:val="21"/>
                <w:szCs w:val="21"/>
              </w:rPr>
              <w:t xml:space="preserve"> </w:t>
            </w:r>
            <w:r>
              <w:rPr>
                <w:b/>
                <w:color w:val="000000" w:themeColor="text1"/>
                <w:sz w:val="21"/>
                <w:szCs w:val="21"/>
              </w:rPr>
              <w:t>据</w:t>
            </w:r>
            <w:r>
              <w:rPr>
                <w:rFonts w:hint="eastAsia"/>
                <w:b/>
                <w:color w:val="000000" w:themeColor="text1"/>
                <w:sz w:val="21"/>
                <w:szCs w:val="21"/>
              </w:rPr>
              <w:t xml:space="preserve"> </w:t>
            </w:r>
            <w:r>
              <w:rPr>
                <w:b/>
                <w:color w:val="000000" w:themeColor="text1"/>
                <w:sz w:val="21"/>
                <w:szCs w:val="21"/>
              </w:rPr>
              <w:t>标</w:t>
            </w:r>
            <w:r>
              <w:rPr>
                <w:rFonts w:hint="eastAsia"/>
                <w:b/>
                <w:color w:val="000000" w:themeColor="text1"/>
                <w:sz w:val="21"/>
                <w:szCs w:val="21"/>
              </w:rPr>
              <w:t xml:space="preserve"> </w:t>
            </w:r>
            <w:r>
              <w:rPr>
                <w:b/>
                <w:color w:val="000000" w:themeColor="text1"/>
                <w:sz w:val="21"/>
                <w:szCs w:val="21"/>
              </w:rPr>
              <w:t>准</w:t>
            </w:r>
          </w:p>
        </w:tc>
        <w:tc>
          <w:tcPr>
            <w:tcW w:w="1920" w:type="dxa"/>
            <w:vAlign w:val="center"/>
          </w:tcPr>
          <w:p>
            <w:pPr>
              <w:spacing w:line="240" w:lineRule="auto"/>
              <w:ind w:firstLine="0" w:firstLineChars="0"/>
              <w:jc w:val="center"/>
              <w:rPr>
                <w:b/>
                <w:color w:val="000000" w:themeColor="text1"/>
                <w:sz w:val="21"/>
                <w:szCs w:val="21"/>
              </w:rPr>
            </w:pPr>
            <w:r>
              <w:rPr>
                <w:rFonts w:hint="eastAsia"/>
                <w:b/>
                <w:color w:val="000000" w:themeColor="text1"/>
                <w:sz w:val="21"/>
                <w:szCs w:val="21"/>
              </w:rPr>
              <w:t xml:space="preserve">检 查 </w:t>
            </w:r>
            <w:r>
              <w:rPr>
                <w:b/>
                <w:color w:val="000000" w:themeColor="text1"/>
                <w:sz w:val="21"/>
                <w:szCs w:val="21"/>
              </w:rPr>
              <w:t>情</w:t>
            </w:r>
            <w:r>
              <w:rPr>
                <w:rFonts w:hint="eastAsia"/>
                <w:b/>
                <w:color w:val="000000" w:themeColor="text1"/>
                <w:sz w:val="21"/>
                <w:szCs w:val="21"/>
              </w:rPr>
              <w:t xml:space="preserve"> </w:t>
            </w:r>
            <w:r>
              <w:rPr>
                <w:b/>
                <w:color w:val="000000" w:themeColor="text1"/>
                <w:sz w:val="21"/>
                <w:szCs w:val="21"/>
              </w:rPr>
              <w:t>况</w:t>
            </w:r>
          </w:p>
        </w:tc>
        <w:tc>
          <w:tcPr>
            <w:tcW w:w="768" w:type="dxa"/>
            <w:vAlign w:val="center"/>
          </w:tcPr>
          <w:p>
            <w:pPr>
              <w:spacing w:line="240" w:lineRule="auto"/>
              <w:ind w:firstLine="0" w:firstLineChars="0"/>
              <w:jc w:val="center"/>
              <w:rPr>
                <w:b/>
                <w:color w:val="000000" w:themeColor="text1"/>
                <w:sz w:val="21"/>
                <w:szCs w:val="21"/>
              </w:rPr>
            </w:pPr>
            <w:r>
              <w:rPr>
                <w:b/>
                <w:color w:val="000000" w:themeColor="text1"/>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1</w:t>
            </w:r>
          </w:p>
        </w:tc>
        <w:tc>
          <w:tcPr>
            <w:tcW w:w="3759" w:type="dxa"/>
            <w:vAlign w:val="center"/>
          </w:tcPr>
          <w:p>
            <w:pPr>
              <w:pStyle w:val="91"/>
              <w:spacing w:line="240" w:lineRule="auto"/>
              <w:ind w:firstLine="210" w:firstLineChars="100"/>
              <w:jc w:val="left"/>
              <w:rPr>
                <w:color w:val="000000" w:themeColor="text1"/>
                <w:sz w:val="21"/>
              </w:rPr>
            </w:pPr>
            <w:r>
              <w:rPr>
                <w:color w:val="000000" w:themeColor="text1"/>
                <w:sz w:val="21"/>
              </w:rPr>
              <w:t>危险化学品生产企业应当提供与其生产的危险化学品相符的化学品安全技术说明书，并在危险化学品包装（包括外包装件）上粘贴或者拴挂与包装内危险化学品相符的化学品安全标签。化学品安全技术说明书和化学品安全标签所载明的内容应当符合国家标准的要求。</w:t>
            </w:r>
          </w:p>
          <w:p>
            <w:pPr>
              <w:pStyle w:val="91"/>
              <w:spacing w:line="240" w:lineRule="auto"/>
              <w:ind w:firstLine="210" w:firstLineChars="100"/>
              <w:jc w:val="left"/>
              <w:rPr>
                <w:color w:val="000000" w:themeColor="text1"/>
                <w:sz w:val="21"/>
              </w:rPr>
            </w:pPr>
            <w:r>
              <w:rPr>
                <w:color w:val="000000" w:themeColor="text1"/>
                <w:sz w:val="21"/>
              </w:rPr>
              <w:t>危险化学品生产企业发现其生产的危险化学品有新的危险特性的，应当立即公告，并及时修订其化学品安全技术说明书和化学品安全标签。</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第十五条</w:t>
            </w:r>
          </w:p>
        </w:tc>
        <w:tc>
          <w:tcPr>
            <w:tcW w:w="1920" w:type="dxa"/>
            <w:vAlign w:val="center"/>
          </w:tcPr>
          <w:p>
            <w:pPr>
              <w:spacing w:line="240" w:lineRule="auto"/>
              <w:ind w:firstLine="210" w:firstLineChars="100"/>
              <w:jc w:val="left"/>
              <w:rPr>
                <w:color w:val="000000" w:themeColor="text1"/>
                <w:sz w:val="21"/>
                <w:szCs w:val="21"/>
              </w:rPr>
            </w:pPr>
            <w:r>
              <w:rPr>
                <w:color w:val="000000" w:themeColor="text1"/>
                <w:sz w:val="21"/>
                <w:szCs w:val="21"/>
              </w:rPr>
              <w:t>企业按要求提供了“一书一签”。“一书一签”</w:t>
            </w:r>
            <w:r>
              <w:rPr>
                <w:rFonts w:hint="eastAsia"/>
                <w:color w:val="000000" w:themeColor="text1"/>
                <w:sz w:val="21"/>
                <w:szCs w:val="21"/>
              </w:rPr>
              <w:t>的内容符合国家标准的要求。</w:t>
            </w:r>
            <w:r>
              <w:rPr>
                <w:rFonts w:hint="eastAsia" w:ascii="宋体" w:hAnsi="宋体"/>
                <w:color w:val="auto"/>
                <w:sz w:val="21"/>
                <w:szCs w:val="21"/>
              </w:rPr>
              <w:t>详见报告F6.19、6.20。</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2</w:t>
            </w:r>
          </w:p>
        </w:tc>
        <w:tc>
          <w:tcPr>
            <w:tcW w:w="3759" w:type="dxa"/>
            <w:vAlign w:val="center"/>
          </w:tcPr>
          <w:p>
            <w:pPr>
              <w:pStyle w:val="91"/>
              <w:spacing w:line="240" w:lineRule="auto"/>
              <w:ind w:firstLine="210" w:firstLineChars="100"/>
              <w:jc w:val="left"/>
              <w:rPr>
                <w:color w:val="000000" w:themeColor="text1"/>
                <w:sz w:val="21"/>
              </w:rPr>
            </w:pPr>
            <w:r>
              <w:rPr>
                <w:color w:val="000000" w:themeColor="text1"/>
                <w:sz w:val="21"/>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p>
          <w:p>
            <w:pPr>
              <w:pStyle w:val="91"/>
              <w:spacing w:line="240" w:lineRule="auto"/>
              <w:ind w:firstLine="210" w:firstLineChars="100"/>
              <w:jc w:val="left"/>
              <w:rPr>
                <w:color w:val="000000" w:themeColor="text1"/>
                <w:sz w:val="21"/>
              </w:rPr>
            </w:pPr>
            <w:r>
              <w:rPr>
                <w:color w:val="000000" w:themeColor="text1"/>
                <w:sz w:val="21"/>
              </w:rPr>
              <w:t>生产、储存危险化学品的单位，应当在其作业场所和安全设施、设备上设置明显的安全警示标志。</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第二十条</w:t>
            </w:r>
          </w:p>
        </w:tc>
        <w:tc>
          <w:tcPr>
            <w:tcW w:w="1920" w:type="dxa"/>
            <w:vAlign w:val="center"/>
          </w:tcPr>
          <w:p>
            <w:pPr>
              <w:spacing w:line="240" w:lineRule="auto"/>
              <w:ind w:firstLine="210" w:firstLineChars="100"/>
              <w:jc w:val="left"/>
              <w:rPr>
                <w:color w:val="000000" w:themeColor="text1"/>
                <w:sz w:val="21"/>
                <w:szCs w:val="21"/>
              </w:rPr>
            </w:pPr>
            <w:r>
              <w:rPr>
                <w:rFonts w:hint="eastAsia"/>
                <w:color w:val="000000" w:themeColor="text1"/>
                <w:sz w:val="21"/>
              </w:rPr>
              <w:t>已</w:t>
            </w:r>
            <w:r>
              <w:rPr>
                <w:color w:val="000000" w:themeColor="text1"/>
                <w:sz w:val="21"/>
              </w:rPr>
              <w:t>设置明显的安全警示标志</w:t>
            </w:r>
            <w:r>
              <w:rPr>
                <w:rFonts w:hint="eastAsia" w:ascii="宋体" w:hAnsi="宋体"/>
                <w:color w:val="auto"/>
                <w:sz w:val="21"/>
                <w:szCs w:val="21"/>
              </w:rPr>
              <w:t>详见报告F1.3。</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3</w:t>
            </w:r>
          </w:p>
        </w:tc>
        <w:tc>
          <w:tcPr>
            <w:tcW w:w="3759" w:type="dxa"/>
            <w:vAlign w:val="center"/>
          </w:tcPr>
          <w:p>
            <w:pPr>
              <w:pStyle w:val="91"/>
              <w:spacing w:line="240" w:lineRule="auto"/>
              <w:ind w:firstLine="210" w:firstLineChars="100"/>
              <w:jc w:val="left"/>
              <w:rPr>
                <w:color w:val="000000" w:themeColor="text1"/>
                <w:sz w:val="21"/>
              </w:rPr>
            </w:pPr>
            <w:r>
              <w:rPr>
                <w:color w:val="000000" w:themeColor="text1"/>
                <w:sz w:val="21"/>
              </w:rPr>
              <w:t>生产、储存危险化学品的单位，应当在其作业场所设置通信、报警装置，并保证处于适用状态。</w:t>
            </w:r>
          </w:p>
        </w:tc>
        <w:tc>
          <w:tcPr>
            <w:tcW w:w="2064" w:type="dxa"/>
            <w:vAlign w:val="center"/>
          </w:tcPr>
          <w:p>
            <w:pPr>
              <w:spacing w:line="240" w:lineRule="auto"/>
              <w:ind w:firstLine="0" w:firstLineChars="0"/>
              <w:jc w:val="center"/>
              <w:rPr>
                <w:color w:val="000000" w:themeColor="text1"/>
                <w:sz w:val="21"/>
                <w:szCs w:val="21"/>
              </w:rPr>
            </w:pPr>
            <w:r>
              <w:rPr>
                <w:color w:val="000000" w:themeColor="text1"/>
                <w:spacing w:val="-6"/>
                <w:sz w:val="21"/>
                <w:szCs w:val="21"/>
              </w:rPr>
              <w:t>《危险化学品安全管理条例》</w:t>
            </w:r>
            <w:r>
              <w:rPr>
                <w:rFonts w:hint="eastAsia"/>
                <w:color w:val="000000" w:themeColor="text1"/>
                <w:spacing w:val="-6"/>
                <w:sz w:val="21"/>
                <w:szCs w:val="21"/>
              </w:rPr>
              <w:t>（</w:t>
            </w:r>
            <w:r>
              <w:rPr>
                <w:bCs/>
                <w:color w:val="000000" w:themeColor="text1"/>
                <w:spacing w:val="-6"/>
                <w:sz w:val="21"/>
                <w:szCs w:val="21"/>
              </w:rPr>
              <w:t>中华人民共和国国务院令</w:t>
            </w:r>
            <w:r>
              <w:rPr>
                <w:color w:val="000000" w:themeColor="text1"/>
                <w:spacing w:val="-6"/>
                <w:sz w:val="21"/>
                <w:szCs w:val="21"/>
              </w:rPr>
              <w:t>第591号</w:t>
            </w:r>
            <w:r>
              <w:rPr>
                <w:rFonts w:hint="eastAsia"/>
                <w:color w:val="000000" w:themeColor="text1"/>
                <w:spacing w:val="-6"/>
                <w:sz w:val="21"/>
                <w:szCs w:val="21"/>
              </w:rPr>
              <w:t>）</w:t>
            </w:r>
            <w:r>
              <w:rPr>
                <w:color w:val="000000" w:themeColor="text1"/>
                <w:spacing w:val="-6"/>
                <w:sz w:val="21"/>
                <w:szCs w:val="21"/>
              </w:rPr>
              <w:t>第二十一条</w:t>
            </w:r>
          </w:p>
        </w:tc>
        <w:tc>
          <w:tcPr>
            <w:tcW w:w="1920" w:type="dxa"/>
            <w:vAlign w:val="center"/>
          </w:tcPr>
          <w:p>
            <w:pPr>
              <w:spacing w:line="240" w:lineRule="auto"/>
              <w:ind w:firstLine="210" w:firstLineChars="100"/>
              <w:jc w:val="left"/>
              <w:rPr>
                <w:color w:val="000000" w:themeColor="text1"/>
                <w:sz w:val="21"/>
                <w:szCs w:val="21"/>
              </w:rPr>
            </w:pPr>
            <w:r>
              <w:rPr>
                <w:rFonts w:hint="eastAsia"/>
                <w:color w:val="000000" w:themeColor="text1"/>
                <w:sz w:val="21"/>
                <w:szCs w:val="21"/>
              </w:rPr>
              <w:t>生产区</w:t>
            </w:r>
            <w:r>
              <w:rPr>
                <w:color w:val="000000" w:themeColor="text1"/>
                <w:sz w:val="21"/>
                <w:szCs w:val="21"/>
              </w:rPr>
              <w:t>设置通讯、报警装置。</w:t>
            </w:r>
            <w:r>
              <w:rPr>
                <w:rFonts w:hint="eastAsia" w:ascii="宋体" w:hAnsi="宋体"/>
                <w:color w:val="auto"/>
                <w:sz w:val="21"/>
                <w:szCs w:val="21"/>
              </w:rPr>
              <w:t>详见报告F1.2。</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4</w:t>
            </w:r>
          </w:p>
        </w:tc>
        <w:tc>
          <w:tcPr>
            <w:tcW w:w="3759" w:type="dxa"/>
            <w:vAlign w:val="center"/>
          </w:tcPr>
          <w:p>
            <w:pPr>
              <w:pStyle w:val="91"/>
              <w:spacing w:line="240" w:lineRule="auto"/>
              <w:ind w:firstLine="210" w:firstLineChars="100"/>
              <w:jc w:val="left"/>
              <w:rPr>
                <w:color w:val="000000" w:themeColor="text1"/>
                <w:sz w:val="21"/>
              </w:rPr>
            </w:pPr>
            <w:r>
              <w:rPr>
                <w:color w:val="000000" w:themeColor="text1"/>
                <w:sz w:val="21"/>
              </w:rPr>
              <w:t>危险化学品的包装应当符合法律、行政法规、规章的规定以及国家标准、行业标准的要求。</w:t>
            </w:r>
          </w:p>
          <w:p>
            <w:pPr>
              <w:pStyle w:val="91"/>
              <w:spacing w:line="240" w:lineRule="auto"/>
              <w:ind w:firstLine="210" w:firstLineChars="100"/>
              <w:jc w:val="left"/>
              <w:rPr>
                <w:color w:val="000000" w:themeColor="text1"/>
                <w:sz w:val="21"/>
              </w:rPr>
            </w:pPr>
            <w:r>
              <w:rPr>
                <w:color w:val="000000" w:themeColor="text1"/>
                <w:sz w:val="21"/>
              </w:rPr>
              <w:t>危险化学品包装物、容器的材质以及危险化学品包装的型式、规格、方法和单件质量（重量），应当与所包装的危险化学品的性质和用途相适应。</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第十七条</w:t>
            </w:r>
          </w:p>
        </w:tc>
        <w:tc>
          <w:tcPr>
            <w:tcW w:w="1920" w:type="dxa"/>
            <w:vAlign w:val="center"/>
          </w:tcPr>
          <w:p>
            <w:pPr>
              <w:spacing w:line="240" w:lineRule="auto"/>
              <w:ind w:firstLine="210" w:firstLineChars="100"/>
              <w:jc w:val="left"/>
              <w:rPr>
                <w:color w:val="000000" w:themeColor="text1"/>
                <w:sz w:val="21"/>
                <w:szCs w:val="21"/>
              </w:rPr>
            </w:pPr>
            <w:r>
              <w:rPr>
                <w:color w:val="000000" w:themeColor="text1"/>
                <w:sz w:val="21"/>
              </w:rPr>
              <w:t>包装符合法律、法规</w:t>
            </w:r>
            <w:r>
              <w:rPr>
                <w:rFonts w:hint="eastAsia"/>
                <w:color w:val="000000" w:themeColor="text1"/>
                <w:sz w:val="21"/>
              </w:rPr>
              <w:t>和</w:t>
            </w:r>
            <w:r>
              <w:rPr>
                <w:color w:val="000000" w:themeColor="text1"/>
                <w:sz w:val="21"/>
              </w:rPr>
              <w:t>规章</w:t>
            </w:r>
            <w:r>
              <w:rPr>
                <w:rFonts w:hint="eastAsia"/>
                <w:color w:val="000000" w:themeColor="text1"/>
                <w:sz w:val="21"/>
              </w:rPr>
              <w:t>要求。</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5</w:t>
            </w:r>
          </w:p>
        </w:tc>
        <w:tc>
          <w:tcPr>
            <w:tcW w:w="3759" w:type="dxa"/>
            <w:vAlign w:val="center"/>
          </w:tcPr>
          <w:p>
            <w:pPr>
              <w:pStyle w:val="91"/>
              <w:spacing w:line="240" w:lineRule="auto"/>
              <w:ind w:firstLine="210" w:firstLineChars="100"/>
              <w:jc w:val="left"/>
              <w:rPr>
                <w:color w:val="000000" w:themeColor="text1"/>
                <w:sz w:val="21"/>
              </w:rPr>
            </w:pPr>
            <w:r>
              <w:rPr>
                <w:color w:val="000000" w:themeColor="text1"/>
                <w:sz w:val="21"/>
              </w:rPr>
              <w:t>危险化学品应当储存在专用仓库、专用场地或者专用储存室（以下统称专用仓库）内，并由专人负责管理；剧毒化学品以及储存数量构成重大危险源的其他危险化学品，应当在专用仓库内单独存放，并实行双人收发、双人保管制度。</w:t>
            </w:r>
          </w:p>
          <w:p>
            <w:pPr>
              <w:pStyle w:val="91"/>
              <w:spacing w:line="240" w:lineRule="auto"/>
              <w:ind w:firstLine="210" w:firstLineChars="100"/>
              <w:jc w:val="left"/>
              <w:rPr>
                <w:color w:val="000000" w:themeColor="text1"/>
                <w:sz w:val="21"/>
              </w:rPr>
            </w:pPr>
            <w:r>
              <w:rPr>
                <w:color w:val="000000" w:themeColor="text1"/>
                <w:sz w:val="21"/>
              </w:rPr>
              <w:t>危险化学品的储存方式、方法以及储存数量应当符合国家标准或者国家有关规定。</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第二十四条</w:t>
            </w:r>
          </w:p>
        </w:tc>
        <w:tc>
          <w:tcPr>
            <w:tcW w:w="1920" w:type="dxa"/>
            <w:vAlign w:val="center"/>
          </w:tcPr>
          <w:p>
            <w:pPr>
              <w:spacing w:line="240" w:lineRule="auto"/>
              <w:ind w:firstLine="210" w:firstLineChars="100"/>
              <w:jc w:val="left"/>
              <w:rPr>
                <w:color w:val="000000" w:themeColor="text1"/>
                <w:sz w:val="21"/>
                <w:szCs w:val="21"/>
              </w:rPr>
            </w:pPr>
            <w:r>
              <w:rPr>
                <w:rFonts w:hint="eastAsia"/>
                <w:color w:val="000000" w:themeColor="text1"/>
                <w:sz w:val="21"/>
                <w:szCs w:val="21"/>
              </w:rPr>
              <w:t>跃进化工危险化学品贮</w:t>
            </w:r>
            <w:r>
              <w:rPr>
                <w:color w:val="000000" w:themeColor="text1"/>
                <w:sz w:val="21"/>
                <w:szCs w:val="21"/>
              </w:rPr>
              <w:t>存方式、方法与储存数量符合国家标准，并由专人管理。</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6</w:t>
            </w:r>
          </w:p>
        </w:tc>
        <w:tc>
          <w:tcPr>
            <w:tcW w:w="3759" w:type="dxa"/>
            <w:vAlign w:val="center"/>
          </w:tcPr>
          <w:p>
            <w:pPr>
              <w:pStyle w:val="91"/>
              <w:spacing w:line="240" w:lineRule="auto"/>
              <w:ind w:firstLine="198" w:firstLineChars="100"/>
              <w:jc w:val="left"/>
              <w:rPr>
                <w:color w:val="000000" w:themeColor="text1"/>
                <w:spacing w:val="-6"/>
                <w:sz w:val="21"/>
              </w:rPr>
            </w:pPr>
            <w:r>
              <w:rPr>
                <w:color w:val="000000" w:themeColor="text1"/>
                <w:spacing w:val="-6"/>
                <w:sz w:val="21"/>
              </w:rPr>
              <w:t>储存危险化学品的单位应当建立危险化学品出入库核查、登记制度。</w:t>
            </w:r>
          </w:p>
          <w:p>
            <w:pPr>
              <w:pStyle w:val="91"/>
              <w:spacing w:line="240" w:lineRule="auto"/>
              <w:ind w:firstLine="198" w:firstLineChars="100"/>
              <w:jc w:val="left"/>
              <w:rPr>
                <w:color w:val="000000" w:themeColor="text1"/>
                <w:sz w:val="21"/>
              </w:rPr>
            </w:pPr>
            <w:r>
              <w:rPr>
                <w:color w:val="000000" w:themeColor="text1"/>
                <w:spacing w:val="-6"/>
                <w:sz w:val="21"/>
              </w:rPr>
              <w:t>对剧毒化学品以及储存数量构成重大危险源的其他危险化学品，储存单位应当将其储存数量、储存地点以及管理人员的情况，报所在地县级人民政府安全生产监督管理部门（在港区内储存的，报港口行政管理部门）和公安机关备案。</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第二十五条</w:t>
            </w:r>
          </w:p>
        </w:tc>
        <w:tc>
          <w:tcPr>
            <w:tcW w:w="1920" w:type="dxa"/>
            <w:vAlign w:val="center"/>
          </w:tcPr>
          <w:p>
            <w:pPr>
              <w:spacing w:line="240" w:lineRule="auto"/>
              <w:ind w:firstLine="210" w:firstLineChars="100"/>
              <w:jc w:val="left"/>
              <w:rPr>
                <w:color w:val="000000" w:themeColor="text1"/>
                <w:sz w:val="21"/>
                <w:szCs w:val="21"/>
              </w:rPr>
            </w:pPr>
            <w:r>
              <w:rPr>
                <w:color w:val="000000" w:themeColor="text1"/>
                <w:sz w:val="21"/>
                <w:szCs w:val="21"/>
              </w:rPr>
              <w:t>建立</w:t>
            </w:r>
            <w:r>
              <w:rPr>
                <w:rFonts w:hint="eastAsia"/>
                <w:color w:val="000000" w:themeColor="text1"/>
                <w:sz w:val="21"/>
                <w:szCs w:val="21"/>
              </w:rPr>
              <w:t>《经营销售管理</w:t>
            </w:r>
            <w:r>
              <w:rPr>
                <w:color w:val="000000" w:themeColor="text1"/>
                <w:sz w:val="21"/>
                <w:szCs w:val="21"/>
              </w:rPr>
              <w:t>制度</w:t>
            </w:r>
            <w:r>
              <w:rPr>
                <w:rFonts w:hint="eastAsia"/>
                <w:color w:val="000000" w:themeColor="text1"/>
                <w:sz w:val="21"/>
                <w:szCs w:val="21"/>
              </w:rPr>
              <w:t>》，并严格按制度执行</w:t>
            </w:r>
            <w:r>
              <w:rPr>
                <w:color w:val="000000" w:themeColor="text1"/>
                <w:sz w:val="21"/>
                <w:szCs w:val="21"/>
              </w:rPr>
              <w:t>。</w:t>
            </w:r>
          </w:p>
          <w:p>
            <w:pPr>
              <w:spacing w:line="240" w:lineRule="auto"/>
              <w:ind w:firstLine="210" w:firstLineChars="100"/>
              <w:jc w:val="left"/>
              <w:rPr>
                <w:color w:val="000000" w:themeColor="text1"/>
                <w:sz w:val="21"/>
                <w:szCs w:val="21"/>
              </w:rPr>
            </w:pP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color w:val="000000" w:themeColor="text1"/>
                <w:sz w:val="21"/>
                <w:szCs w:val="21"/>
              </w:rPr>
              <w:t>7</w:t>
            </w:r>
          </w:p>
        </w:tc>
        <w:tc>
          <w:tcPr>
            <w:tcW w:w="3759" w:type="dxa"/>
            <w:vAlign w:val="center"/>
          </w:tcPr>
          <w:p>
            <w:pPr>
              <w:pStyle w:val="91"/>
              <w:spacing w:line="240" w:lineRule="auto"/>
              <w:ind w:firstLine="210" w:firstLineChars="100"/>
              <w:jc w:val="left"/>
              <w:rPr>
                <w:color w:val="000000" w:themeColor="text1"/>
                <w:sz w:val="21"/>
              </w:rPr>
            </w:pPr>
            <w:r>
              <w:rPr>
                <w:color w:val="000000" w:themeColor="text1"/>
                <w:sz w:val="21"/>
              </w:rPr>
              <w:t>危险化学品专用仓库应当符合国家标准、行业标准的要求，并设置明显的标志。储存剧毒化学品、易制爆危险化学品的专用仓库，应当按照国家有关规定设置相应的技术防范设施。</w:t>
            </w:r>
          </w:p>
          <w:p>
            <w:pPr>
              <w:pStyle w:val="91"/>
              <w:spacing w:line="240" w:lineRule="auto"/>
              <w:ind w:firstLine="210" w:firstLineChars="100"/>
              <w:jc w:val="left"/>
              <w:rPr>
                <w:color w:val="000000" w:themeColor="text1"/>
                <w:sz w:val="21"/>
              </w:rPr>
            </w:pPr>
            <w:r>
              <w:rPr>
                <w:color w:val="000000" w:themeColor="text1"/>
                <w:sz w:val="21"/>
              </w:rPr>
              <w:t>储存危险化学品的单位应当对其危险化学品专用仓库的安全设施、设备定期进行检测、检验。</w:t>
            </w:r>
          </w:p>
        </w:tc>
        <w:tc>
          <w:tcPr>
            <w:tcW w:w="2064" w:type="dxa"/>
            <w:vAlign w:val="center"/>
          </w:tcPr>
          <w:p>
            <w:pPr>
              <w:spacing w:line="240" w:lineRule="auto"/>
              <w:ind w:firstLine="0" w:firstLineChars="0"/>
              <w:jc w:val="center"/>
              <w:rPr>
                <w:color w:val="000000" w:themeColor="text1"/>
                <w:sz w:val="21"/>
                <w:szCs w:val="21"/>
              </w:rPr>
            </w:pPr>
            <w:r>
              <w:rPr>
                <w:color w:val="000000" w:themeColor="text1"/>
                <w:sz w:val="21"/>
                <w:szCs w:val="21"/>
              </w:rPr>
              <w:t>《危险化学品安全管理条例》</w:t>
            </w:r>
            <w:r>
              <w:rPr>
                <w:rFonts w:hint="eastAsia"/>
                <w:color w:val="000000" w:themeColor="text1"/>
                <w:sz w:val="21"/>
                <w:szCs w:val="21"/>
              </w:rPr>
              <w:t>（</w:t>
            </w:r>
            <w:r>
              <w:rPr>
                <w:bCs/>
                <w:color w:val="000000" w:themeColor="text1"/>
                <w:sz w:val="21"/>
                <w:szCs w:val="21"/>
              </w:rPr>
              <w:t>中华人民共和国国务院令</w:t>
            </w:r>
            <w:r>
              <w:rPr>
                <w:color w:val="000000" w:themeColor="text1"/>
                <w:sz w:val="21"/>
                <w:szCs w:val="21"/>
              </w:rPr>
              <w:t>第591号</w:t>
            </w:r>
            <w:r>
              <w:rPr>
                <w:rFonts w:hint="eastAsia"/>
                <w:color w:val="000000" w:themeColor="text1"/>
                <w:sz w:val="21"/>
                <w:szCs w:val="21"/>
              </w:rPr>
              <w:t>）</w:t>
            </w:r>
            <w:r>
              <w:rPr>
                <w:color w:val="000000" w:themeColor="text1"/>
                <w:sz w:val="21"/>
                <w:szCs w:val="21"/>
              </w:rPr>
              <w:t>第二十六条</w:t>
            </w:r>
          </w:p>
        </w:tc>
        <w:tc>
          <w:tcPr>
            <w:tcW w:w="1920" w:type="dxa"/>
            <w:vAlign w:val="center"/>
          </w:tcPr>
          <w:p>
            <w:pPr>
              <w:spacing w:line="240" w:lineRule="auto"/>
              <w:ind w:firstLine="210" w:firstLineChars="100"/>
              <w:jc w:val="left"/>
              <w:rPr>
                <w:color w:val="000000" w:themeColor="text1"/>
                <w:sz w:val="21"/>
                <w:szCs w:val="21"/>
              </w:rPr>
            </w:pPr>
            <w:r>
              <w:rPr>
                <w:color w:val="000000" w:themeColor="text1"/>
                <w:sz w:val="21"/>
              </w:rPr>
              <w:t>设置相应的技术防范设施。</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12</w:t>
            </w:r>
          </w:p>
        </w:tc>
        <w:tc>
          <w:tcPr>
            <w:tcW w:w="3759" w:type="dxa"/>
            <w:vAlign w:val="center"/>
          </w:tcPr>
          <w:p>
            <w:pPr>
              <w:spacing w:line="240" w:lineRule="auto"/>
              <w:ind w:firstLine="0" w:firstLineChars="0"/>
              <w:rPr>
                <w:color w:val="000000" w:themeColor="text1"/>
                <w:sz w:val="21"/>
                <w:szCs w:val="21"/>
              </w:rPr>
            </w:pPr>
            <w:r>
              <w:rPr>
                <w:rFonts w:hint="eastAsia"/>
                <w:color w:val="000000" w:themeColor="text1"/>
                <w:sz w:val="21"/>
                <w:szCs w:val="21"/>
              </w:rPr>
              <w:t>储存危险化学品的仓库和场所应设置明显的安全标志，并符合GB 2894《安全标志及其使用导则》规定。</w:t>
            </w:r>
          </w:p>
        </w:tc>
        <w:tc>
          <w:tcPr>
            <w:tcW w:w="2064"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《危险化学品仓库储存通则》（GB15603-2022）第5.2.1 条</w:t>
            </w:r>
          </w:p>
        </w:tc>
        <w:tc>
          <w:tcPr>
            <w:tcW w:w="1920" w:type="dxa"/>
            <w:vAlign w:val="center"/>
          </w:tcPr>
          <w:p>
            <w:pPr>
              <w:spacing w:line="240" w:lineRule="auto"/>
              <w:ind w:firstLine="210" w:firstLineChars="100"/>
              <w:rPr>
                <w:color w:val="000000" w:themeColor="text1"/>
                <w:sz w:val="21"/>
                <w:szCs w:val="21"/>
              </w:rPr>
            </w:pPr>
            <w:r>
              <w:rPr>
                <w:rFonts w:hint="eastAsia"/>
                <w:color w:val="000000" w:themeColor="text1"/>
                <w:sz w:val="21"/>
                <w:szCs w:val="21"/>
              </w:rPr>
              <w:t>现场检查已设置明显的安全标志。</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13</w:t>
            </w:r>
          </w:p>
        </w:tc>
        <w:tc>
          <w:tcPr>
            <w:tcW w:w="3759" w:type="dxa"/>
            <w:vAlign w:val="center"/>
          </w:tcPr>
          <w:p>
            <w:pPr>
              <w:spacing w:line="240" w:lineRule="auto"/>
              <w:ind w:firstLine="210" w:firstLineChars="100"/>
              <w:rPr>
                <w:color w:val="000000" w:themeColor="text1"/>
                <w:sz w:val="21"/>
                <w:szCs w:val="21"/>
              </w:rPr>
            </w:pPr>
            <w:r>
              <w:rPr>
                <w:rFonts w:hint="eastAsia"/>
                <w:color w:val="000000" w:themeColor="text1"/>
                <w:sz w:val="21"/>
                <w:szCs w:val="21"/>
              </w:rPr>
              <w:t>库区内严禁吸烟和使用明火，库区内应建立动火作业安全管理制度、电器安全管理制度。</w:t>
            </w:r>
          </w:p>
        </w:tc>
        <w:tc>
          <w:tcPr>
            <w:tcW w:w="2064"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《危险化学品仓库储存通则》（GB15603-2022）条5.2.2条</w:t>
            </w:r>
          </w:p>
        </w:tc>
        <w:tc>
          <w:tcPr>
            <w:tcW w:w="1920" w:type="dxa"/>
            <w:vAlign w:val="center"/>
          </w:tcPr>
          <w:p>
            <w:pPr>
              <w:spacing w:line="240" w:lineRule="auto"/>
              <w:ind w:firstLine="210" w:firstLineChars="100"/>
              <w:rPr>
                <w:color w:val="000000" w:themeColor="text1"/>
                <w:sz w:val="21"/>
                <w:szCs w:val="21"/>
              </w:rPr>
            </w:pPr>
            <w:r>
              <w:rPr>
                <w:rFonts w:hint="eastAsia"/>
                <w:color w:val="000000" w:themeColor="text1"/>
                <w:sz w:val="21"/>
                <w:szCs w:val="21"/>
              </w:rPr>
              <w:t>现场检查未发现吸烟和使用明火的现象。</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14</w:t>
            </w:r>
          </w:p>
        </w:tc>
        <w:tc>
          <w:tcPr>
            <w:tcW w:w="3759" w:type="dxa"/>
            <w:vAlign w:val="center"/>
          </w:tcPr>
          <w:p>
            <w:pPr>
              <w:spacing w:line="240" w:lineRule="auto"/>
              <w:ind w:firstLine="210" w:firstLineChars="100"/>
              <w:rPr>
                <w:color w:val="000000" w:themeColor="text1"/>
                <w:sz w:val="21"/>
                <w:szCs w:val="21"/>
              </w:rPr>
            </w:pPr>
            <w:r>
              <w:rPr>
                <w:rFonts w:hint="eastAsia"/>
                <w:color w:val="000000" w:themeColor="text1"/>
                <w:sz w:val="21"/>
                <w:szCs w:val="21"/>
              </w:rPr>
              <w:t>定期检查仓储设施设备、消防器材、电闸线路、防护用品、机械工具、通信与报警装置是否完好有效。</w:t>
            </w:r>
          </w:p>
        </w:tc>
        <w:tc>
          <w:tcPr>
            <w:tcW w:w="2064"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《危险化学品仓库储存通则》（GB15603-2022）第8.2.2条</w:t>
            </w:r>
          </w:p>
        </w:tc>
        <w:tc>
          <w:tcPr>
            <w:tcW w:w="1920" w:type="dxa"/>
            <w:vAlign w:val="center"/>
          </w:tcPr>
          <w:p>
            <w:pPr>
              <w:spacing w:line="240" w:lineRule="auto"/>
              <w:ind w:firstLine="210" w:firstLineChars="100"/>
              <w:rPr>
                <w:color w:val="000000" w:themeColor="text1"/>
                <w:sz w:val="21"/>
                <w:szCs w:val="21"/>
              </w:rPr>
            </w:pPr>
            <w:r>
              <w:rPr>
                <w:rFonts w:hint="eastAsia"/>
                <w:color w:val="000000" w:themeColor="text1"/>
                <w:sz w:val="21"/>
                <w:szCs w:val="21"/>
              </w:rPr>
              <w:t>现场检查设施完好有效。</w:t>
            </w:r>
          </w:p>
        </w:tc>
        <w:tc>
          <w:tcPr>
            <w:tcW w:w="768" w:type="dxa"/>
            <w:vAlign w:val="center"/>
          </w:tcPr>
          <w:p>
            <w:pPr>
              <w:spacing w:line="240" w:lineRule="auto"/>
              <w:ind w:firstLine="0" w:firstLineChars="0"/>
              <w:jc w:val="center"/>
              <w:rPr>
                <w:color w:val="000000" w:themeColor="text1"/>
                <w:sz w:val="21"/>
                <w:szCs w:val="21"/>
              </w:rPr>
            </w:pPr>
            <w:r>
              <w:rPr>
                <w:color w:val="000000" w:themeColor="text1"/>
                <w:sz w:val="21"/>
                <w:szCs w:val="21"/>
              </w:rPr>
              <w:t>符合</w:t>
            </w:r>
            <w:r>
              <w:rPr>
                <w:rFonts w:hint="eastAsia"/>
                <w:color w:val="000000" w:themeColor="text1"/>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1"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15</w:t>
            </w:r>
          </w:p>
        </w:tc>
        <w:tc>
          <w:tcPr>
            <w:tcW w:w="3759" w:type="dxa"/>
            <w:vAlign w:val="center"/>
          </w:tcPr>
          <w:p>
            <w:pPr>
              <w:spacing w:line="240" w:lineRule="auto"/>
              <w:ind w:firstLine="210" w:firstLineChars="100"/>
              <w:rPr>
                <w:color w:val="000000" w:themeColor="text1"/>
                <w:sz w:val="21"/>
                <w:szCs w:val="21"/>
              </w:rPr>
            </w:pPr>
            <w:r>
              <w:rPr>
                <w:rFonts w:hint="eastAsia"/>
                <w:color w:val="000000" w:themeColor="text1"/>
                <w:sz w:val="21"/>
                <w:szCs w:val="21"/>
              </w:rPr>
              <w:t>危险化学品储存应符合下列要求：</w:t>
            </w:r>
          </w:p>
          <w:p>
            <w:pPr>
              <w:spacing w:line="240" w:lineRule="auto"/>
              <w:ind w:firstLine="210" w:firstLineChars="100"/>
              <w:rPr>
                <w:color w:val="000000" w:themeColor="text1"/>
                <w:sz w:val="21"/>
                <w:szCs w:val="21"/>
              </w:rPr>
            </w:pPr>
            <w:r>
              <w:rPr>
                <w:rFonts w:hint="eastAsia"/>
                <w:color w:val="000000" w:themeColor="text1"/>
                <w:sz w:val="21"/>
                <w:szCs w:val="21"/>
              </w:rPr>
              <w:t>①危险化学仓库、罐区、储存场所应根据危险品性质设计相应的防火、防爆、防腐、泄压、通风、调节温度、防潮、防雨等设施，并应配备通信报警装置和工作人员的防护用品。</w:t>
            </w:r>
          </w:p>
          <w:p>
            <w:pPr>
              <w:spacing w:line="240" w:lineRule="auto"/>
              <w:ind w:firstLine="210" w:firstLineChars="100"/>
              <w:rPr>
                <w:color w:val="000000" w:themeColor="text1"/>
                <w:sz w:val="21"/>
                <w:szCs w:val="21"/>
              </w:rPr>
            </w:pPr>
            <w:r>
              <w:rPr>
                <w:rFonts w:hint="eastAsia"/>
                <w:color w:val="000000" w:themeColor="text1"/>
                <w:sz w:val="21"/>
                <w:szCs w:val="21"/>
              </w:rPr>
              <w:t>②危险化学品库区设计应根据化学性质、火灾危险性分类储存进行设计。性质相抵触或消防要求不同的危险化学品，应按分开储存进行设计。</w:t>
            </w:r>
          </w:p>
        </w:tc>
        <w:tc>
          <w:tcPr>
            <w:tcW w:w="2064"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《化工企业安全卫生设计规范》（</w:t>
            </w:r>
            <w:r>
              <w:rPr>
                <w:color w:val="000000" w:themeColor="text1"/>
                <w:sz w:val="21"/>
                <w:szCs w:val="21"/>
              </w:rPr>
              <w:t>HG20571-2014</w:t>
            </w:r>
            <w:r>
              <w:rPr>
                <w:rFonts w:hint="eastAsia"/>
                <w:color w:val="000000" w:themeColor="text1"/>
                <w:sz w:val="21"/>
                <w:szCs w:val="21"/>
              </w:rPr>
              <w:t>）</w:t>
            </w:r>
          </w:p>
          <w:p>
            <w:pPr>
              <w:spacing w:line="240" w:lineRule="auto"/>
              <w:ind w:firstLine="0" w:firstLineChars="0"/>
              <w:jc w:val="center"/>
              <w:rPr>
                <w:color w:val="000000" w:themeColor="text1"/>
                <w:sz w:val="21"/>
                <w:szCs w:val="21"/>
              </w:rPr>
            </w:pPr>
            <w:r>
              <w:rPr>
                <w:rFonts w:hint="eastAsia"/>
                <w:color w:val="000000" w:themeColor="text1"/>
                <w:sz w:val="21"/>
                <w:szCs w:val="21"/>
              </w:rPr>
              <w:t>第</w:t>
            </w:r>
            <w:r>
              <w:rPr>
                <w:color w:val="000000" w:themeColor="text1"/>
                <w:sz w:val="21"/>
                <w:szCs w:val="21"/>
              </w:rPr>
              <w:t>4.5.1</w:t>
            </w:r>
            <w:r>
              <w:rPr>
                <w:rFonts w:hint="eastAsia"/>
                <w:color w:val="000000" w:themeColor="text1"/>
                <w:sz w:val="21"/>
                <w:szCs w:val="21"/>
              </w:rPr>
              <w:t>条</w:t>
            </w:r>
          </w:p>
        </w:tc>
        <w:tc>
          <w:tcPr>
            <w:tcW w:w="1920" w:type="dxa"/>
            <w:vAlign w:val="center"/>
          </w:tcPr>
          <w:p>
            <w:pPr>
              <w:spacing w:line="240" w:lineRule="auto"/>
              <w:ind w:firstLine="210" w:firstLineChars="100"/>
              <w:rPr>
                <w:color w:val="000000" w:themeColor="text1"/>
                <w:sz w:val="21"/>
                <w:szCs w:val="21"/>
              </w:rPr>
            </w:pPr>
            <w:r>
              <w:rPr>
                <w:rFonts w:hint="eastAsia"/>
                <w:color w:val="000000" w:themeColor="text1"/>
                <w:sz w:val="21"/>
                <w:szCs w:val="21"/>
              </w:rPr>
              <w:t>现场检查</w:t>
            </w:r>
            <w:r>
              <w:rPr>
                <w:rFonts w:hint="eastAsia" w:hAnsi="宋体" w:cs="宋体"/>
                <w:sz w:val="21"/>
                <w:szCs w:val="21"/>
              </w:rPr>
              <w:t>双氧水溶液输送泵安装</w:t>
            </w:r>
            <w:r>
              <w:rPr>
                <w:rFonts w:hint="eastAsia" w:ascii="宋体" w:hAnsi="宋体" w:cs="宋体"/>
                <w:sz w:val="21"/>
                <w:szCs w:val="21"/>
              </w:rPr>
              <w:t>不符合规范要求</w:t>
            </w:r>
          </w:p>
        </w:tc>
        <w:tc>
          <w:tcPr>
            <w:tcW w:w="768" w:type="dxa"/>
            <w:vAlign w:val="center"/>
          </w:tcPr>
          <w:p>
            <w:pPr>
              <w:spacing w:line="240" w:lineRule="auto"/>
              <w:ind w:firstLine="0" w:firstLineChars="0"/>
              <w:jc w:val="center"/>
              <w:rPr>
                <w:color w:val="000000" w:themeColor="text1"/>
                <w:sz w:val="21"/>
                <w:szCs w:val="21"/>
              </w:rPr>
            </w:pPr>
            <w:r>
              <w:rPr>
                <w:rFonts w:hint="eastAsia"/>
                <w:color w:val="000000" w:themeColor="text1"/>
                <w:sz w:val="21"/>
                <w:szCs w:val="21"/>
              </w:rPr>
              <w:t>不</w:t>
            </w:r>
            <w:r>
              <w:rPr>
                <w:color w:val="000000" w:themeColor="text1"/>
                <w:sz w:val="21"/>
                <w:szCs w:val="21"/>
              </w:rPr>
              <w:t>符合</w:t>
            </w:r>
            <w:r>
              <w:rPr>
                <w:rFonts w:hint="eastAsia"/>
                <w:color w:val="000000" w:themeColor="text1"/>
                <w:sz w:val="21"/>
                <w:szCs w:val="21"/>
              </w:rPr>
              <w:t>要求</w:t>
            </w:r>
          </w:p>
        </w:tc>
      </w:tr>
      <w:bookmarkEnd w:id="4225"/>
      <w:bookmarkEnd w:id="4226"/>
      <w:bookmarkEnd w:id="4227"/>
    </w:tbl>
    <w:p>
      <w:pPr>
        <w:ind w:firstLine="560"/>
        <w:rPr>
          <w:color w:val="000000" w:themeColor="text1"/>
        </w:rPr>
      </w:pPr>
    </w:p>
    <w:p>
      <w:pPr>
        <w:ind w:firstLine="560"/>
        <w:rPr>
          <w:color w:val="000000" w:themeColor="text1"/>
        </w:rPr>
      </w:pPr>
      <w:r>
        <w:rPr>
          <w:rFonts w:hint="eastAsia"/>
          <w:color w:val="000000" w:themeColor="text1"/>
        </w:rPr>
        <w:t>通过检查表评价可知：漾濞县跃进化工有限责任公司危险化学品贮存设施</w:t>
      </w:r>
      <w:r>
        <w:rPr>
          <w:color w:val="000000" w:themeColor="text1"/>
        </w:rPr>
        <w:t>《危险化学品安全管理条例》</w:t>
      </w:r>
      <w:r>
        <w:rPr>
          <w:rFonts w:hint="eastAsia"/>
          <w:color w:val="000000" w:themeColor="text1"/>
        </w:rPr>
        <w:t>（国务院令第591号，第645号令修订）</w:t>
      </w:r>
      <w:r>
        <w:rPr>
          <w:color w:val="000000" w:themeColor="text1"/>
        </w:rPr>
        <w:t>等法律、法规及标准的</w:t>
      </w:r>
      <w:r>
        <w:rPr>
          <w:rFonts w:hint="eastAsia"/>
          <w:color w:val="000000" w:themeColor="text1"/>
        </w:rPr>
        <w:t>要求。</w:t>
      </w:r>
    </w:p>
    <w:p>
      <w:pPr>
        <w:ind w:firstLine="560"/>
        <w:rPr>
          <w:color w:val="000000" w:themeColor="text1"/>
        </w:rPr>
      </w:pPr>
      <w:r>
        <w:rPr>
          <w:rFonts w:hint="eastAsia"/>
          <w:color w:val="000000" w:themeColor="text1"/>
        </w:rPr>
        <w:t>通过检查表评价可知：漾濞县跃进化工有限责任公司贮存设施满足</w:t>
      </w:r>
      <w:r>
        <w:rPr>
          <w:color w:val="000000" w:themeColor="text1"/>
        </w:rPr>
        <w:t>《危险化学品安全管理条例》</w:t>
      </w:r>
      <w:r>
        <w:rPr>
          <w:rFonts w:hint="eastAsia"/>
          <w:color w:val="000000" w:themeColor="text1"/>
        </w:rPr>
        <w:t>（国务院令第591号，第645号令修订）、《危险化学品仓库储存通则》（</w:t>
      </w:r>
      <w:r>
        <w:rPr>
          <w:color w:val="000000" w:themeColor="text1"/>
        </w:rPr>
        <w:t>GB15603-</w:t>
      </w:r>
      <w:r>
        <w:rPr>
          <w:rFonts w:hint="eastAsia"/>
          <w:color w:val="000000" w:themeColor="text1"/>
        </w:rPr>
        <w:t>2022）</w:t>
      </w:r>
      <w:r>
        <w:rPr>
          <w:color w:val="000000" w:themeColor="text1"/>
        </w:rPr>
        <w:t>等法律、法规及标准的规定</w:t>
      </w:r>
      <w:r>
        <w:rPr>
          <w:rFonts w:hint="eastAsia"/>
          <w:color w:val="000000" w:themeColor="text1"/>
        </w:rPr>
        <w:t>。</w:t>
      </w:r>
      <w:bookmarkEnd w:id="4196"/>
      <w:bookmarkEnd w:id="4197"/>
      <w:r>
        <w:rPr>
          <w:rFonts w:hint="eastAsia"/>
          <w:color w:val="000000" w:themeColor="text1"/>
        </w:rPr>
        <w:t xml:space="preserve"> </w:t>
      </w:r>
    </w:p>
    <w:p>
      <w:pPr>
        <w:ind w:firstLine="562"/>
        <w:rPr>
          <w:rFonts w:ascii="宋体" w:hAnsi="宋体"/>
          <w:color w:val="000000" w:themeColor="text1"/>
          <w:szCs w:val="28"/>
        </w:rPr>
      </w:pPr>
      <w:r>
        <w:rPr>
          <w:rFonts w:hint="eastAsia"/>
          <w:b/>
          <w:bCs/>
          <w:color w:val="000000" w:themeColor="text1"/>
        </w:rPr>
        <w:t>存在问题</w:t>
      </w:r>
      <w:r>
        <w:rPr>
          <w:rFonts w:hint="eastAsia"/>
          <w:color w:val="000000" w:themeColor="text1"/>
        </w:rPr>
        <w:t>：</w:t>
      </w:r>
      <w:r>
        <w:rPr>
          <w:rFonts w:hint="eastAsia"/>
          <w:color w:val="000000" w:themeColor="text1"/>
          <w:szCs w:val="28"/>
        </w:rPr>
        <w:t>现场检查发现跃进公司</w:t>
      </w:r>
      <w:r>
        <w:rPr>
          <w:rFonts w:hint="eastAsia" w:hAnsi="宋体" w:cs="宋体"/>
          <w:szCs w:val="28"/>
        </w:rPr>
        <w:t>双氧水溶液输送泵安装在</w:t>
      </w:r>
      <w:r>
        <w:rPr>
          <w:color w:val="000000" w:themeColor="text1"/>
          <w:szCs w:val="28"/>
        </w:rPr>
        <w:t>防护围堤</w:t>
      </w:r>
      <w:r>
        <w:rPr>
          <w:rFonts w:hint="eastAsia"/>
          <w:color w:val="000000" w:themeColor="text1"/>
          <w:szCs w:val="28"/>
        </w:rPr>
        <w:t>内，</w:t>
      </w:r>
      <w:r>
        <w:rPr>
          <w:rFonts w:hint="eastAsia" w:ascii="宋体" w:hAnsi="宋体" w:cs="宋体"/>
          <w:szCs w:val="28"/>
        </w:rPr>
        <w:t>不符合规范要求；要求</w:t>
      </w:r>
      <w:r>
        <w:rPr>
          <w:rFonts w:hint="eastAsia"/>
          <w:color w:val="000000" w:themeColor="text1"/>
          <w:szCs w:val="28"/>
        </w:rPr>
        <w:t>跃进公司立即将</w:t>
      </w:r>
      <w:r>
        <w:rPr>
          <w:rFonts w:hint="eastAsia" w:hAnsi="宋体" w:cs="宋体"/>
          <w:szCs w:val="28"/>
        </w:rPr>
        <w:t>双氧水溶液输送泵移至</w:t>
      </w:r>
      <w:r>
        <w:rPr>
          <w:color w:val="000000" w:themeColor="text1"/>
          <w:szCs w:val="28"/>
        </w:rPr>
        <w:t>防护围堤</w:t>
      </w:r>
      <w:r>
        <w:rPr>
          <w:rFonts w:hint="eastAsia"/>
          <w:color w:val="000000" w:themeColor="text1"/>
          <w:szCs w:val="28"/>
        </w:rPr>
        <w:t>外。</w:t>
      </w:r>
    </w:p>
    <w:p>
      <w:pPr>
        <w:pStyle w:val="4"/>
        <w:keepNext w:val="0"/>
        <w:keepLines w:val="0"/>
        <w:ind w:firstLine="562"/>
      </w:pPr>
      <w:bookmarkStart w:id="4228" w:name="_Toc31510"/>
      <w:bookmarkStart w:id="4229" w:name="_Toc30625"/>
      <w:bookmarkStart w:id="4230" w:name="_Toc31555"/>
      <w:bookmarkStart w:id="4231" w:name="_Toc28284"/>
      <w:bookmarkStart w:id="4232" w:name="_Toc13550"/>
      <w:bookmarkStart w:id="4233" w:name="_Toc32273"/>
      <w:bookmarkStart w:id="4234" w:name="_Toc22116"/>
      <w:bookmarkStart w:id="4235" w:name="_Toc22975"/>
      <w:bookmarkStart w:id="4236" w:name="_Toc22188"/>
      <w:bookmarkStart w:id="4237" w:name="_Toc128056536"/>
      <w:bookmarkStart w:id="4238" w:name="_Toc15280"/>
      <w:bookmarkStart w:id="4239" w:name="_Toc20418"/>
      <w:bookmarkStart w:id="4240" w:name="_Toc29654"/>
      <w:bookmarkStart w:id="4241" w:name="_Toc20065"/>
      <w:bookmarkStart w:id="4242" w:name="_Toc12791"/>
      <w:bookmarkStart w:id="4243" w:name="_Toc3888"/>
      <w:bookmarkStart w:id="4244" w:name="_Toc24164"/>
      <w:bookmarkStart w:id="4245" w:name="_Toc8228"/>
      <w:bookmarkStart w:id="4246" w:name="_Toc18113"/>
      <w:bookmarkStart w:id="4247" w:name="_Toc31239"/>
      <w:bookmarkStart w:id="4248" w:name="_Toc4654"/>
      <w:bookmarkStart w:id="4249" w:name="_Toc27126"/>
      <w:bookmarkStart w:id="4250" w:name="_Toc2171"/>
      <w:bookmarkStart w:id="4251" w:name="_Toc32624"/>
      <w:bookmarkStart w:id="4252" w:name="_Toc5723"/>
      <w:bookmarkStart w:id="4253" w:name="_Toc11453"/>
      <w:r>
        <w:rPr>
          <w:rFonts w:hint="eastAsia"/>
        </w:rPr>
        <w:t>F4.2.4 单元小结</w:t>
      </w:r>
      <w:bookmarkEnd w:id="4228"/>
      <w:bookmarkEnd w:id="4229"/>
      <w:bookmarkEnd w:id="4230"/>
      <w:bookmarkEnd w:id="4231"/>
      <w:bookmarkEnd w:id="4232"/>
      <w:bookmarkEnd w:id="4233"/>
      <w:bookmarkEnd w:id="4234"/>
      <w:bookmarkEnd w:id="4235"/>
      <w:bookmarkEnd w:id="4236"/>
      <w:bookmarkEnd w:id="4237"/>
      <w:bookmarkEnd w:id="4238"/>
      <w:bookmarkEnd w:id="4239"/>
      <w:bookmarkEnd w:id="4240"/>
      <w:bookmarkEnd w:id="4241"/>
      <w:bookmarkEnd w:id="4242"/>
      <w:bookmarkEnd w:id="4243"/>
      <w:bookmarkEnd w:id="4244"/>
      <w:bookmarkEnd w:id="4245"/>
      <w:bookmarkEnd w:id="4246"/>
      <w:bookmarkEnd w:id="4247"/>
      <w:bookmarkEnd w:id="4248"/>
      <w:bookmarkEnd w:id="4249"/>
      <w:bookmarkEnd w:id="4250"/>
      <w:bookmarkEnd w:id="4251"/>
      <w:bookmarkEnd w:id="4252"/>
      <w:bookmarkEnd w:id="4253"/>
    </w:p>
    <w:p>
      <w:pPr>
        <w:topLinePunct/>
        <w:ind w:firstLine="560"/>
        <w:rPr>
          <w:rFonts w:ascii="宋体" w:hAnsi="宋体" w:cs="Tahoma"/>
          <w:color w:val="000000" w:themeColor="text1"/>
          <w:szCs w:val="28"/>
        </w:rPr>
      </w:pPr>
      <w:r>
        <w:rPr>
          <w:rFonts w:hint="eastAsia" w:ascii="宋体" w:hAnsi="宋体" w:cs="Tahoma"/>
          <w:color w:val="000000" w:themeColor="text1"/>
          <w:szCs w:val="28"/>
        </w:rPr>
        <w:t>跃进化工</w:t>
      </w:r>
      <w:r>
        <w:rPr>
          <w:rFonts w:ascii="宋体" w:hAnsi="宋体" w:cs="Tahoma"/>
          <w:color w:val="000000" w:themeColor="text1"/>
          <w:szCs w:val="28"/>
        </w:rPr>
        <w:t>生产工艺</w:t>
      </w:r>
      <w:r>
        <w:rPr>
          <w:rFonts w:hint="eastAsia" w:ascii="宋体" w:hAnsi="宋体" w:cs="Tahoma"/>
          <w:color w:val="000000" w:themeColor="text1"/>
          <w:szCs w:val="28"/>
        </w:rPr>
        <w:t>、</w:t>
      </w:r>
      <w:r>
        <w:rPr>
          <w:rFonts w:ascii="宋体" w:hAnsi="宋体" w:cs="Tahoma"/>
          <w:color w:val="000000" w:themeColor="text1"/>
          <w:szCs w:val="28"/>
        </w:rPr>
        <w:t>设备为国内成熟工艺</w:t>
      </w:r>
      <w:r>
        <w:rPr>
          <w:rFonts w:hint="eastAsia" w:ascii="宋体" w:hAnsi="宋体" w:cs="Tahoma"/>
          <w:color w:val="000000" w:themeColor="text1"/>
          <w:szCs w:val="28"/>
        </w:rPr>
        <w:t>、设备生产，不属于国家明令禁止使用或淘汰的。生产设备为正规厂家生产，生产设施、设备安全维护符合相关要求，生产工艺过程及作业场所符合相关安全规范。</w:t>
      </w:r>
    </w:p>
    <w:p>
      <w:pPr>
        <w:topLinePunct/>
        <w:ind w:firstLine="560"/>
        <w:rPr>
          <w:rFonts w:ascii="宋体" w:hAnsi="宋体" w:cs="Tahoma"/>
          <w:color w:val="auto"/>
          <w:szCs w:val="28"/>
        </w:rPr>
      </w:pPr>
      <w:bookmarkStart w:id="4254" w:name="_Toc62740979"/>
      <w:bookmarkStart w:id="4255" w:name="_Toc32601"/>
      <w:bookmarkStart w:id="4256" w:name="_Toc3785"/>
      <w:bookmarkStart w:id="4257" w:name="_Toc5070"/>
      <w:bookmarkStart w:id="4258" w:name="_Toc5466"/>
      <w:bookmarkStart w:id="4259" w:name="_Toc25410"/>
      <w:bookmarkStart w:id="4260" w:name="_Toc1004"/>
      <w:bookmarkStart w:id="4261" w:name="_Toc17695"/>
      <w:bookmarkStart w:id="4262" w:name="_Toc28135"/>
      <w:bookmarkStart w:id="4263" w:name="_Toc128056537"/>
      <w:bookmarkStart w:id="4264" w:name="_Toc30696"/>
      <w:bookmarkStart w:id="4265" w:name="_Toc26848"/>
      <w:bookmarkStart w:id="4266" w:name="_Toc5796"/>
      <w:bookmarkStart w:id="4267" w:name="_Toc27734"/>
      <w:bookmarkStart w:id="4268" w:name="_Toc14766"/>
      <w:bookmarkStart w:id="4269" w:name="_Toc22681"/>
      <w:bookmarkStart w:id="4270" w:name="_Toc22409"/>
      <w:bookmarkStart w:id="4271" w:name="_Toc19864"/>
      <w:bookmarkStart w:id="4272" w:name="_Toc29058"/>
      <w:bookmarkStart w:id="4273" w:name="_Toc17454"/>
      <w:bookmarkStart w:id="4274" w:name="_Toc20960"/>
      <w:r>
        <w:rPr>
          <w:rFonts w:hint="eastAsia" w:ascii="宋体" w:hAnsi="宋体" w:cs="Tahoma"/>
          <w:color w:val="auto"/>
          <w:szCs w:val="28"/>
        </w:rPr>
        <w:t>根据作业条件危险性评价法评价知，生产过程中，中毒窒息、机械伤害、爆炸、火灾、爆炸、高处坠落、化学腐蚀、淹溺为可能危险等级，噪声、粉尘伤害、灼烫为稍有危险等级；</w:t>
      </w:r>
      <w:r>
        <w:rPr>
          <w:rFonts w:hint="eastAsia" w:ascii="宋体" w:hAnsi="宋体" w:cs="Tahoma"/>
          <w:color w:val="auto"/>
          <w:szCs w:val="28"/>
        </w:rPr>
        <w:tab/>
      </w:r>
      <w:r>
        <w:rPr>
          <w:rFonts w:hint="eastAsia" w:ascii="宋体" w:hAnsi="宋体" w:cs="Tahoma"/>
          <w:color w:val="auto"/>
          <w:szCs w:val="28"/>
        </w:rPr>
        <w:t>其中若发生火灾爆炸、淹溺、高处坠落事故，可能造成人员伤亡，企业在</w:t>
      </w:r>
      <w:r>
        <w:rPr>
          <w:rFonts w:ascii="宋体" w:hAnsi="宋体" w:cs="Tahoma"/>
          <w:color w:val="auto"/>
          <w:szCs w:val="28"/>
        </w:rPr>
        <w:t>生产过程中</w:t>
      </w:r>
      <w:r>
        <w:rPr>
          <w:rFonts w:hint="eastAsia" w:ascii="宋体" w:hAnsi="宋体" w:cs="Tahoma"/>
          <w:color w:val="auto"/>
          <w:szCs w:val="28"/>
        </w:rPr>
        <w:t>的安全工作</w:t>
      </w:r>
      <w:r>
        <w:rPr>
          <w:rFonts w:ascii="宋体" w:hAnsi="宋体" w:cs="Tahoma"/>
          <w:color w:val="auto"/>
          <w:szCs w:val="28"/>
        </w:rPr>
        <w:t>予以高度重视</w:t>
      </w:r>
      <w:r>
        <w:rPr>
          <w:rFonts w:hint="eastAsia" w:ascii="宋体" w:hAnsi="宋体" w:cs="Tahoma"/>
          <w:color w:val="auto"/>
          <w:szCs w:val="28"/>
        </w:rPr>
        <w:t>，加强作业场所的安全管理，防微杜渐，严防事故的发生</w:t>
      </w:r>
      <w:r>
        <w:rPr>
          <w:rFonts w:ascii="宋体" w:hAnsi="宋体" w:cs="Tahoma"/>
          <w:color w:val="auto"/>
          <w:szCs w:val="28"/>
        </w:rPr>
        <w:t>。</w:t>
      </w:r>
      <w:r>
        <w:rPr>
          <w:rFonts w:hint="eastAsia" w:ascii="宋体" w:hAnsi="宋体" w:cs="Tahoma"/>
          <w:color w:val="auto"/>
          <w:szCs w:val="28"/>
        </w:rPr>
        <w:t>日常还</w:t>
      </w:r>
      <w:r>
        <w:rPr>
          <w:rFonts w:ascii="宋体" w:hAnsi="宋体" w:cs="Tahoma"/>
          <w:color w:val="auto"/>
          <w:szCs w:val="28"/>
        </w:rPr>
        <w:t>要加强设备维护管理、精心操作，杜绝</w:t>
      </w:r>
      <w:r>
        <w:rPr>
          <w:rFonts w:hint="eastAsia" w:ascii="宋体" w:hAnsi="宋体" w:cs="Tahoma"/>
          <w:color w:val="auto"/>
          <w:szCs w:val="28"/>
        </w:rPr>
        <w:t>违章作业；不断加强对操作人员的技术、技能培训，提高操作水平和危险自救互救能力。</w:t>
      </w:r>
    </w:p>
    <w:p>
      <w:pPr>
        <w:pStyle w:val="3"/>
        <w:ind w:firstLine="562"/>
        <w:rPr>
          <w:rFonts w:ascii="黑体" w:hAnsi="黑体" w:eastAsia="黑体" w:cs="黑体"/>
          <w:color w:val="000000" w:themeColor="text1"/>
        </w:rPr>
      </w:pPr>
      <w:bookmarkStart w:id="4275" w:name="_Toc16582"/>
      <w:bookmarkStart w:id="4276" w:name="_Toc10625"/>
      <w:bookmarkStart w:id="4277" w:name="_Toc32055"/>
      <w:bookmarkStart w:id="4278" w:name="_Toc16665"/>
      <w:bookmarkStart w:id="4279" w:name="_Toc8339"/>
      <w:bookmarkStart w:id="4280" w:name="_Toc17784"/>
      <w:bookmarkStart w:id="4281" w:name="_Toc18670"/>
      <w:bookmarkStart w:id="4282" w:name="_Toc20982"/>
      <w:bookmarkStart w:id="4283" w:name="_Toc1375"/>
      <w:bookmarkStart w:id="4284" w:name="_Toc5221"/>
      <w:bookmarkStart w:id="4285" w:name="_Toc25811"/>
      <w:bookmarkStart w:id="4286" w:name="_Toc1424"/>
      <w:bookmarkStart w:id="4287" w:name="_Toc22706"/>
      <w:bookmarkStart w:id="4288" w:name="_Toc12325"/>
      <w:bookmarkStart w:id="4289" w:name="_Toc17172"/>
      <w:bookmarkStart w:id="4290" w:name="_Toc31057"/>
      <w:r>
        <w:rPr>
          <w:rFonts w:hint="eastAsia" w:ascii="黑体" w:hAnsi="黑体" w:eastAsia="黑体" w:cs="黑体"/>
          <w:color w:val="000000" w:themeColor="text1"/>
        </w:rPr>
        <w:t>F4.</w:t>
      </w:r>
      <w:bookmarkEnd w:id="4254"/>
      <w:r>
        <w:rPr>
          <w:rFonts w:hint="eastAsia" w:ascii="黑体" w:hAnsi="黑体" w:eastAsia="黑体" w:cs="黑体"/>
          <w:color w:val="000000" w:themeColor="text1"/>
        </w:rPr>
        <w:t>3 公用工程及辅助设施单元评价</w:t>
      </w:r>
      <w:bookmarkEnd w:id="4255"/>
      <w:bookmarkEnd w:id="4256"/>
      <w:bookmarkEnd w:id="4257"/>
      <w:bookmarkEnd w:id="4258"/>
      <w:bookmarkEnd w:id="4259"/>
      <w:bookmarkEnd w:id="4260"/>
      <w:bookmarkEnd w:id="4261"/>
      <w:bookmarkEnd w:id="4262"/>
      <w:bookmarkEnd w:id="4263"/>
      <w:bookmarkEnd w:id="4264"/>
      <w:bookmarkEnd w:id="4265"/>
      <w:bookmarkEnd w:id="4266"/>
      <w:bookmarkEnd w:id="4267"/>
      <w:bookmarkEnd w:id="4268"/>
      <w:bookmarkEnd w:id="4269"/>
      <w:bookmarkEnd w:id="4270"/>
      <w:bookmarkEnd w:id="4271"/>
      <w:bookmarkEnd w:id="4272"/>
      <w:bookmarkEnd w:id="4273"/>
      <w:bookmarkEnd w:id="4274"/>
      <w:bookmarkEnd w:id="4275"/>
      <w:bookmarkEnd w:id="4276"/>
      <w:bookmarkEnd w:id="4277"/>
      <w:bookmarkEnd w:id="4278"/>
      <w:bookmarkEnd w:id="4279"/>
      <w:bookmarkEnd w:id="4280"/>
      <w:bookmarkEnd w:id="4281"/>
      <w:bookmarkEnd w:id="4282"/>
      <w:bookmarkEnd w:id="4283"/>
      <w:bookmarkEnd w:id="4284"/>
      <w:bookmarkEnd w:id="4285"/>
      <w:bookmarkEnd w:id="4286"/>
      <w:bookmarkEnd w:id="4287"/>
      <w:bookmarkEnd w:id="4288"/>
      <w:bookmarkEnd w:id="4289"/>
      <w:bookmarkEnd w:id="4290"/>
    </w:p>
    <w:p>
      <w:pPr>
        <w:pStyle w:val="4"/>
        <w:ind w:firstLine="562"/>
      </w:pPr>
      <w:bookmarkStart w:id="4291" w:name="_Toc16221"/>
      <w:bookmarkStart w:id="4292" w:name="_Toc4672"/>
      <w:bookmarkStart w:id="4293" w:name="_Toc24430"/>
      <w:bookmarkStart w:id="4294" w:name="_Toc26231"/>
      <w:bookmarkStart w:id="4295" w:name="_Toc18795"/>
      <w:bookmarkStart w:id="4296" w:name="_Toc128056538"/>
      <w:bookmarkStart w:id="4297" w:name="_Toc21939"/>
      <w:bookmarkStart w:id="4298" w:name="_Toc13936"/>
      <w:bookmarkStart w:id="4299" w:name="_Toc15780"/>
      <w:bookmarkStart w:id="4300" w:name="_Toc6402"/>
      <w:bookmarkStart w:id="4301" w:name="_Toc30569"/>
      <w:bookmarkStart w:id="4302" w:name="_Toc32172"/>
      <w:bookmarkStart w:id="4303" w:name="_Toc26040"/>
      <w:bookmarkStart w:id="4304" w:name="_Toc17641"/>
      <w:bookmarkStart w:id="4305" w:name="_Toc22820"/>
      <w:bookmarkStart w:id="4306" w:name="_Toc8634"/>
      <w:bookmarkStart w:id="4307" w:name="_Toc6472"/>
      <w:bookmarkStart w:id="4308" w:name="_Toc19691"/>
      <w:bookmarkStart w:id="4309" w:name="_Toc25834"/>
      <w:bookmarkStart w:id="4310" w:name="_Toc32418"/>
      <w:bookmarkStart w:id="4311" w:name="_Toc636"/>
      <w:bookmarkStart w:id="4312" w:name="_Toc3854"/>
      <w:bookmarkStart w:id="4313" w:name="_Toc18447"/>
      <w:bookmarkStart w:id="4314" w:name="_Toc32140"/>
      <w:bookmarkStart w:id="4315" w:name="_Toc10881"/>
      <w:bookmarkStart w:id="4316" w:name="_Toc30611"/>
      <w:r>
        <w:rPr>
          <w:rFonts w:hint="eastAsia"/>
        </w:rPr>
        <w:t>F4.3.1 供配电安全检查</w:t>
      </w:r>
      <w:bookmarkEnd w:id="4291"/>
      <w:bookmarkEnd w:id="4292"/>
      <w:bookmarkEnd w:id="4293"/>
      <w:bookmarkEnd w:id="4294"/>
      <w:bookmarkEnd w:id="4295"/>
      <w:bookmarkEnd w:id="4296"/>
      <w:bookmarkEnd w:id="4297"/>
      <w:bookmarkEnd w:id="4298"/>
      <w:bookmarkEnd w:id="4299"/>
      <w:bookmarkEnd w:id="4300"/>
      <w:bookmarkEnd w:id="4301"/>
      <w:bookmarkEnd w:id="4302"/>
      <w:bookmarkEnd w:id="4303"/>
      <w:bookmarkEnd w:id="4304"/>
      <w:bookmarkEnd w:id="4305"/>
      <w:bookmarkEnd w:id="4306"/>
      <w:bookmarkEnd w:id="4307"/>
      <w:bookmarkEnd w:id="4308"/>
      <w:bookmarkEnd w:id="4309"/>
      <w:bookmarkEnd w:id="4310"/>
      <w:bookmarkEnd w:id="4311"/>
      <w:bookmarkEnd w:id="4312"/>
      <w:bookmarkEnd w:id="4313"/>
      <w:bookmarkEnd w:id="4314"/>
      <w:bookmarkEnd w:id="4315"/>
      <w:bookmarkEnd w:id="4316"/>
    </w:p>
    <w:p>
      <w:pPr>
        <w:ind w:firstLine="560"/>
        <w:rPr>
          <w:sz w:val="24"/>
        </w:rPr>
      </w:pPr>
      <w:r>
        <w:rPr>
          <w:rFonts w:hint="eastAsia"/>
          <w:color w:val="000000" w:themeColor="text1"/>
        </w:rPr>
        <w:t>根据</w:t>
      </w:r>
      <w:r>
        <w:rPr>
          <w:rFonts w:hint="eastAsia" w:cs="宋体"/>
          <w:color w:val="000000" w:themeColor="text1"/>
          <w:kern w:val="0"/>
          <w:szCs w:val="28"/>
        </w:rPr>
        <w:t>《用电安全导则》（GB/T13869-2017）</w:t>
      </w:r>
      <w:r>
        <w:rPr>
          <w:rFonts w:hint="eastAsia" w:cs="宋体"/>
          <w:color w:val="000000" w:themeColor="text1"/>
          <w:kern w:val="0"/>
          <w:sz w:val="21"/>
          <w:szCs w:val="21"/>
        </w:rPr>
        <w:t>、</w:t>
      </w:r>
      <w:r>
        <w:rPr>
          <w:rFonts w:hint="eastAsia" w:cs="宋体"/>
          <w:color w:val="000000" w:themeColor="text1"/>
          <w:kern w:val="0"/>
          <w:szCs w:val="28"/>
        </w:rPr>
        <w:t>《供配电系统设计规范》（GB50052-2009）</w:t>
      </w:r>
      <w:r>
        <w:rPr>
          <w:rFonts w:hint="eastAsia"/>
          <w:color w:val="000000" w:themeColor="text1"/>
        </w:rPr>
        <w:t>、《20kV及以下变电所设计规范》（GB50053-2013）等标准规范的规定，对该公司的供配电采用安全检查表法进行分析评价。</w:t>
      </w:r>
    </w:p>
    <w:p>
      <w:pPr>
        <w:pStyle w:val="92"/>
        <w:rPr>
          <w:sz w:val="24"/>
          <w:szCs w:val="24"/>
        </w:rPr>
      </w:pPr>
      <w:r>
        <w:rPr>
          <w:rFonts w:hint="eastAsia"/>
          <w:sz w:val="24"/>
          <w:szCs w:val="24"/>
        </w:rPr>
        <w:t>F表4.3-1 供配电安全检查表</w:t>
      </w:r>
    </w:p>
    <w:tbl>
      <w:tblPr>
        <w:tblStyle w:val="89"/>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6"/>
        <w:gridCol w:w="3534"/>
        <w:gridCol w:w="2284"/>
        <w:gridCol w:w="2234"/>
        <w:gridCol w:w="5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序号</w:t>
            </w:r>
          </w:p>
        </w:tc>
        <w:tc>
          <w:tcPr>
            <w:tcW w:w="3534"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  查  内  容</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依 据 标 准</w:t>
            </w:r>
          </w:p>
        </w:tc>
        <w:tc>
          <w:tcPr>
            <w:tcW w:w="2234"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 查 情 况</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用电产品应具有符合规定的铭牌或标志，以满足安装、使用和维护的要求。</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《用电安全导则》（GB/T13869-2017）第5.2条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跃进化工厂内的用电产品均有符合相关规定的铭牌和标志。</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用电产品应该在规定使用寿命内使用，超过使用寿命期限的应及时报废或更换，必要时按照相关规定延长使用寿命。</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《用电安全导则》（GB/T13869-2017）第6.3条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跃进化工厂区内的用电产品在规定使用寿命内使用，定期进行检查更换。</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3</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任何用电产品在运行过程中，应有必要的监控或监视措施；用电产品不允许超负荷运行。</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《用电安全导则》(GB/T13869-2017)第6.4条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电气装置未超负荷运行或带故障使用。</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4</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用电产品和电气线路的周围应留有足够的安全通道和工作空间，且不应堆放易燃、易爆和腐蚀性物品。</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《用电安全导则》（GB/T13869-2017）第6.5条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用电设备和电气线路周围有足够的安全通道和工作空间，附近不堆放危险物品。</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5</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正常运行时会产生飞溅火花或外壳表面温度较高的用电产品，使用时应远离可燃物质或采取相应的密闭、隔离等措施，用完后及时切断电源。</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《用电安全导则》（GB/T13869-2017）第6.6条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现场检查：跃进化工作业区周边无其他可燃物质。</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6</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用电产品的电气线路须具备足够的绝缘强度、机械强度和导电能力并应定期检查。</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《用电安全导则》（GB/T13869-2017）第6.7条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跃进化工厂区使用的电气线路具备足够的绝缘强度、机械强度和导电能力。</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7</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变电所的所址应根据下列要求，经技术经济等因素综合分析和比较后确定：①宜接近负荷中心；②宜接近电源侧；③应方便进出线；④应方便设备运输；⑤不应设在有剧烈振动或高温的场所；⑥不宜设在多尘或有腐蚀性气体的场所，当无法远离时，不应设在污染源盛行风向的下风侧；⑦不应设在厕所、浴室、厨房或其他经常积水场所的正下方，也不宜设在与上述场所相贴邻的地方，当贴临时，相邻的隔墙应做无渗漏、无结露的防水处理；⑧当与有爆炸或火灾危险环境的建筑物毗连时，变电所的所址应符合现行国家标准《爆炸和火灾危险环境电力装置设计规范》GB50058的有关规定；⑨不应设在地势低洼和可能积水的场所；⑩不宜设在对防电磁干扰有较高要求的设备机房的正上方、正下方或与其贴邻的场所，当需要设在上述场所时，应采取防电磁干扰</w:t>
            </w:r>
            <w:r>
              <w:rPr>
                <w:rFonts w:hint="eastAsia" w:cs="宋体"/>
                <w:color w:val="000000" w:themeColor="text1"/>
                <w:kern w:val="0"/>
                <w:sz w:val="21"/>
                <w:szCs w:val="21"/>
                <w:lang w:val="zh-CN" w:eastAsia="en-US"/>
              </w:rPr>
              <w:t>的措施。</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《20kV及以下变电所设计规范》（GB50053-2013）第2.0.1条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配电室均接近负荷中心，进出方便，设备运输方便，周围无激烈振动或高温的场所，符合本条的规定。</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8</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油浸变压器的车间内变电所，不应设在三、四级耐火等级的建筑物内；当设在二级耐火等级的建筑物内时，建筑物应采取局部防火措施。</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《20kV及以下变电所设计规范》（GB50053-2013）第2.0.2条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根据以往的安全评价报告结合现场调查，符合此条要求。</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9</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配电装置的布置和导体、电器、架构的选择，应符合正常运行、检修以及过电流和过电压等故障情况的要求。</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《20kV及以下变电所设计规范》（GB50053-2013）第3.1.1条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跃进化工选用技术先进，经济适用和节能的设备，没有不符合国家或行业标准的产品。</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10</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配电所专用电源线的进线开关宜采用断路器或负荷开关-熔断器组合电器。当进线无继电保护和自动装置要求且无需须带负荷操作时，可采用隔离开关或隔离触头。</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《20kV及以下变电所设计规范》（GB50053-2013）第3.2.2条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跃进化工进线开关采用相应的断路器。</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11</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配电所的非专用电源线的进线侧，应装设断路器或负荷开关-熔断器组合电器。</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《20kV及以下变电所设计规范》（GB50053-2013）第3.2.4条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跃进化工非专用电源线设置有带保护的开关设备。</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12</w:t>
            </w:r>
          </w:p>
        </w:tc>
        <w:tc>
          <w:tcPr>
            <w:tcW w:w="3534" w:type="dxa"/>
            <w:tcBorders>
              <w:tl2br w:val="nil"/>
              <w:tr2bl w:val="nil"/>
            </w:tcBorders>
            <w:shd w:val="clear" w:color="auto" w:fill="auto"/>
            <w:vAlign w:val="center"/>
          </w:tcPr>
          <w:p>
            <w:pPr>
              <w:autoSpaceDE w:val="0"/>
              <w:autoSpaceDN w:val="0"/>
              <w:spacing w:line="240" w:lineRule="auto"/>
              <w:ind w:firstLine="198" w:firstLineChars="100"/>
              <w:jc w:val="left"/>
              <w:rPr>
                <w:rFonts w:cs="宋体"/>
                <w:color w:val="000000" w:themeColor="text1"/>
                <w:kern w:val="0"/>
                <w:sz w:val="21"/>
                <w:szCs w:val="21"/>
                <w:lang w:eastAsia="en-US"/>
              </w:rPr>
            </w:pPr>
            <w:r>
              <w:rPr>
                <w:rFonts w:hint="eastAsia" w:cs="宋体"/>
                <w:color w:val="000000" w:themeColor="text1"/>
                <w:spacing w:val="-6"/>
                <w:kern w:val="0"/>
                <w:sz w:val="21"/>
                <w:szCs w:val="21"/>
                <w:lang w:eastAsia="en-US"/>
              </w:rPr>
              <w:t>变电所宜单层布置。当采用双层布置时，变压器应设在底层。设于二层的配电室应设搬运设备的通道、平台或孔洞。</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《20kV及以下变电所设计规范》（GB50053-2013）第4.1.7条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跃进化工配电室布置合理。</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13</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设置于变电所内的非封闭式干式变压器，应装设高度不低于1.8m的固定围栏，围栏网孔不应大于40mm×40mm。变压器的外廓与遮栏的净距不宜小于0.6m，变压器之间的净距不应小于1.0m。</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《20kV及以下变电所设计规范》（GB50053-2013）第4.2.5条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跃进化工所设置的变压器安全设施防护符合上述要求。</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14</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变压器室、配电室和电容器室的耐火等级不应低于二级。</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《20kV及以下变电所设计规范》（GB50053-2013）第6.1.1条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配电室的耐火等级为二级。</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15</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变压器室、配电室、电容器室的门应向外开启。相邻配电室之间有门</w:t>
            </w:r>
            <w:r>
              <w:rPr>
                <w:rFonts w:hint="eastAsia" w:cs="宋体"/>
                <w:color w:val="000000" w:themeColor="text1"/>
                <w:kern w:val="0"/>
                <w:sz w:val="21"/>
                <w:szCs w:val="21"/>
                <w:lang w:val="zh-CN" w:eastAsia="en-US"/>
              </w:rPr>
              <w:t>时，应采用不然材料制作的双向弹簧门。</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w:t>
            </w:r>
            <w:r>
              <w:rPr>
                <w:rFonts w:hint="eastAsia" w:cs="宋体"/>
                <w:color w:val="000000" w:themeColor="text1"/>
                <w:kern w:val="0"/>
                <w:sz w:val="21"/>
                <w:szCs w:val="21"/>
                <w:lang w:val="zh-CN" w:eastAsia="en-US"/>
              </w:rPr>
              <w:t>6.2.2条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现场检查跃进化工配电室的</w:t>
            </w:r>
            <w:r>
              <w:rPr>
                <w:rFonts w:hint="eastAsia" w:cs="宋体"/>
                <w:color w:val="000000" w:themeColor="text1"/>
                <w:kern w:val="0"/>
                <w:sz w:val="21"/>
                <w:szCs w:val="21"/>
                <w:lang w:val="zh-CN" w:eastAsia="en-US"/>
              </w:rPr>
              <w:t>防火门向外开启。</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16</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变压器室、配电室、电容器室等房间应设置防止雨、雪和蛇、鼠等小动物从采光窗、通风窗、门、电缆等进入室内的设施。</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《20kV及以下变电所设计规范》（GB50053-2013）第6.2.4条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现场检查配电室门窗设置防小动物进入措施。</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17</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高、低压配电室、变压器室、电容器室、控制室内不应有无关的管道和线路通过。</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《20kV及以下变电所设计规范》（GB50053-2013）第6.4.1条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现场检查：无其他无关的管道和线路通过。</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18</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电力负荷应根据对供电可靠性的要求及中断供电在对人身安全、经济损失上所造成的影响程度进行分级，并应符合下列规定：符合下列情况之一时，应视为一级负荷①中断供电将造成人身伤亡时。②中断供电将在经济上造成重大损失时。③中断供电将影响重要用电单位的正常工作。在一级负荷中，当中断供电将造成重大设备损坏或发生中毒、爆炸和火灾等情况的负荷，以及特别重要场所的不允许中断供电的负荷，应视为一级负荷中特别重要的负荷。符合下列情况之一时，应视为二级负荷①中断供电将在经济上造成较大损失时。②中断供电将影响较重要用电单位的正常工作。不属于一级和二级负荷者应为三级负荷。</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《供配电系统设计规范》（GB50052-2009）第3.0.1条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跃进化工的用电负荷等级为二级。</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5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20</w:t>
            </w:r>
          </w:p>
        </w:tc>
        <w:tc>
          <w:tcPr>
            <w:tcW w:w="35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供电电压大于等于35kV时，用户的</w:t>
            </w:r>
            <w:r>
              <w:rPr>
                <w:rFonts w:hint="eastAsia" w:cs="宋体"/>
                <w:color w:val="000000" w:themeColor="text1"/>
                <w:kern w:val="0"/>
                <w:sz w:val="21"/>
                <w:szCs w:val="21"/>
                <w:lang w:val="zh-CN" w:eastAsia="en-US"/>
              </w:rPr>
              <w:t>一级配电电压宜采用10kV；当6kV用电设备的总容量较大，选用6kV经济合理时，宜采用6kV；低压配电电压宜采用220/380V，工矿企业亦可采用660V；当安全需要时，应采用小于50V电压。</w:t>
            </w:r>
          </w:p>
        </w:tc>
        <w:tc>
          <w:tcPr>
            <w:tcW w:w="2284"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《供配电系统设计规范》</w:t>
            </w:r>
            <w:r>
              <w:rPr>
                <w:rFonts w:hint="eastAsia" w:cs="宋体"/>
                <w:color w:val="000000" w:themeColor="text1"/>
                <w:kern w:val="0"/>
                <w:sz w:val="21"/>
                <w:szCs w:val="21"/>
                <w:lang w:val="zh-CN" w:eastAsia="en-US"/>
              </w:rPr>
              <w:t>（GB50052-2009）第5.0.2条</w:t>
            </w:r>
          </w:p>
        </w:tc>
        <w:tc>
          <w:tcPr>
            <w:tcW w:w="2234"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w:t>
            </w:r>
            <w:r>
              <w:rPr>
                <w:rFonts w:hint="eastAsia" w:cs="宋体"/>
                <w:color w:val="000000" w:themeColor="text1"/>
                <w:kern w:val="0"/>
                <w:sz w:val="21"/>
                <w:szCs w:val="21"/>
                <w:lang w:val="zh-CN" w:eastAsia="en-US"/>
              </w:rPr>
              <w:t>一级配电采用10kV，低压配电采用220/380V。</w:t>
            </w:r>
          </w:p>
        </w:tc>
        <w:tc>
          <w:tcPr>
            <w:tcW w:w="546"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bl>
    <w:p>
      <w:pPr>
        <w:ind w:firstLine="560"/>
        <w:rPr>
          <w:color w:val="000000" w:themeColor="text1"/>
        </w:rPr>
      </w:pPr>
    </w:p>
    <w:p>
      <w:pPr>
        <w:ind w:firstLine="560"/>
        <w:rPr>
          <w:color w:val="000000" w:themeColor="text1"/>
        </w:rPr>
      </w:pPr>
      <w:r>
        <w:rPr>
          <w:rFonts w:hint="eastAsia"/>
          <w:color w:val="000000" w:themeColor="text1"/>
        </w:rPr>
        <w:t>由上述安全检查表的检查结果可知：漾濞县跃进化工有限责任公司的供配电系统均按《用电安全导则》（GB/T13869-2017）、《供配电系统设计规范》（GB50052-2009）、《20kV及以下变电所设计规范》（GB50053-2013）等国家相关标准规范进行了安装、使用，符合相关的规范要求，能满足生产的需要，保障生产的供配电安全。</w:t>
      </w:r>
    </w:p>
    <w:p>
      <w:pPr>
        <w:pStyle w:val="4"/>
        <w:ind w:firstLine="562"/>
      </w:pPr>
      <w:bookmarkStart w:id="4317" w:name="_Toc7176"/>
      <w:bookmarkStart w:id="4318" w:name="_Toc31539"/>
      <w:bookmarkStart w:id="4319" w:name="_Toc31665"/>
      <w:bookmarkStart w:id="4320" w:name="_Toc32062"/>
      <w:bookmarkStart w:id="4321" w:name="_Toc16699"/>
      <w:bookmarkStart w:id="4322" w:name="_Toc26825"/>
      <w:bookmarkStart w:id="4323" w:name="_Toc128056539"/>
      <w:bookmarkStart w:id="4324" w:name="_Toc26285"/>
      <w:bookmarkStart w:id="4325" w:name="_Toc14810"/>
      <w:bookmarkStart w:id="4326" w:name="_Toc19382"/>
      <w:bookmarkStart w:id="4327" w:name="_Toc31421"/>
      <w:bookmarkStart w:id="4328" w:name="_Toc31911"/>
      <w:bookmarkStart w:id="4329" w:name="_Toc22832"/>
      <w:bookmarkStart w:id="4330" w:name="_Toc118298038"/>
      <w:bookmarkStart w:id="4331" w:name="_Toc2036"/>
      <w:bookmarkStart w:id="4332" w:name="_Toc12324"/>
      <w:bookmarkStart w:id="4333" w:name="_Toc117866126"/>
      <w:bookmarkStart w:id="4334" w:name="_Toc6692"/>
      <w:bookmarkStart w:id="4335" w:name="_Toc18735"/>
      <w:bookmarkStart w:id="4336" w:name="_Toc24752"/>
      <w:bookmarkStart w:id="4337" w:name="_Toc28044"/>
      <w:bookmarkStart w:id="4338" w:name="_Toc10520"/>
      <w:bookmarkStart w:id="4339" w:name="_Toc32117"/>
      <w:bookmarkStart w:id="4340" w:name="_Toc9792"/>
      <w:bookmarkStart w:id="4341" w:name="_Toc8596"/>
      <w:bookmarkStart w:id="4342" w:name="_Toc27062"/>
      <w:bookmarkStart w:id="4343" w:name="_Toc18911"/>
      <w:bookmarkStart w:id="4344" w:name="_Toc11065"/>
      <w:bookmarkStart w:id="4345" w:name="_Toc118131180"/>
      <w:bookmarkStart w:id="4346" w:name="_Toc28827"/>
      <w:r>
        <w:rPr>
          <w:rFonts w:hint="eastAsia"/>
        </w:rPr>
        <w:t>F4.3.2 给排水检查</w:t>
      </w:r>
      <w:bookmarkEnd w:id="4317"/>
      <w:bookmarkEnd w:id="4318"/>
      <w:bookmarkEnd w:id="4319"/>
      <w:bookmarkEnd w:id="4320"/>
      <w:bookmarkEnd w:id="4321"/>
      <w:bookmarkEnd w:id="4322"/>
      <w:bookmarkEnd w:id="4323"/>
      <w:bookmarkEnd w:id="4324"/>
      <w:bookmarkEnd w:id="4325"/>
      <w:bookmarkEnd w:id="4326"/>
      <w:bookmarkEnd w:id="4327"/>
      <w:bookmarkEnd w:id="4328"/>
      <w:bookmarkEnd w:id="4329"/>
      <w:bookmarkEnd w:id="4330"/>
      <w:bookmarkEnd w:id="4331"/>
      <w:bookmarkEnd w:id="4332"/>
      <w:bookmarkEnd w:id="4333"/>
      <w:bookmarkEnd w:id="4334"/>
      <w:bookmarkEnd w:id="4335"/>
      <w:bookmarkEnd w:id="4336"/>
      <w:bookmarkEnd w:id="4337"/>
      <w:bookmarkEnd w:id="4338"/>
      <w:bookmarkEnd w:id="4339"/>
      <w:bookmarkEnd w:id="4340"/>
      <w:bookmarkEnd w:id="4341"/>
      <w:bookmarkEnd w:id="4342"/>
      <w:bookmarkEnd w:id="4343"/>
      <w:bookmarkEnd w:id="4344"/>
      <w:bookmarkEnd w:id="4345"/>
      <w:bookmarkEnd w:id="4346"/>
    </w:p>
    <w:p>
      <w:pPr>
        <w:ind w:firstLine="560"/>
        <w:rPr>
          <w:sz w:val="24"/>
        </w:rPr>
      </w:pPr>
      <w:r>
        <w:rPr>
          <w:rFonts w:hint="eastAsia"/>
          <w:color w:val="000000" w:themeColor="text1"/>
        </w:rPr>
        <w:t>根据《工业企业总平面设计规范》（GB50187-2012）等相关要求，编制检查表对跃进化工的给排水情况进行检查，其检查结果见下表。</w:t>
      </w:r>
    </w:p>
    <w:p>
      <w:pPr>
        <w:pStyle w:val="92"/>
        <w:rPr>
          <w:sz w:val="24"/>
          <w:szCs w:val="24"/>
        </w:rPr>
      </w:pPr>
      <w:r>
        <w:rPr>
          <w:rFonts w:hint="eastAsia"/>
          <w:sz w:val="24"/>
          <w:szCs w:val="24"/>
        </w:rPr>
        <w:t>F表4.3-2 给排水安全检查表</w:t>
      </w:r>
    </w:p>
    <w:tbl>
      <w:tblPr>
        <w:tblStyle w:val="89"/>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02"/>
        <w:gridCol w:w="3710"/>
        <w:gridCol w:w="2046"/>
        <w:gridCol w:w="2536"/>
        <w:gridCol w:w="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序号</w:t>
            </w:r>
          </w:p>
        </w:tc>
        <w:tc>
          <w:tcPr>
            <w:tcW w:w="3710"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  查  内  容</w:t>
            </w:r>
          </w:p>
        </w:tc>
        <w:tc>
          <w:tcPr>
            <w:tcW w:w="2046"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依 据 标 准</w:t>
            </w:r>
          </w:p>
        </w:tc>
        <w:tc>
          <w:tcPr>
            <w:tcW w:w="2536"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 查 情 况</w:t>
            </w:r>
          </w:p>
        </w:tc>
        <w:tc>
          <w:tcPr>
            <w:tcW w:w="560" w:type="dxa"/>
            <w:tcBorders>
              <w:tl2br w:val="nil"/>
              <w:tr2bl w:val="nil"/>
            </w:tcBorders>
            <w:shd w:val="clear" w:color="auto" w:fill="auto"/>
            <w:vAlign w:val="center"/>
          </w:tcPr>
          <w:p>
            <w:pPr>
              <w:autoSpaceDE w:val="0"/>
              <w:autoSpaceDN w:val="0"/>
              <w:spacing w:line="240" w:lineRule="auto"/>
              <w:ind w:firstLine="0" w:firstLineChars="0"/>
              <w:jc w:val="center"/>
              <w:rPr>
                <w:rFonts w:cs="宋体"/>
                <w:b/>
                <w:color w:val="000000" w:themeColor="text1"/>
                <w:sz w:val="21"/>
                <w:szCs w:val="21"/>
                <w:lang w:eastAsia="en-US"/>
              </w:rPr>
            </w:pPr>
            <w:r>
              <w:rPr>
                <w:rFonts w:hint="eastAsia" w:cs="宋体"/>
                <w:b/>
                <w:color w:val="000000" w:themeColor="text1"/>
                <w:kern w:val="0"/>
                <w:sz w:val="21"/>
                <w:szCs w:val="21"/>
                <w:lang w:eastAsia="en-US"/>
              </w:rPr>
              <w:t>检查结果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1</w:t>
            </w:r>
          </w:p>
        </w:tc>
        <w:tc>
          <w:tcPr>
            <w:tcW w:w="3710"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场地应有完整、有效的雨水排水系统。场地雨水的排除方式，应结合工业企业所在地区的雨水排除方式、建筑密度、环境卫生要求、地质和气候条件等因素，合理选择暗管、明沟或地面自然排渗等方式。</w:t>
            </w:r>
          </w:p>
        </w:tc>
        <w:tc>
          <w:tcPr>
            <w:tcW w:w="204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《工业企业总平面设计规范》（GB50187-2012）第7.4.1条</w:t>
            </w:r>
          </w:p>
        </w:tc>
        <w:tc>
          <w:tcPr>
            <w:tcW w:w="253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跃进化工厂内按设计要求对排水系统进行了施工，有较完整、有效的雨水排水系统。</w:t>
            </w:r>
          </w:p>
        </w:tc>
        <w:tc>
          <w:tcPr>
            <w:tcW w:w="560"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2</w:t>
            </w:r>
          </w:p>
        </w:tc>
        <w:tc>
          <w:tcPr>
            <w:tcW w:w="3710"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场地雨水排水设计流量计算，应符合现行国家标准《室外排水设计标准》GB50014-2021规定。</w:t>
            </w:r>
          </w:p>
        </w:tc>
        <w:tc>
          <w:tcPr>
            <w:tcW w:w="204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《工业企业总平面设计规范》（GB50187-2012）第7.4.2条</w:t>
            </w:r>
          </w:p>
        </w:tc>
        <w:tc>
          <w:tcPr>
            <w:tcW w:w="253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跃进化工厂内按设计要求对排水系统进行了施工，场地雨水排水符合有关规定要求。</w:t>
            </w:r>
          </w:p>
        </w:tc>
        <w:tc>
          <w:tcPr>
            <w:tcW w:w="560"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3</w:t>
            </w:r>
          </w:p>
        </w:tc>
        <w:tc>
          <w:tcPr>
            <w:tcW w:w="3710"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当采用明沟排水时，排水沟宜沿铁路、道路布置，并宜避免与其交叉。排出厂外的雨水，应避免对其它工程设施或农田造成危害。</w:t>
            </w:r>
          </w:p>
        </w:tc>
        <w:tc>
          <w:tcPr>
            <w:tcW w:w="204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《工业企业总平面设计规范》（GB50187-2012）第7.4.3条</w:t>
            </w:r>
          </w:p>
        </w:tc>
        <w:tc>
          <w:tcPr>
            <w:tcW w:w="253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明沟排水沟沿厂内道路布置，排出厂外的雨水，没有对其它工程设施造成危害。</w:t>
            </w:r>
          </w:p>
        </w:tc>
        <w:tc>
          <w:tcPr>
            <w:tcW w:w="560"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4</w:t>
            </w:r>
          </w:p>
        </w:tc>
        <w:tc>
          <w:tcPr>
            <w:tcW w:w="3710"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排水明沟的铺砌方式，应根据所处地段的土质和流速等情况确定，应符合下列规定：厂区明沟宜加铺砌；对厂容、卫生和安全要求较高的地段，尚应铺设盖板；矿山及厂区的边缘地段，可采用土明沟。</w:t>
            </w:r>
          </w:p>
        </w:tc>
        <w:tc>
          <w:tcPr>
            <w:tcW w:w="204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《工业企业总平面设计规范》（GB50187-2012）第7.4.4条</w:t>
            </w:r>
          </w:p>
        </w:tc>
        <w:tc>
          <w:tcPr>
            <w:tcW w:w="2536" w:type="dxa"/>
            <w:tcBorders>
              <w:tl2br w:val="nil"/>
              <w:tr2bl w:val="nil"/>
            </w:tcBorders>
            <w:shd w:val="clear" w:color="auto" w:fill="auto"/>
            <w:vAlign w:val="center"/>
          </w:tcPr>
          <w:p>
            <w:pPr>
              <w:autoSpaceDE w:val="0"/>
              <w:autoSpaceDN w:val="0"/>
              <w:spacing w:line="240" w:lineRule="auto"/>
              <w:ind w:firstLine="210" w:firstLineChars="100"/>
              <w:jc w:val="left"/>
              <w:rPr>
                <w:rFonts w:cs="宋体"/>
                <w:color w:val="000000" w:themeColor="text1"/>
                <w:kern w:val="0"/>
                <w:sz w:val="21"/>
                <w:szCs w:val="21"/>
                <w:lang w:eastAsia="en-US"/>
              </w:rPr>
            </w:pPr>
            <w:r>
              <w:rPr>
                <w:rFonts w:hint="eastAsia" w:cs="宋体"/>
                <w:color w:val="000000" w:themeColor="text1"/>
                <w:kern w:val="0"/>
                <w:sz w:val="21"/>
                <w:szCs w:val="21"/>
                <w:lang w:eastAsia="en-US"/>
              </w:rPr>
              <w:t>跃进化工内的排水沟采用明沟。</w:t>
            </w:r>
          </w:p>
        </w:tc>
        <w:tc>
          <w:tcPr>
            <w:tcW w:w="560" w:type="dxa"/>
            <w:tcBorders>
              <w:tl2br w:val="nil"/>
              <w:tr2bl w:val="nil"/>
            </w:tcBorders>
            <w:shd w:val="clear" w:color="auto" w:fill="auto"/>
            <w:vAlign w:val="center"/>
          </w:tcPr>
          <w:p>
            <w:pPr>
              <w:autoSpaceDE w:val="0"/>
              <w:autoSpaceDN w:val="0"/>
              <w:spacing w:line="240" w:lineRule="auto"/>
              <w:ind w:firstLine="0" w:firstLineChars="0"/>
              <w:jc w:val="center"/>
              <w:rPr>
                <w:rFonts w:cs="宋体"/>
                <w:color w:val="000000" w:themeColor="text1"/>
                <w:kern w:val="0"/>
                <w:sz w:val="21"/>
                <w:szCs w:val="21"/>
                <w:lang w:eastAsia="en-US"/>
              </w:rPr>
            </w:pPr>
            <w:r>
              <w:rPr>
                <w:rFonts w:hint="eastAsia" w:cs="宋体"/>
                <w:color w:val="000000" w:themeColor="text1"/>
                <w:kern w:val="0"/>
                <w:sz w:val="21"/>
                <w:szCs w:val="21"/>
                <w:lang w:eastAsia="en-US"/>
              </w:rPr>
              <w:t>符合要求</w:t>
            </w:r>
          </w:p>
        </w:tc>
      </w:tr>
    </w:tbl>
    <w:p>
      <w:pPr>
        <w:ind w:firstLine="0" w:firstLineChars="0"/>
        <w:rPr>
          <w:rFonts w:ascii="宋体" w:hAnsi="宋体" w:cs="宋体"/>
          <w:color w:val="000000" w:themeColor="text1"/>
          <w:szCs w:val="28"/>
        </w:rPr>
      </w:pPr>
    </w:p>
    <w:p>
      <w:pPr>
        <w:ind w:firstLine="560"/>
        <w:rPr>
          <w:color w:val="000000" w:themeColor="text1"/>
        </w:rPr>
      </w:pPr>
      <w:r>
        <w:rPr>
          <w:rFonts w:hint="eastAsia"/>
          <w:color w:val="000000" w:themeColor="text1"/>
        </w:rPr>
        <w:t>由上述安全检查表的检查结果可知：漾濞县跃进化工有限责任公司的给排水系统均按国家相关的标准规范进行了安装、使用，符合《工业企业总平面设计规范》（GB50187-2012）等相关的规范要求，能满足生产的需要。</w:t>
      </w:r>
    </w:p>
    <w:p>
      <w:pPr>
        <w:pStyle w:val="4"/>
        <w:ind w:firstLine="562"/>
      </w:pPr>
      <w:bookmarkStart w:id="4347" w:name="_Toc24766"/>
      <w:bookmarkStart w:id="4348" w:name="_Toc17786"/>
      <w:bookmarkStart w:id="4349" w:name="_Toc28705"/>
      <w:bookmarkStart w:id="4350" w:name="_Toc24870"/>
      <w:bookmarkStart w:id="4351" w:name="_Toc28639"/>
      <w:bookmarkStart w:id="4352" w:name="_Toc24029"/>
      <w:bookmarkStart w:id="4353" w:name="_Toc12793"/>
      <w:bookmarkStart w:id="4354" w:name="_Toc18402"/>
      <w:bookmarkStart w:id="4355" w:name="_Toc8837"/>
      <w:bookmarkStart w:id="4356" w:name="_Toc1621"/>
      <w:bookmarkStart w:id="4357" w:name="_Toc32752"/>
      <w:bookmarkStart w:id="4358" w:name="_Toc28985"/>
      <w:bookmarkStart w:id="4359" w:name="_Toc21725"/>
      <w:bookmarkStart w:id="4360" w:name="_Toc11874"/>
      <w:bookmarkStart w:id="4361" w:name="_Toc9496"/>
      <w:bookmarkStart w:id="4362" w:name="_Toc30676"/>
      <w:bookmarkStart w:id="4363" w:name="_Toc523"/>
      <w:bookmarkStart w:id="4364" w:name="_Toc29895"/>
      <w:bookmarkStart w:id="4365" w:name="_Toc13939"/>
      <w:bookmarkStart w:id="4366" w:name="_Toc32496"/>
      <w:bookmarkStart w:id="4367" w:name="_Toc118298039"/>
      <w:bookmarkStart w:id="4368" w:name="_Toc26533"/>
      <w:bookmarkStart w:id="4369" w:name="_Toc117866127"/>
      <w:bookmarkStart w:id="4370" w:name="_Toc118131181"/>
      <w:bookmarkStart w:id="4371" w:name="_Toc6596"/>
      <w:bookmarkStart w:id="4372" w:name="_Toc17211"/>
      <w:bookmarkStart w:id="4373" w:name="_Toc30101"/>
      <w:bookmarkStart w:id="4374" w:name="_Toc128056540"/>
      <w:bookmarkStart w:id="4375" w:name="_Toc9411"/>
      <w:bookmarkStart w:id="4376" w:name="_Toc3140"/>
      <w:r>
        <w:rPr>
          <w:rFonts w:hint="eastAsia"/>
        </w:rPr>
        <w:t>F4.3.3 消防设施检查</w:t>
      </w:r>
      <w:bookmarkEnd w:id="4347"/>
      <w:bookmarkEnd w:id="4348"/>
      <w:bookmarkEnd w:id="4349"/>
      <w:bookmarkEnd w:id="4350"/>
      <w:bookmarkEnd w:id="4351"/>
      <w:bookmarkEnd w:id="4352"/>
      <w:bookmarkEnd w:id="4353"/>
      <w:bookmarkEnd w:id="4354"/>
      <w:bookmarkEnd w:id="4355"/>
      <w:bookmarkEnd w:id="4356"/>
      <w:bookmarkEnd w:id="4357"/>
      <w:bookmarkEnd w:id="4358"/>
      <w:bookmarkEnd w:id="4359"/>
      <w:bookmarkEnd w:id="4360"/>
      <w:bookmarkEnd w:id="4361"/>
      <w:bookmarkEnd w:id="4362"/>
      <w:bookmarkEnd w:id="4363"/>
      <w:bookmarkEnd w:id="4364"/>
      <w:bookmarkEnd w:id="4365"/>
      <w:bookmarkEnd w:id="4366"/>
      <w:bookmarkEnd w:id="4367"/>
      <w:bookmarkEnd w:id="4368"/>
      <w:bookmarkEnd w:id="4369"/>
      <w:bookmarkEnd w:id="4370"/>
      <w:bookmarkEnd w:id="4371"/>
      <w:bookmarkEnd w:id="4372"/>
      <w:bookmarkEnd w:id="4373"/>
      <w:bookmarkEnd w:id="4374"/>
      <w:bookmarkEnd w:id="4375"/>
      <w:bookmarkEnd w:id="4376"/>
    </w:p>
    <w:p>
      <w:pPr>
        <w:ind w:firstLine="560"/>
        <w:rPr>
          <w:color w:val="000000" w:themeColor="text1"/>
        </w:rPr>
      </w:pPr>
      <w:r>
        <w:rPr>
          <w:rFonts w:hint="eastAsia"/>
          <w:color w:val="000000" w:themeColor="text1"/>
        </w:rPr>
        <w:t>根据《中华人民共和国消防法》（中华人民共和国主席令第81号）、《建筑灭火器配置设计规范》（GB50140-2005）、《建筑设计防火规范（2018年版）》（GB50016-2014）等法规、标准的相关要求，对跃进化工消防安全检查情况见下表。</w:t>
      </w:r>
    </w:p>
    <w:p>
      <w:pPr>
        <w:pStyle w:val="92"/>
        <w:rPr>
          <w:sz w:val="24"/>
          <w:szCs w:val="24"/>
        </w:rPr>
      </w:pPr>
      <w:r>
        <w:rPr>
          <w:rFonts w:hint="eastAsia"/>
          <w:sz w:val="24"/>
          <w:szCs w:val="24"/>
        </w:rPr>
        <w:t>F表4.3-3 消防安全检查表</w:t>
      </w:r>
    </w:p>
    <w:tbl>
      <w:tblPr>
        <w:tblStyle w:val="89"/>
        <w:tblW w:w="93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02"/>
        <w:gridCol w:w="3542"/>
        <w:gridCol w:w="2456"/>
        <w:gridCol w:w="2226"/>
        <w:gridCol w:w="6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b/>
                <w:bCs/>
                <w:color w:val="000000" w:themeColor="text1"/>
                <w:kern w:val="0"/>
                <w:sz w:val="21"/>
                <w:szCs w:val="21"/>
                <w:lang w:eastAsia="en-US"/>
              </w:rPr>
            </w:pPr>
            <w:r>
              <w:rPr>
                <w:rFonts w:hint="eastAsia" w:ascii="宋体" w:hAnsi="宋体" w:cs="宋体"/>
                <w:b/>
                <w:bCs/>
                <w:color w:val="000000" w:themeColor="text1"/>
                <w:kern w:val="0"/>
                <w:sz w:val="21"/>
                <w:szCs w:val="21"/>
                <w:lang w:eastAsia="en-US"/>
              </w:rPr>
              <w:t>序号</w:t>
            </w:r>
          </w:p>
        </w:tc>
        <w:tc>
          <w:tcPr>
            <w:tcW w:w="3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b/>
                <w:bCs/>
                <w:color w:val="000000" w:themeColor="text1"/>
                <w:kern w:val="0"/>
                <w:sz w:val="21"/>
                <w:szCs w:val="21"/>
                <w:lang w:eastAsia="en-US"/>
              </w:rPr>
            </w:pPr>
            <w:r>
              <w:rPr>
                <w:rFonts w:hint="eastAsia" w:ascii="宋体" w:hAnsi="宋体" w:cs="宋体"/>
                <w:b/>
                <w:bCs/>
                <w:color w:val="000000" w:themeColor="text1"/>
                <w:kern w:val="0"/>
                <w:sz w:val="21"/>
                <w:szCs w:val="21"/>
                <w:lang w:eastAsia="en-US"/>
              </w:rPr>
              <w:t>检  查  内  容</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b/>
                <w:bCs/>
                <w:color w:val="000000" w:themeColor="text1"/>
                <w:kern w:val="0"/>
                <w:sz w:val="21"/>
                <w:szCs w:val="21"/>
                <w:lang w:eastAsia="en-US"/>
              </w:rPr>
            </w:pPr>
            <w:r>
              <w:rPr>
                <w:rFonts w:hint="eastAsia" w:ascii="宋体" w:hAnsi="宋体" w:cs="宋体"/>
                <w:b/>
                <w:bCs/>
                <w:color w:val="000000" w:themeColor="text1"/>
                <w:kern w:val="0"/>
                <w:sz w:val="21"/>
                <w:szCs w:val="21"/>
                <w:lang w:eastAsia="en-US"/>
              </w:rPr>
              <w:t>依 据 标 准</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b/>
                <w:bCs/>
                <w:color w:val="000000" w:themeColor="text1"/>
                <w:kern w:val="0"/>
                <w:sz w:val="21"/>
                <w:szCs w:val="21"/>
                <w:lang w:eastAsia="en-US"/>
              </w:rPr>
            </w:pPr>
            <w:r>
              <w:rPr>
                <w:rFonts w:hint="eastAsia" w:ascii="宋体" w:hAnsi="宋体" w:cs="宋体"/>
                <w:b/>
                <w:bCs/>
                <w:color w:val="000000" w:themeColor="text1"/>
                <w:kern w:val="0"/>
                <w:sz w:val="21"/>
                <w:szCs w:val="21"/>
                <w:lang w:eastAsia="en-US"/>
              </w:rPr>
              <w:t>检 查 情 况</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b/>
                <w:bCs/>
                <w:color w:val="000000" w:themeColor="text1"/>
                <w:kern w:val="0"/>
                <w:sz w:val="21"/>
                <w:szCs w:val="21"/>
                <w:lang w:eastAsia="en-US"/>
              </w:rPr>
            </w:pPr>
            <w:r>
              <w:rPr>
                <w:rFonts w:hint="eastAsia" w:ascii="宋体" w:hAnsi="宋体" w:cs="宋体"/>
                <w:b/>
                <w:bCs/>
                <w:color w:val="000000" w:themeColor="text1"/>
                <w:kern w:val="0"/>
                <w:sz w:val="21"/>
                <w:szCs w:val="21"/>
                <w:lang w:eastAsia="en-US"/>
              </w:rPr>
              <w:t>检查结果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1</w:t>
            </w:r>
          </w:p>
        </w:tc>
        <w:tc>
          <w:tcPr>
            <w:tcW w:w="3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 xml:space="preserve"> 按照国家标准、行业标准配置消防设施、器材，设置消防安全标志，并定期组织检验、维修，确保完好有效。</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《中华人民共和国消防法》</w:t>
            </w:r>
            <w:r>
              <w:rPr>
                <w:rFonts w:hint="eastAsia"/>
                <w:color w:val="000000" w:themeColor="text1"/>
                <w:sz w:val="21"/>
                <w:szCs w:val="21"/>
                <w:lang w:eastAsia="en-US"/>
              </w:rPr>
              <w:t>（中华人民共和国主席令第81号）</w:t>
            </w:r>
            <w:r>
              <w:rPr>
                <w:rFonts w:hint="eastAsia" w:ascii="宋体" w:hAnsi="宋体" w:cs="宋体"/>
                <w:color w:val="000000" w:themeColor="text1"/>
                <w:kern w:val="0"/>
                <w:sz w:val="21"/>
                <w:szCs w:val="21"/>
                <w:lang w:eastAsia="en-US"/>
              </w:rPr>
              <w:t>第十六条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跃进化工设置有消火栓，生产车间均已配置灭火器。</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2</w:t>
            </w:r>
          </w:p>
        </w:tc>
        <w:tc>
          <w:tcPr>
            <w:tcW w:w="3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 xml:space="preserve"> 灭火器应设置在位置明显和便于取用的地点，且不得影响安全疏散。</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《建筑灭火器配置设计规范》（GB50140-2005）第5.1.1条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双氧水房内灭火器设置在围堰内，不方便取用。</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不符合要求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3</w:t>
            </w:r>
          </w:p>
        </w:tc>
        <w:tc>
          <w:tcPr>
            <w:tcW w:w="3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 xml:space="preserve"> 灭火器的摆放应稳固，其铭牌应朝外。手提式灭火器宜设置在灭火器箱内或挂钩、托架上，其顶部离地面高度不应大于1.50m；底部离地面高度不宜小于0.08m。灭火器箱不得上锁。</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《建筑灭火器配置设计规范》（GB50140-2005）第5.1.3条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灭火器的摆放稳固，其铭牌朝外。手提式灭火器设置在灭火器箱内，灭火器箱未上锁。</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4</w:t>
            </w:r>
          </w:p>
        </w:tc>
        <w:tc>
          <w:tcPr>
            <w:tcW w:w="35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 xml:space="preserve"> 在开关站、变配电室、控制室、液压站等按规定配有足够数量的干粉灭火器。</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《建筑灭火器配置设计规范》（GB50140-2005）</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210" w:firstLineChars="100"/>
              <w:jc w:val="left"/>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跃进化工在配电室、柴油发电机房、生产车间、装卸区均配置了灭</w:t>
            </w:r>
            <w:r>
              <w:rPr>
                <w:rFonts w:hint="eastAsia" w:ascii="宋体" w:hAnsi="宋体" w:cs="宋体"/>
                <w:color w:val="000000" w:themeColor="text1"/>
                <w:kern w:val="0"/>
                <w:sz w:val="21"/>
                <w:szCs w:val="21"/>
                <w:lang w:val="zh-CN" w:eastAsia="en-US"/>
              </w:rPr>
              <w:t>火器等消防设施。</w:t>
            </w:r>
            <w:r>
              <w:rPr>
                <w:rFonts w:hint="eastAsia" w:ascii="宋体" w:hAnsi="宋体" w:cs="宋体"/>
                <w:color w:val="000000" w:themeColor="text1"/>
                <w:kern w:val="0"/>
                <w:sz w:val="21"/>
                <w:szCs w:val="21"/>
                <w:lang w:eastAsia="en-US"/>
              </w:rPr>
              <w:t>、</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5</w:t>
            </w:r>
          </w:p>
        </w:tc>
        <w:tc>
          <w:tcPr>
            <w:tcW w:w="35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在主要生产区域设有室内消火栓、室外消火栓及消防管网。</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《建筑设计防火规范（2018年版）》（GB50016-2014）</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跃进化工生产车间设置有室内消火栓，消防管采用直埋敷设。</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6</w:t>
            </w:r>
          </w:p>
        </w:tc>
        <w:tc>
          <w:tcPr>
            <w:tcW w:w="35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除住宅外的民用建筑、厂房（仓库）、储罐（区）、堆场应设置灭火器；住宅宜设置灭火器或轻便消防水龙。灭火器的配置设计应符合现行国家标准《建筑灭火器配置设计规范》GB50140的有关规定。</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《建筑设计防火规范（2018年版）》（GB50016-2014）第8.1.6条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跃进化工灭火器的配置设计符合现行国家标准《建筑灭火器配置设计规范》GB50140的有关规定。</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7</w:t>
            </w:r>
          </w:p>
        </w:tc>
        <w:tc>
          <w:tcPr>
            <w:tcW w:w="35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厂房（仓库）的消防给水系统应设室外消防栓和室内消防栓。</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0" w:firstLineChars="0"/>
              <w:jc w:val="center"/>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《建筑设计防火规范（2018年版）》（GB50016-2014）第8.1.2条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2"/>
              <w:autoSpaceDE w:val="0"/>
              <w:autoSpaceDN w:val="0"/>
              <w:spacing w:line="240" w:lineRule="auto"/>
              <w:ind w:firstLine="210" w:firstLineChars="100"/>
              <w:rPr>
                <w:rFonts w:ascii="宋体" w:eastAsia="宋体" w:cs="宋体"/>
                <w:color w:val="000000" w:themeColor="text1"/>
                <w:sz w:val="21"/>
                <w:szCs w:val="21"/>
                <w:lang w:eastAsia="en-US"/>
              </w:rPr>
            </w:pPr>
            <w:r>
              <w:rPr>
                <w:rFonts w:hint="eastAsia" w:ascii="宋体" w:eastAsia="宋体" w:cs="宋体"/>
                <w:color w:val="000000" w:themeColor="text1"/>
                <w:sz w:val="21"/>
                <w:szCs w:val="21"/>
                <w:lang w:eastAsia="en-US"/>
              </w:rPr>
              <w:t>消防给水系统设有室外消防栓和室内消防栓。</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autoSpaceDN w:val="0"/>
              <w:spacing w:line="240" w:lineRule="auto"/>
              <w:ind w:firstLine="0" w:firstLineChars="0"/>
              <w:jc w:val="center"/>
              <w:rPr>
                <w:rFonts w:ascii="宋体" w:hAnsi="宋体" w:cs="宋体"/>
                <w:color w:val="000000" w:themeColor="text1"/>
                <w:kern w:val="0"/>
                <w:sz w:val="21"/>
                <w:szCs w:val="21"/>
                <w:lang w:eastAsia="en-US"/>
              </w:rPr>
            </w:pPr>
            <w:r>
              <w:rPr>
                <w:rFonts w:hint="eastAsia" w:ascii="宋体" w:hAnsi="宋体" w:cs="宋体"/>
                <w:color w:val="000000" w:themeColor="text1"/>
                <w:kern w:val="0"/>
                <w:sz w:val="21"/>
                <w:szCs w:val="21"/>
                <w:lang w:eastAsia="en-US"/>
              </w:rPr>
              <w:t>符合要求</w:t>
            </w:r>
          </w:p>
        </w:tc>
      </w:tr>
    </w:tbl>
    <w:p>
      <w:pPr>
        <w:ind w:firstLine="560"/>
        <w:rPr>
          <w:color w:val="000000" w:themeColor="text1"/>
        </w:rPr>
      </w:pPr>
    </w:p>
    <w:p>
      <w:pPr>
        <w:adjustRightInd/>
        <w:snapToGrid/>
        <w:ind w:firstLine="560"/>
        <w:rPr>
          <w:color w:val="000000" w:themeColor="text1"/>
        </w:rPr>
      </w:pPr>
      <w:r>
        <w:rPr>
          <w:rFonts w:hint="eastAsia"/>
          <w:color w:val="000000" w:themeColor="text1"/>
        </w:rPr>
        <w:t>由上述安全检查表的检查结果可知：漾濞县跃进化工有限责任公司的消防设施符合《中华人民共和国消防法》</w:t>
      </w:r>
      <w:r>
        <w:rPr>
          <w:rFonts w:hint="eastAsia"/>
          <w:color w:val="000000" w:themeColor="text1"/>
          <w:szCs w:val="28"/>
        </w:rPr>
        <w:t>（中华人民共和国主席令第81号）</w:t>
      </w:r>
      <w:r>
        <w:rPr>
          <w:rFonts w:hint="eastAsia"/>
          <w:color w:val="000000" w:themeColor="text1"/>
        </w:rPr>
        <w:t>、《建筑灭火器配置设计规范》（GB50140-2005）、《建筑设计防火规范</w:t>
      </w:r>
      <w:r>
        <w:rPr>
          <w:rFonts w:hint="eastAsia" w:ascii="宋体" w:cs="宋体"/>
          <w:color w:val="000000" w:themeColor="text1"/>
          <w:szCs w:val="28"/>
        </w:rPr>
        <w:t>（2018年版）</w:t>
      </w:r>
      <w:r>
        <w:rPr>
          <w:rFonts w:hint="eastAsia"/>
          <w:color w:val="000000" w:themeColor="text1"/>
        </w:rPr>
        <w:t>》（GB50016-2014）等规范的相关要求。</w:t>
      </w:r>
    </w:p>
    <w:p>
      <w:pPr>
        <w:adjustRightInd/>
        <w:snapToGrid/>
        <w:ind w:firstLine="562"/>
        <w:rPr>
          <w:szCs w:val="28"/>
        </w:rPr>
      </w:pPr>
      <w:r>
        <w:rPr>
          <w:rFonts w:hint="eastAsia"/>
          <w:b/>
          <w:bCs/>
          <w:szCs w:val="28"/>
        </w:rPr>
        <w:t>存在问题：</w:t>
      </w:r>
      <w:r>
        <w:rPr>
          <w:rFonts w:hint="eastAsia"/>
          <w:szCs w:val="28"/>
        </w:rPr>
        <w:t>根据</w:t>
      </w:r>
      <w:r>
        <w:rPr>
          <w:rFonts w:hint="eastAsia" w:ascii="宋体" w:hAnsi="宋体" w:cs="宋体"/>
          <w:color w:val="000000" w:themeColor="text1"/>
          <w:kern w:val="0"/>
          <w:szCs w:val="28"/>
        </w:rPr>
        <w:t>《建筑灭火器配置设计规范》（GB50140-2005）第5.1.1条要求，灭火器应设置在位置明显和便于取用的地点，且不得影响安全疏散。</w:t>
      </w:r>
      <w:r>
        <w:rPr>
          <w:rFonts w:hint="eastAsia"/>
          <w:color w:val="000000" w:themeColor="text1"/>
          <w:szCs w:val="28"/>
        </w:rPr>
        <w:t>跃进化工</w:t>
      </w:r>
      <w:r>
        <w:rPr>
          <w:rFonts w:hint="eastAsia" w:ascii="宋体" w:hAnsi="宋体" w:cs="宋体"/>
          <w:color w:val="000000" w:themeColor="text1"/>
          <w:kern w:val="0"/>
          <w:szCs w:val="28"/>
        </w:rPr>
        <w:t>双氧水房内灭火器设置在围堰内，不方便取用，要求公司尽快将灭火器从围堰内移出，设置在位置明显和便于取用的地点</w:t>
      </w:r>
      <w:bookmarkStart w:id="4377" w:name="_Toc9002"/>
      <w:bookmarkStart w:id="4378" w:name="_Toc23874"/>
      <w:bookmarkStart w:id="4379" w:name="_Toc22765"/>
      <w:bookmarkStart w:id="4380" w:name="_Toc8088"/>
      <w:bookmarkStart w:id="4381" w:name="_Toc28536"/>
      <w:bookmarkStart w:id="4382" w:name="_Toc5091"/>
      <w:bookmarkStart w:id="4383" w:name="_Toc13372"/>
      <w:bookmarkStart w:id="4384" w:name="_Toc22213"/>
      <w:bookmarkStart w:id="4385" w:name="_Toc117866128"/>
      <w:bookmarkStart w:id="4386" w:name="_Toc128056541"/>
      <w:bookmarkStart w:id="4387" w:name="_Toc26177"/>
      <w:bookmarkStart w:id="4388" w:name="_Toc23761"/>
      <w:bookmarkStart w:id="4389" w:name="_Toc12043"/>
      <w:bookmarkStart w:id="4390" w:name="_Toc30087"/>
      <w:bookmarkStart w:id="4391" w:name="_Toc5240"/>
      <w:bookmarkStart w:id="4392" w:name="_Toc118298040"/>
      <w:bookmarkStart w:id="4393" w:name="_Toc22060"/>
      <w:bookmarkStart w:id="4394" w:name="_Toc118131182"/>
      <w:r>
        <w:rPr>
          <w:rFonts w:hint="eastAsia"/>
          <w:szCs w:val="28"/>
        </w:rPr>
        <w:t>。</w:t>
      </w:r>
    </w:p>
    <w:p>
      <w:pPr>
        <w:adjustRightInd/>
        <w:snapToGrid/>
        <w:ind w:firstLine="562"/>
        <w:outlineLvl w:val="2"/>
        <w:rPr>
          <w:b/>
          <w:bCs/>
        </w:rPr>
      </w:pPr>
      <w:bookmarkStart w:id="4395" w:name="_Toc25441"/>
      <w:bookmarkStart w:id="4396" w:name="_Toc21949"/>
      <w:bookmarkStart w:id="4397" w:name="_Toc14311"/>
      <w:bookmarkStart w:id="4398" w:name="_Toc11764"/>
      <w:bookmarkStart w:id="4399" w:name="_Toc3855"/>
      <w:bookmarkStart w:id="4400" w:name="_Toc5657"/>
      <w:bookmarkStart w:id="4401" w:name="_Toc28892"/>
      <w:bookmarkStart w:id="4402" w:name="_Toc31369"/>
      <w:bookmarkStart w:id="4403" w:name="_Toc28678"/>
      <w:bookmarkStart w:id="4404" w:name="_Toc4275"/>
      <w:bookmarkStart w:id="4405" w:name="_Toc9536"/>
      <w:bookmarkStart w:id="4406" w:name="_Toc2122"/>
      <w:r>
        <w:rPr>
          <w:rFonts w:hint="eastAsia"/>
          <w:b/>
          <w:bCs/>
        </w:rPr>
        <w:t>F4.3.4单元小结</w:t>
      </w:r>
      <w:bookmarkEnd w:id="4377"/>
      <w:bookmarkEnd w:id="4378"/>
      <w:bookmarkEnd w:id="4379"/>
      <w:bookmarkEnd w:id="4380"/>
      <w:bookmarkEnd w:id="4381"/>
      <w:bookmarkEnd w:id="4382"/>
      <w:bookmarkEnd w:id="4383"/>
      <w:bookmarkEnd w:id="4384"/>
      <w:bookmarkEnd w:id="4385"/>
      <w:bookmarkEnd w:id="4386"/>
      <w:bookmarkEnd w:id="4387"/>
      <w:bookmarkEnd w:id="4388"/>
      <w:bookmarkEnd w:id="4389"/>
      <w:bookmarkEnd w:id="4390"/>
      <w:bookmarkEnd w:id="4391"/>
      <w:bookmarkEnd w:id="4392"/>
      <w:bookmarkEnd w:id="4393"/>
      <w:bookmarkEnd w:id="4394"/>
      <w:bookmarkEnd w:id="4395"/>
      <w:bookmarkEnd w:id="4396"/>
      <w:bookmarkEnd w:id="4397"/>
      <w:bookmarkEnd w:id="4398"/>
      <w:bookmarkEnd w:id="4399"/>
      <w:bookmarkEnd w:id="4400"/>
      <w:bookmarkEnd w:id="4401"/>
      <w:bookmarkEnd w:id="4402"/>
      <w:bookmarkEnd w:id="4403"/>
      <w:bookmarkEnd w:id="4404"/>
      <w:bookmarkEnd w:id="4405"/>
      <w:bookmarkEnd w:id="4406"/>
    </w:p>
    <w:p>
      <w:pPr>
        <w:adjustRightInd/>
        <w:snapToGrid/>
        <w:ind w:firstLine="560"/>
        <w:rPr>
          <w:color w:val="000000" w:themeColor="text1"/>
        </w:rPr>
      </w:pPr>
      <w:r>
        <w:rPr>
          <w:rFonts w:hint="eastAsia"/>
        </w:rPr>
        <w:t>（1）</w:t>
      </w:r>
      <w:r>
        <w:rPr>
          <w:rFonts w:hint="eastAsia"/>
          <w:color w:val="000000" w:themeColor="text1"/>
        </w:rPr>
        <w:t>漾濞县跃进化工有限责任公司的供配电系统均按《用电安全导则》（GB/T13869-2017）、《供配电系统设计规范》（GB50052-2009）、《20kV及以下变电所设计规范》（GB50053-2013）等国家相关标准规范进行了安装、使用，符合相关的规范要求，能满足生产的需要，保障生产的供配电安全。</w:t>
      </w:r>
    </w:p>
    <w:p>
      <w:pPr>
        <w:adjustRightInd/>
        <w:snapToGrid/>
        <w:ind w:firstLine="560"/>
        <w:rPr>
          <w:color w:val="000000" w:themeColor="text1"/>
        </w:rPr>
      </w:pPr>
      <w:r>
        <w:rPr>
          <w:rFonts w:hint="eastAsia"/>
        </w:rPr>
        <w:t>（2）</w:t>
      </w:r>
      <w:r>
        <w:rPr>
          <w:rFonts w:hint="eastAsia"/>
          <w:color w:val="000000" w:themeColor="text1"/>
        </w:rPr>
        <w:t>漾濞县跃进化工有限责任公司的给排水系统均按国家相关的标准规范进行了安装、使用，符合《工业企业总平面设计规范》（GB50187-2012）等相关的规范要求，能满足生产的需要。</w:t>
      </w:r>
    </w:p>
    <w:p>
      <w:pPr>
        <w:adjustRightInd/>
        <w:snapToGrid/>
        <w:ind w:firstLine="560"/>
        <w:rPr>
          <w:color w:val="000000" w:themeColor="text1"/>
        </w:rPr>
      </w:pPr>
      <w:r>
        <w:rPr>
          <w:rFonts w:hint="eastAsia"/>
        </w:rPr>
        <w:t>（3）</w:t>
      </w:r>
      <w:r>
        <w:rPr>
          <w:rFonts w:hint="eastAsia"/>
          <w:color w:val="000000" w:themeColor="text1"/>
        </w:rPr>
        <w:t>漾濞县跃进化工有限责任公司的消防设施符合《中华人民共和国消防法</w:t>
      </w:r>
      <w:r>
        <w:rPr>
          <w:rFonts w:hint="eastAsia"/>
          <w:color w:val="000000" w:themeColor="text1"/>
          <w:szCs w:val="28"/>
        </w:rPr>
        <w:t>》（中华人民共和国主席令第81号）</w:t>
      </w:r>
      <w:r>
        <w:rPr>
          <w:rFonts w:hint="eastAsia"/>
          <w:color w:val="000000" w:themeColor="text1"/>
        </w:rPr>
        <w:t>、《建筑灭火器配置设计规范》（GB50140-2005）、《建筑设计防火规范（2018年版）》（GB50016-2014）等规范的相关要求。</w:t>
      </w:r>
    </w:p>
    <w:p>
      <w:pPr>
        <w:pStyle w:val="3"/>
        <w:ind w:firstLine="562"/>
        <w:rPr>
          <w:rFonts w:hint="eastAsia" w:ascii="黑体" w:hAnsi="黑体" w:eastAsia="黑体" w:cs="黑体"/>
          <w:color w:val="000000" w:themeColor="text1"/>
        </w:rPr>
      </w:pPr>
      <w:bookmarkStart w:id="4407" w:name="_Toc11837"/>
      <w:bookmarkStart w:id="4408" w:name="_Toc21167"/>
      <w:bookmarkStart w:id="4409" w:name="_Toc20510"/>
      <w:bookmarkStart w:id="4410" w:name="_Toc23799"/>
      <w:bookmarkStart w:id="4411" w:name="_Toc22174"/>
      <w:bookmarkStart w:id="4412" w:name="_Toc951"/>
      <w:bookmarkStart w:id="4413" w:name="_Toc16657"/>
      <w:bookmarkStart w:id="4414" w:name="_Toc22226"/>
      <w:bookmarkStart w:id="4415" w:name="_Toc128056542"/>
      <w:bookmarkStart w:id="4416" w:name="_Toc10739"/>
      <w:bookmarkStart w:id="4417" w:name="_Toc24488"/>
      <w:bookmarkStart w:id="4418" w:name="_Toc15340"/>
      <w:bookmarkStart w:id="4419" w:name="_Toc4134"/>
      <w:bookmarkStart w:id="4420" w:name="_Toc28286"/>
      <w:bookmarkStart w:id="4421" w:name="_Toc22018"/>
      <w:bookmarkStart w:id="4422" w:name="_Toc32173"/>
      <w:bookmarkStart w:id="4423" w:name="_Toc14893"/>
      <w:bookmarkStart w:id="4424" w:name="_Toc32699"/>
      <w:bookmarkStart w:id="4425" w:name="_Toc8453"/>
      <w:bookmarkStart w:id="4426" w:name="_Toc21769"/>
      <w:bookmarkStart w:id="4427" w:name="_Toc14972"/>
      <w:bookmarkStart w:id="4428" w:name="_Toc14263"/>
      <w:bookmarkStart w:id="4429" w:name="_Toc22578"/>
      <w:bookmarkStart w:id="4430" w:name="_Toc7260"/>
      <w:bookmarkStart w:id="4431" w:name="_Toc8752"/>
      <w:bookmarkStart w:id="4432" w:name="_Toc30331"/>
      <w:bookmarkStart w:id="4433" w:name="_Toc6242"/>
      <w:bookmarkStart w:id="4434" w:name="_Toc27704"/>
      <w:bookmarkStart w:id="4435" w:name="_Toc32018"/>
      <w:bookmarkStart w:id="4436" w:name="_Toc11776"/>
      <w:bookmarkStart w:id="4437" w:name="_Toc23831"/>
      <w:bookmarkStart w:id="4438" w:name="_Toc29280"/>
      <w:bookmarkStart w:id="4439" w:name="_Toc62219379"/>
      <w:bookmarkStart w:id="4440" w:name="_Toc19298"/>
      <w:bookmarkStart w:id="4441" w:name="_Toc6562"/>
      <w:bookmarkStart w:id="4442" w:name="_Toc62740980"/>
      <w:bookmarkStart w:id="4443" w:name="_Toc4649"/>
      <w:bookmarkStart w:id="4444" w:name="_Toc19862"/>
      <w:r>
        <w:rPr>
          <w:rFonts w:hint="eastAsia" w:ascii="黑体" w:hAnsi="黑体" w:eastAsia="黑体" w:cs="黑体"/>
          <w:color w:val="000000" w:themeColor="text1"/>
        </w:rPr>
        <w:t>F4.4 安全管理及应急救援单元评价</w:t>
      </w:r>
      <w:bookmarkEnd w:id="4407"/>
      <w:bookmarkEnd w:id="4408"/>
      <w:bookmarkEnd w:id="4409"/>
      <w:bookmarkEnd w:id="4410"/>
      <w:bookmarkEnd w:id="4411"/>
    </w:p>
    <w:p>
      <w:pPr>
        <w:pStyle w:val="4"/>
        <w:keepNext w:val="0"/>
        <w:keepLines w:val="0"/>
        <w:widowControl w:val="0"/>
        <w:kinsoku/>
        <w:wordWrap/>
        <w:overflowPunct/>
        <w:topLinePunct w:val="0"/>
        <w:autoSpaceDE/>
        <w:autoSpaceDN/>
        <w:bidi w:val="0"/>
        <w:adjustRightInd/>
        <w:snapToGrid/>
        <w:ind w:firstLine="562"/>
        <w:textAlignment w:val="auto"/>
      </w:pPr>
      <w:bookmarkStart w:id="4445" w:name="_Toc21068"/>
      <w:bookmarkStart w:id="4446" w:name="_Toc8322"/>
      <w:bookmarkStart w:id="4447" w:name="_Toc13623"/>
      <w:bookmarkStart w:id="4448" w:name="_Toc7583"/>
      <w:bookmarkStart w:id="4449" w:name="_Toc17774"/>
      <w:r>
        <w:rPr>
          <w:rFonts w:hint="eastAsia"/>
        </w:rPr>
        <w:t>F4.4.1 安全管理安全评价</w:t>
      </w:r>
      <w:bookmarkEnd w:id="4445"/>
      <w:bookmarkEnd w:id="4446"/>
      <w:bookmarkEnd w:id="4447"/>
      <w:bookmarkEnd w:id="4448"/>
      <w:bookmarkEnd w:id="4449"/>
    </w:p>
    <w:p>
      <w:pPr>
        <w:widowControl w:val="0"/>
        <w:kinsoku/>
        <w:wordWrap/>
        <w:overflowPunct/>
        <w:topLinePunct w:val="0"/>
        <w:autoSpaceDE/>
        <w:autoSpaceDN/>
        <w:bidi w:val="0"/>
        <w:adjustRightInd/>
        <w:snapToGrid/>
        <w:ind w:firstLine="560"/>
        <w:textAlignment w:val="auto"/>
        <w:rPr>
          <w:color w:val="000000" w:themeColor="text1"/>
        </w:rPr>
      </w:pPr>
      <w:r>
        <w:rPr>
          <w:rFonts w:hint="eastAsia"/>
          <w:color w:val="000000" w:themeColor="text1"/>
        </w:rPr>
        <w:t>本节根据《中华人民共和国安全生产法》（中华人民共和国主席令第88号）、《生产经营单位安全培训规定》（</w:t>
      </w:r>
      <w:r>
        <w:rPr>
          <w:color w:val="000000" w:themeColor="text1"/>
        </w:rPr>
        <w:t>国家安全生产监管总局令〔2015〕第80号</w:t>
      </w:r>
      <w:r>
        <w:rPr>
          <w:rFonts w:hint="eastAsia"/>
          <w:color w:val="000000" w:themeColor="text1"/>
        </w:rPr>
        <w:t>）等法律、法规的要求，对公司安全管理现状进行检查评价，具体检查情况见F表4.4-1。</w:t>
      </w:r>
    </w:p>
    <w:p>
      <w:pPr>
        <w:pStyle w:val="92"/>
        <w:rPr>
          <w:sz w:val="24"/>
          <w:szCs w:val="24"/>
          <w:lang w:val="zh-CN"/>
        </w:rPr>
      </w:pPr>
      <w:r>
        <w:rPr>
          <w:rFonts w:hint="eastAsia"/>
          <w:sz w:val="24"/>
          <w:szCs w:val="24"/>
        </w:rPr>
        <w:t>F</w:t>
      </w:r>
      <w:r>
        <w:rPr>
          <w:rFonts w:hint="eastAsia"/>
          <w:sz w:val="24"/>
          <w:szCs w:val="24"/>
          <w:lang w:val="zh-CN"/>
        </w:rPr>
        <w:t>表</w:t>
      </w:r>
      <w:r>
        <w:rPr>
          <w:rFonts w:hint="eastAsia"/>
          <w:sz w:val="24"/>
          <w:szCs w:val="24"/>
        </w:rPr>
        <w:t>4</w:t>
      </w:r>
      <w:r>
        <w:rPr>
          <w:rFonts w:hint="eastAsia"/>
          <w:sz w:val="24"/>
          <w:szCs w:val="24"/>
          <w:lang w:val="zh-CN"/>
        </w:rPr>
        <w:t>.</w:t>
      </w:r>
      <w:r>
        <w:rPr>
          <w:rFonts w:hint="eastAsia"/>
          <w:sz w:val="24"/>
          <w:szCs w:val="24"/>
        </w:rPr>
        <w:t>4</w:t>
      </w:r>
      <w:r>
        <w:rPr>
          <w:rFonts w:hint="eastAsia"/>
          <w:sz w:val="24"/>
          <w:szCs w:val="24"/>
          <w:lang w:val="zh-CN"/>
        </w:rPr>
        <w:t>-</w:t>
      </w:r>
      <w:r>
        <w:rPr>
          <w:rFonts w:hint="eastAsia"/>
          <w:sz w:val="24"/>
          <w:szCs w:val="24"/>
        </w:rPr>
        <w:t>1 安全管理</w:t>
      </w:r>
      <w:r>
        <w:rPr>
          <w:rFonts w:hint="eastAsia"/>
          <w:sz w:val="24"/>
          <w:szCs w:val="24"/>
          <w:lang w:val="zh-CN"/>
        </w:rPr>
        <w:t>安全检查表</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3702"/>
        <w:gridCol w:w="1728"/>
        <w:gridCol w:w="2575"/>
        <w:gridCol w:w="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序号</w:t>
            </w:r>
          </w:p>
        </w:tc>
        <w:tc>
          <w:tcPr>
            <w:tcW w:w="1993" w:type="pct"/>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检  查  内  容</w:t>
            </w:r>
          </w:p>
        </w:tc>
        <w:tc>
          <w:tcPr>
            <w:tcW w:w="930" w:type="pct"/>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依 据 标 准</w:t>
            </w:r>
          </w:p>
        </w:tc>
        <w:tc>
          <w:tcPr>
            <w:tcW w:w="1386" w:type="pct"/>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实 际 情 况</w:t>
            </w:r>
          </w:p>
        </w:tc>
        <w:tc>
          <w:tcPr>
            <w:tcW w:w="406" w:type="pct"/>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安全管理组织机构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w:t>
            </w:r>
          </w:p>
        </w:tc>
        <w:tc>
          <w:tcPr>
            <w:tcW w:w="1993"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矿山、金属冶炼、建筑施工、运输单位和危险物品的生产、经营、储存、装卸单位，应当设置安全生产管理机构或者配备专职安全生产管理人员。</w:t>
            </w:r>
          </w:p>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安全生产法》（中华人民共和国主席令第88号）第24条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公司设有安全生产委员会，配备专职安全员1人，取得安全管理资格证。详见</w:t>
            </w:r>
            <w:r>
              <w:rPr>
                <w:rFonts w:hint="eastAsia" w:ascii="宋体" w:hAnsi="宋体" w:cs="宋体"/>
                <w:color w:val="auto"/>
                <w:sz w:val="21"/>
                <w:szCs w:val="21"/>
                <w:lang w:val="en-US" w:eastAsia="zh-CN"/>
              </w:rPr>
              <w:t>报告</w:t>
            </w:r>
            <w:r>
              <w:rPr>
                <w:rFonts w:hint="eastAsia" w:ascii="宋体" w:hAnsi="宋体" w:cs="宋体"/>
                <w:color w:val="auto"/>
                <w:sz w:val="21"/>
                <w:szCs w:val="21"/>
                <w:lang w:eastAsia="zh-CN"/>
              </w:rPr>
              <w:t>F</w:t>
            </w:r>
            <w:r>
              <w:rPr>
                <w:rFonts w:hint="eastAsia" w:ascii="宋体" w:hAnsi="宋体" w:cs="宋体"/>
                <w:color w:val="auto"/>
                <w:sz w:val="21"/>
                <w:szCs w:val="21"/>
              </w:rPr>
              <w:t>6.1</w:t>
            </w:r>
            <w:r>
              <w:rPr>
                <w:rFonts w:hint="eastAsia" w:ascii="宋体" w:hAnsi="宋体" w:cs="宋体"/>
                <w:color w:val="auto"/>
                <w:sz w:val="21"/>
                <w:szCs w:val="21"/>
                <w:lang w:val="en-US" w:eastAsia="zh-CN"/>
              </w:rPr>
              <w:t>0</w:t>
            </w:r>
            <w:r>
              <w:rPr>
                <w:rFonts w:hint="eastAsia" w:ascii="宋体" w:hAnsi="宋体" w:cs="宋体"/>
                <w:color w:val="auto"/>
                <w:sz w:val="21"/>
                <w:szCs w:val="21"/>
              </w:rPr>
              <w:t>；6.</w:t>
            </w:r>
            <w:r>
              <w:rPr>
                <w:rFonts w:hint="eastAsia" w:ascii="宋体" w:hAnsi="宋体" w:cs="宋体"/>
                <w:color w:val="auto"/>
                <w:sz w:val="21"/>
                <w:szCs w:val="21"/>
                <w:lang w:val="en-US" w:eastAsia="zh-CN"/>
              </w:rPr>
              <w:t>11、6.14、6.15</w:t>
            </w:r>
            <w:r>
              <w:rPr>
                <w:rFonts w:hint="eastAsia" w:ascii="宋体" w:hAnsi="宋体" w:cs="宋体"/>
                <w:color w:val="auto"/>
                <w:sz w:val="21"/>
                <w:szCs w:val="21"/>
              </w:rPr>
              <w:t>。</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2</w:t>
            </w:r>
          </w:p>
        </w:tc>
        <w:tc>
          <w:tcPr>
            <w:tcW w:w="1993"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生产经营单位应当设置安全生产管理机构或者配备专职安全生产管理人员。</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ascii="宋体" w:hAnsi="宋体"/>
                <w:color w:val="000000" w:themeColor="text1"/>
                <w:spacing w:val="-6"/>
                <w:sz w:val="21"/>
                <w:szCs w:val="21"/>
              </w:rPr>
              <w:t>《危险化学品生产企业安全生产许可证实施办法》（国家安全生产监督管理总局令第41号）</w:t>
            </w:r>
            <w:r>
              <w:rPr>
                <w:rFonts w:hint="eastAsia" w:cs="宋体"/>
                <w:spacing w:val="-6"/>
                <w:kern w:val="0"/>
                <w:sz w:val="21"/>
                <w:szCs w:val="21"/>
              </w:rPr>
              <w:t>第8条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公司设有安全生产委员会，配备专职安全员1人，取得安全管理资格证。</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w:t>
            </w:r>
          </w:p>
        </w:tc>
        <w:tc>
          <w:tcPr>
            <w:tcW w:w="1993"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生产经营单位必须遵守本法和其他有关安全生产的法律、法规，加强</w:t>
            </w:r>
            <w:r>
              <w:fldChar w:fldCharType="begin"/>
            </w:r>
            <w:r>
              <w:instrText xml:space="preserve"> HYPERLINK "https://baike.sogou.com/lemma/ShowInnerLink.htm?lemmaId=1301914&amp;ss_c=ssc.citiao.link" \t "https://baike.sogou.com/_blank" </w:instrText>
            </w:r>
            <w:r>
              <w:fldChar w:fldCharType="separate"/>
            </w:r>
            <w:r>
              <w:rPr>
                <w:rStyle w:val="47"/>
                <w:rFonts w:hint="eastAsia" w:ascii="宋体" w:eastAsia="宋体" w:cs="宋体"/>
                <w:color w:val="auto"/>
                <w:sz w:val="21"/>
                <w:szCs w:val="21"/>
                <w:shd w:val="clear" w:color="auto" w:fill="FFFFFF"/>
              </w:rPr>
              <w:t>安全生产管理</w:t>
            </w:r>
            <w:r>
              <w:rPr>
                <w:rStyle w:val="47"/>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，建立健全全员</w:t>
            </w:r>
            <w:r>
              <w:fldChar w:fldCharType="begin"/>
            </w:r>
            <w:r>
              <w:instrText xml:space="preserve"> HYPERLINK "https://baike.sogou.com/lemma/ShowInnerLink.htm?lemmaId=4523509&amp;ss_c=ssc.citiao.link" \t "https://baike.sogou.com/_blank" </w:instrText>
            </w:r>
            <w:r>
              <w:fldChar w:fldCharType="separate"/>
            </w:r>
            <w:r>
              <w:rPr>
                <w:rStyle w:val="47"/>
                <w:rFonts w:hint="eastAsia" w:ascii="宋体" w:eastAsia="宋体" w:cs="宋体"/>
                <w:color w:val="auto"/>
                <w:sz w:val="21"/>
                <w:szCs w:val="21"/>
                <w:shd w:val="clear" w:color="auto" w:fill="FFFFFF"/>
              </w:rPr>
              <w:t>安全生产责任制</w:t>
            </w:r>
            <w:r>
              <w:rPr>
                <w:rStyle w:val="47"/>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和安全生产规章制度，加大对安全生产资金、物资、技术、人员的投入保障力度，改善安全生产条件，加强</w:t>
            </w:r>
            <w:r>
              <w:fldChar w:fldCharType="begin"/>
            </w:r>
            <w:r>
              <w:instrText xml:space="preserve"> HYPERLINK "https://baike.sogou.com/lemma/ShowInnerLink.htm?lemmaId=44064803&amp;ss_c=ssc.citiao.link" \t "https://baike.sogou.com/_blank" </w:instrText>
            </w:r>
            <w:r>
              <w:fldChar w:fldCharType="separate"/>
            </w:r>
            <w:r>
              <w:rPr>
                <w:rStyle w:val="47"/>
                <w:rFonts w:hint="eastAsia" w:ascii="宋体" w:eastAsia="宋体" w:cs="宋体"/>
                <w:color w:val="auto"/>
                <w:sz w:val="21"/>
                <w:szCs w:val="21"/>
                <w:shd w:val="clear" w:color="auto" w:fill="FFFFFF"/>
              </w:rPr>
              <w:t>安全生产标准化</w:t>
            </w:r>
            <w:r>
              <w:rPr>
                <w:rStyle w:val="47"/>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、信息化建设，构建安全风险分级管控和</w:t>
            </w:r>
            <w:r>
              <w:fldChar w:fldCharType="begin"/>
            </w:r>
            <w:r>
              <w:instrText xml:space="preserve"> HYPERLINK "https://baike.sogou.com/lemma/ShowInnerLink.htm?lemmaId=61759501&amp;ss_c=ssc.citiao.link" \t "https://baike.sogou.com/_blank" </w:instrText>
            </w:r>
            <w:r>
              <w:fldChar w:fldCharType="separate"/>
            </w:r>
            <w:r>
              <w:rPr>
                <w:rStyle w:val="47"/>
                <w:rFonts w:hint="eastAsia" w:ascii="宋体" w:eastAsia="宋体" w:cs="宋体"/>
                <w:color w:val="auto"/>
                <w:sz w:val="21"/>
                <w:szCs w:val="21"/>
                <w:shd w:val="clear" w:color="auto" w:fill="FFFFFF"/>
              </w:rPr>
              <w:t>隐患排查治理</w:t>
            </w:r>
            <w:r>
              <w:rPr>
                <w:rStyle w:val="47"/>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双重预防机制，健全风险防范化解机制，提高安全生产水平，确保安全生产。</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安全生产法》（中华人民共和国主席令第88号）第4条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检查：跃进化工建立了安全生产标准化管理制度，建立安全风险</w:t>
            </w:r>
            <w:r>
              <w:rPr>
                <w:rFonts w:hint="eastAsia" w:ascii="宋体" w:hAnsi="宋体" w:cs="宋体"/>
                <w:color w:val="auto"/>
                <w:sz w:val="21"/>
                <w:szCs w:val="21"/>
                <w:shd w:val="clear" w:color="auto" w:fill="FFFFFF"/>
              </w:rPr>
              <w:t>险分级管控和</w:t>
            </w:r>
            <w:r>
              <w:fldChar w:fldCharType="begin"/>
            </w:r>
            <w:r>
              <w:instrText xml:space="preserve"> HYPERLINK "https://baike.sogou.com/lemma/ShowInnerLink.htm?lemmaId=61759501&amp;ss_c=ssc.citiao.link" \t "https://baike.sogou.com/_blank" </w:instrText>
            </w:r>
            <w:r>
              <w:fldChar w:fldCharType="separate"/>
            </w:r>
            <w:r>
              <w:rPr>
                <w:rStyle w:val="47"/>
                <w:rFonts w:hint="eastAsia" w:ascii="宋体" w:hAnsi="宋体" w:cs="宋体"/>
                <w:color w:val="auto"/>
                <w:sz w:val="21"/>
                <w:szCs w:val="21"/>
                <w:shd w:val="clear" w:color="auto" w:fill="FFFFFF"/>
              </w:rPr>
              <w:t>隐患排查治理</w:t>
            </w:r>
            <w:r>
              <w:rPr>
                <w:rStyle w:val="47"/>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双重预防机制。详见</w:t>
            </w:r>
            <w:r>
              <w:rPr>
                <w:rFonts w:hint="eastAsia" w:ascii="宋体" w:hAnsi="宋体" w:cs="宋体"/>
                <w:color w:val="auto"/>
                <w:sz w:val="21"/>
                <w:szCs w:val="21"/>
                <w:shd w:val="clear" w:color="auto" w:fill="FFFFFF"/>
                <w:lang w:val="en-US" w:eastAsia="zh-CN"/>
              </w:rPr>
              <w:t>报告</w:t>
            </w:r>
            <w:r>
              <w:rPr>
                <w:rFonts w:hint="eastAsia" w:ascii="宋体" w:hAnsi="宋体" w:cs="宋体"/>
                <w:color w:val="auto"/>
                <w:sz w:val="21"/>
                <w:szCs w:val="21"/>
                <w:shd w:val="clear" w:color="auto" w:fill="FFFFFF"/>
                <w:lang w:eastAsia="zh-CN"/>
              </w:rPr>
              <w:t>F</w:t>
            </w:r>
            <w:r>
              <w:rPr>
                <w:rFonts w:hint="eastAsia" w:ascii="宋体" w:hAnsi="宋体" w:cs="宋体"/>
                <w:color w:val="auto"/>
                <w:sz w:val="21"/>
                <w:szCs w:val="21"/>
                <w:shd w:val="clear" w:color="auto" w:fill="FFFFFF"/>
              </w:rPr>
              <w:t>6.</w:t>
            </w:r>
            <w:r>
              <w:rPr>
                <w:rFonts w:hint="eastAsia" w:ascii="宋体" w:hAnsi="宋体" w:cs="宋体"/>
                <w:color w:val="auto"/>
                <w:sz w:val="21"/>
                <w:szCs w:val="21"/>
                <w:shd w:val="clear" w:color="auto" w:fill="FFFFFF"/>
                <w:lang w:val="en-US" w:eastAsia="zh-CN"/>
              </w:rPr>
              <w:t>42</w:t>
            </w:r>
            <w:r>
              <w:rPr>
                <w:rFonts w:hint="eastAsia" w:ascii="宋体" w:hAnsi="宋体" w:cs="宋体"/>
                <w:color w:val="auto"/>
                <w:sz w:val="21"/>
                <w:szCs w:val="21"/>
                <w:shd w:val="clear" w:color="auto" w:fill="FFFFFF"/>
              </w:rPr>
              <w:t>。</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2</w:t>
            </w:r>
          </w:p>
        </w:tc>
        <w:tc>
          <w:tcPr>
            <w:tcW w:w="1993"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shd w:val="clear" w:color="auto" w:fill="FFFFFF"/>
              </w:rPr>
            </w:pPr>
            <w:r>
              <w:rPr>
                <w:rFonts w:hint="eastAsia" w:ascii="宋体" w:eastAsia="宋体" w:cs="宋体"/>
                <w:color w:val="auto"/>
                <w:sz w:val="21"/>
                <w:szCs w:val="21"/>
                <w:shd w:val="clear" w:color="auto" w:fill="FFFFFF"/>
              </w:rPr>
              <w:t>生产经营单位的主要负责人是本单位安全生产第一责任人，对本单位的安全生产工作全面负责。其他负责人对职责范围内的安全生产工作负责。</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安全生产法》（中华人民共和国主席令第88号）第5条</w:t>
            </w:r>
          </w:p>
        </w:tc>
        <w:tc>
          <w:tcPr>
            <w:tcW w:w="1386" w:type="pct"/>
            <w:shd w:val="clear" w:color="auto" w:fill="FEFEFE"/>
            <w:vAlign w:val="center"/>
          </w:tcPr>
          <w:p>
            <w:pPr>
              <w:spacing w:line="240" w:lineRule="auto"/>
              <w:ind w:firstLine="210" w:firstLineChars="100"/>
              <w:jc w:val="left"/>
              <w:rPr>
                <w:rFonts w:hint="default" w:ascii="宋体" w:hAnsi="宋体" w:cs="宋体"/>
                <w:color w:val="auto"/>
                <w:sz w:val="21"/>
                <w:szCs w:val="21"/>
                <w:lang w:val="en-US"/>
              </w:rPr>
            </w:pPr>
            <w:r>
              <w:rPr>
                <w:rFonts w:hint="eastAsia" w:ascii="宋体" w:hAnsi="宋体" w:cs="宋体"/>
                <w:color w:val="auto"/>
                <w:sz w:val="21"/>
                <w:szCs w:val="21"/>
              </w:rPr>
              <w:t>公司安全生产责任作了规定。</w:t>
            </w:r>
            <w:r>
              <w:rPr>
                <w:rFonts w:hint="eastAsia" w:ascii="宋体" w:hAnsi="宋体"/>
                <w:color w:val="auto"/>
                <w:sz w:val="21"/>
                <w:szCs w:val="21"/>
                <w:lang w:val="en-US" w:eastAsia="zh-CN"/>
              </w:rPr>
              <w:t>详见报告F6.26。</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3</w:t>
            </w:r>
          </w:p>
        </w:tc>
        <w:tc>
          <w:tcPr>
            <w:tcW w:w="1993"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生产经营单位应当建立安全风险分级管控制度，按照安全风险分级采取相应的管控措施。</w:t>
            </w:r>
          </w:p>
          <w:p>
            <w:pPr>
              <w:pStyle w:val="32"/>
              <w:shd w:val="clear" w:color="auto" w:fill="FFFFFF"/>
              <w:spacing w:line="240" w:lineRule="auto"/>
              <w:ind w:firstLine="210" w:firstLineChars="100"/>
              <w:rPr>
                <w:rFonts w:ascii="宋体" w:eastAsia="宋体" w:cs="宋体"/>
                <w:color w:val="auto"/>
                <w:sz w:val="21"/>
                <w:szCs w:val="21"/>
                <w:shd w:val="clear" w:color="auto" w:fill="FFFFFF"/>
              </w:rPr>
            </w:pPr>
            <w:r>
              <w:rPr>
                <w:rFonts w:hint="eastAsia" w:ascii="宋体" w:eastAsia="宋体" w:cs="宋体"/>
                <w:color w:val="auto"/>
                <w:sz w:val="21"/>
                <w:szCs w:val="21"/>
                <w:shd w:val="clear" w:color="auto" w:fill="FFFFFF"/>
              </w:rPr>
              <w:t>生产经营单位应当建立健全并落实生产安全事故隐患排查治理制度，采取技术、管理措施，及时发现并消除事故隐患。事故隐患排查治理情况应当如实记录，并通过职工大会或者</w:t>
            </w:r>
            <w:r>
              <w:fldChar w:fldCharType="begin"/>
            </w:r>
            <w:r>
              <w:instrText xml:space="preserve"> HYPERLINK "https://baike.sogou.com/lemma/ShowInnerLink.htm?lemmaId=167477&amp;ss_c=ssc.citiao.link" \t "https://baike.sogou.com/_blank" </w:instrText>
            </w:r>
            <w:r>
              <w:fldChar w:fldCharType="separate"/>
            </w:r>
            <w:r>
              <w:rPr>
                <w:rStyle w:val="47"/>
                <w:rFonts w:hint="eastAsia" w:ascii="宋体" w:eastAsia="宋体" w:cs="宋体"/>
                <w:color w:val="auto"/>
                <w:sz w:val="21"/>
                <w:szCs w:val="21"/>
                <w:shd w:val="clear" w:color="auto" w:fill="FFFFFF"/>
              </w:rPr>
              <w:t>职工代表大会</w:t>
            </w:r>
            <w:r>
              <w:rPr>
                <w:rStyle w:val="47"/>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、信息公示栏等方式向从业人员通报。其中，重大事故隐患排查治理情况应当及时向负有安全生产监督管理职责的部门和职工大会或者职工代表大会报告。</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安全生产法》（中华人民共和国主席令第88号）第41条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跃进化工已建立安全风险</w:t>
            </w:r>
            <w:r>
              <w:rPr>
                <w:rFonts w:hint="eastAsia" w:ascii="宋体" w:hAnsi="宋体" w:cs="宋体"/>
                <w:color w:val="auto"/>
                <w:sz w:val="21"/>
                <w:szCs w:val="21"/>
                <w:shd w:val="clear" w:color="auto" w:fill="FFFFFF"/>
              </w:rPr>
              <w:t>险分级管控和</w:t>
            </w:r>
            <w:r>
              <w:fldChar w:fldCharType="begin"/>
            </w:r>
            <w:r>
              <w:instrText xml:space="preserve"> HYPERLINK "https://baike.sogou.com/lemma/ShowInnerLink.htm?lemmaId=61759501&amp;ss_c=ssc.citiao.link" \t "https://baike.sogou.com/_blank" </w:instrText>
            </w:r>
            <w:r>
              <w:fldChar w:fldCharType="separate"/>
            </w:r>
            <w:r>
              <w:rPr>
                <w:rStyle w:val="47"/>
                <w:rFonts w:hint="eastAsia" w:ascii="宋体" w:hAnsi="宋体" w:cs="宋体"/>
                <w:color w:val="auto"/>
                <w:sz w:val="21"/>
                <w:szCs w:val="21"/>
                <w:shd w:val="clear" w:color="auto" w:fill="FFFFFF"/>
              </w:rPr>
              <w:t>隐患排查治理</w:t>
            </w:r>
            <w:r>
              <w:rPr>
                <w:rStyle w:val="47"/>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双重预防机制。详见</w:t>
            </w:r>
            <w:r>
              <w:rPr>
                <w:rFonts w:hint="eastAsia" w:ascii="宋体" w:hAnsi="宋体" w:cs="宋体"/>
                <w:color w:val="auto"/>
                <w:sz w:val="21"/>
                <w:szCs w:val="21"/>
                <w:shd w:val="clear" w:color="auto" w:fill="FFFFFF"/>
                <w:lang w:val="en-US" w:eastAsia="zh-CN"/>
              </w:rPr>
              <w:t>报告</w:t>
            </w:r>
            <w:r>
              <w:rPr>
                <w:rFonts w:hint="eastAsia" w:ascii="宋体" w:hAnsi="宋体" w:cs="宋体"/>
                <w:color w:val="auto"/>
                <w:sz w:val="21"/>
                <w:szCs w:val="21"/>
                <w:shd w:val="clear" w:color="auto" w:fill="FFFFFF"/>
                <w:lang w:eastAsia="zh-CN"/>
              </w:rPr>
              <w:t>F</w:t>
            </w:r>
            <w:r>
              <w:rPr>
                <w:rFonts w:hint="eastAsia" w:ascii="宋体" w:hAnsi="宋体" w:cs="宋体"/>
                <w:color w:val="auto"/>
                <w:sz w:val="21"/>
                <w:szCs w:val="21"/>
                <w:shd w:val="clear" w:color="auto" w:fill="FFFFFF"/>
              </w:rPr>
              <w:t>6.</w:t>
            </w:r>
            <w:r>
              <w:rPr>
                <w:rFonts w:hint="eastAsia" w:ascii="宋体" w:hAnsi="宋体" w:cs="宋体"/>
                <w:color w:val="auto"/>
                <w:sz w:val="21"/>
                <w:szCs w:val="21"/>
                <w:shd w:val="clear" w:color="auto" w:fill="FFFFFF"/>
                <w:lang w:val="en-US" w:eastAsia="zh-CN"/>
              </w:rPr>
              <w:t>42</w:t>
            </w:r>
            <w:r>
              <w:rPr>
                <w:rFonts w:hint="eastAsia" w:ascii="宋体" w:hAnsi="宋体" w:cs="宋体"/>
                <w:color w:val="auto"/>
                <w:sz w:val="21"/>
                <w:szCs w:val="21"/>
                <w:shd w:val="clear" w:color="auto" w:fill="FFFFFF"/>
              </w:rPr>
              <w:t>。</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autoSpaceDE w:val="0"/>
              <w:autoSpaceDN w:val="0"/>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lang w:eastAsia="en-US"/>
              </w:rPr>
              <w:t>4</w:t>
            </w:r>
          </w:p>
        </w:tc>
        <w:tc>
          <w:tcPr>
            <w:tcW w:w="1993"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企业应当建立全员安全生产责任制，保证每位从业人员的安全生产责任与职务、岗位相匹配。</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ascii="宋体" w:hAnsi="宋体"/>
                <w:color w:val="000000" w:themeColor="text1"/>
                <w:sz w:val="21"/>
                <w:szCs w:val="21"/>
              </w:rPr>
              <w:t>《危险化学品生产企业安全生产许可证实施办法》（</w:t>
            </w:r>
            <w:r>
              <w:rPr>
                <w:rFonts w:hint="eastAsia"/>
                <w:sz w:val="21"/>
                <w:szCs w:val="21"/>
              </w:rPr>
              <w:t>国家安全生产监督管理总局令第41号）</w:t>
            </w:r>
            <w:r>
              <w:rPr>
                <w:rFonts w:hint="eastAsia" w:cs="宋体"/>
                <w:kern w:val="0"/>
                <w:sz w:val="21"/>
                <w:szCs w:val="21"/>
              </w:rPr>
              <w:t>第13条</w:t>
            </w:r>
          </w:p>
        </w:tc>
        <w:tc>
          <w:tcPr>
            <w:tcW w:w="1386"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企业根据实际生产情况，制度了相应从业人员的安全职责。</w:t>
            </w:r>
          </w:p>
        </w:tc>
        <w:tc>
          <w:tcPr>
            <w:tcW w:w="406"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autoSpaceDE w:val="0"/>
              <w:autoSpaceDN w:val="0"/>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lang w:eastAsia="en-US"/>
              </w:rPr>
              <w:t>5</w:t>
            </w:r>
          </w:p>
        </w:tc>
        <w:tc>
          <w:tcPr>
            <w:tcW w:w="1993"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企业应当根据化工工艺、装置、设施等实际情况，制定完善下列主要安全生产规章制度①安全生产例会等安全生产会议制度；②安全投入保障制度；③安全生产奖惩制度；④安全培训教育制度；⑤领导干部轮流现场带班制度；⑥特种作业人员管理制度；⑦安全检查和隐患排查治理制度；⑧重大危险源评估和安全管理制度；⑨变更管理制度；⑩应急管理制度；⑪生产安全事故或者重大事件管理制度；⑫防火、防爆、防中毒、防泄漏管理制度；⑬工艺、设备、电气仪表、公用工程安全管理制度；⑭动火、进入受限空间、吊装、高处、盲板抽堵、动土、断路、设备检维修等作业安全管理制度；⑮危险化学品安全管理制度；⑯职业健康相关管理制度；⑰劳动防护用品使用维护管理制度；⑱承包商管理制度；⑲安全管理制度及操作规程定期</w:t>
            </w:r>
            <w:r>
              <w:rPr>
                <w:rFonts w:hint="eastAsia" w:ascii="宋体" w:hAnsi="宋体" w:cs="宋体"/>
                <w:color w:val="auto"/>
                <w:kern w:val="0"/>
                <w:sz w:val="21"/>
                <w:szCs w:val="21"/>
                <w:lang w:val="zh-CN"/>
              </w:rPr>
              <w:t>修订制度。</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《危险化学品生产企业安全生产许可证实施办法》（国家安全生产监督管理总局41号令）第14条</w:t>
            </w:r>
          </w:p>
        </w:tc>
        <w:tc>
          <w:tcPr>
            <w:tcW w:w="1386"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企业根据生产情况制定了安全标准化制度汇编，包含以上制度。</w:t>
            </w:r>
            <w:r>
              <w:rPr>
                <w:rFonts w:hint="eastAsia" w:ascii="宋体" w:hAnsi="宋体" w:cs="宋体"/>
                <w:color w:val="auto"/>
                <w:sz w:val="21"/>
                <w:szCs w:val="21"/>
                <w:shd w:val="clear" w:color="auto" w:fill="FFFFFF"/>
              </w:rPr>
              <w:t>详见</w:t>
            </w:r>
            <w:r>
              <w:rPr>
                <w:rFonts w:hint="eastAsia" w:ascii="宋体" w:hAnsi="宋体" w:cs="宋体"/>
                <w:color w:val="auto"/>
                <w:sz w:val="21"/>
                <w:szCs w:val="21"/>
                <w:shd w:val="clear" w:color="auto" w:fill="FFFFFF"/>
                <w:lang w:val="en-US" w:eastAsia="zh-CN"/>
              </w:rPr>
              <w:t>报告</w:t>
            </w:r>
            <w:r>
              <w:rPr>
                <w:rFonts w:hint="eastAsia" w:ascii="宋体" w:hAnsi="宋体" w:cs="宋体"/>
                <w:color w:val="auto"/>
                <w:sz w:val="21"/>
                <w:szCs w:val="21"/>
                <w:shd w:val="clear" w:color="auto" w:fill="FFFFFF"/>
                <w:lang w:eastAsia="zh-CN"/>
              </w:rPr>
              <w:t>F</w:t>
            </w:r>
            <w:r>
              <w:rPr>
                <w:rFonts w:hint="eastAsia" w:ascii="宋体" w:hAnsi="宋体" w:cs="宋体"/>
                <w:color w:val="auto"/>
                <w:sz w:val="21"/>
                <w:szCs w:val="21"/>
                <w:shd w:val="clear" w:color="auto" w:fill="FFFFFF"/>
              </w:rPr>
              <w:t>6.</w:t>
            </w:r>
            <w:r>
              <w:rPr>
                <w:rFonts w:hint="eastAsia" w:ascii="宋体" w:hAnsi="宋体" w:cs="宋体"/>
                <w:color w:val="auto"/>
                <w:sz w:val="21"/>
                <w:szCs w:val="21"/>
                <w:shd w:val="clear" w:color="auto" w:fill="FFFFFF"/>
                <w:lang w:val="en-US" w:eastAsia="zh-CN"/>
              </w:rPr>
              <w:t>25</w:t>
            </w:r>
            <w:r>
              <w:rPr>
                <w:rFonts w:hint="eastAsia" w:ascii="宋体" w:hAnsi="宋体" w:cs="宋体"/>
                <w:color w:val="auto"/>
                <w:sz w:val="21"/>
                <w:szCs w:val="21"/>
                <w:shd w:val="clear" w:color="auto" w:fill="FFFFFF"/>
              </w:rPr>
              <w:t>。</w:t>
            </w:r>
          </w:p>
        </w:tc>
        <w:tc>
          <w:tcPr>
            <w:tcW w:w="406"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autoSpaceDE w:val="0"/>
              <w:autoSpaceDN w:val="0"/>
              <w:spacing w:line="240" w:lineRule="auto"/>
              <w:ind w:firstLine="0" w:firstLineChars="0"/>
              <w:jc w:val="center"/>
              <w:rPr>
                <w:rFonts w:ascii="宋体" w:hAnsi="宋体" w:cs="宋体"/>
                <w:color w:val="auto"/>
                <w:kern w:val="0"/>
                <w:sz w:val="21"/>
                <w:szCs w:val="21"/>
              </w:rPr>
            </w:pPr>
            <w:r>
              <w:rPr>
                <w:rFonts w:hint="eastAsia" w:ascii="宋体" w:hAnsi="宋体" w:cs="宋体"/>
                <w:color w:val="auto"/>
                <w:kern w:val="0"/>
                <w:sz w:val="21"/>
                <w:szCs w:val="21"/>
                <w:lang w:eastAsia="en-US"/>
              </w:rPr>
              <w:t>6</w:t>
            </w:r>
          </w:p>
        </w:tc>
        <w:tc>
          <w:tcPr>
            <w:tcW w:w="1993"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企业应当根据危险化学品的生产工艺、技术、设备特点和原辅料、产品的危险性编制岗位</w:t>
            </w:r>
            <w:r>
              <w:rPr>
                <w:rFonts w:hint="eastAsia" w:ascii="宋体" w:hAnsi="宋体" w:cs="宋体"/>
                <w:color w:val="auto"/>
                <w:kern w:val="0"/>
                <w:sz w:val="21"/>
                <w:szCs w:val="21"/>
                <w:lang w:val="zh-CN"/>
              </w:rPr>
              <w:t>操作安全规程。</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spacing w:val="-6"/>
                <w:kern w:val="0"/>
                <w:sz w:val="21"/>
                <w:szCs w:val="21"/>
              </w:rPr>
              <w:t>《危险化学品生产企业安全生产许可证实施办法》（国家安全生产监督管理总局41号令）第15条</w:t>
            </w:r>
          </w:p>
        </w:tc>
        <w:tc>
          <w:tcPr>
            <w:tcW w:w="1386"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公司根据实际需求，制定了生产工艺操作规程。</w:t>
            </w:r>
            <w:r>
              <w:rPr>
                <w:rFonts w:hint="eastAsia" w:ascii="宋体" w:hAnsi="宋体" w:cs="宋体"/>
                <w:color w:val="auto"/>
                <w:sz w:val="21"/>
                <w:szCs w:val="21"/>
                <w:shd w:val="clear" w:color="auto" w:fill="FFFFFF"/>
              </w:rPr>
              <w:t>详见</w:t>
            </w:r>
            <w:r>
              <w:rPr>
                <w:rFonts w:hint="eastAsia" w:ascii="宋体" w:hAnsi="宋体" w:cs="宋体"/>
                <w:color w:val="auto"/>
                <w:sz w:val="21"/>
                <w:szCs w:val="21"/>
                <w:shd w:val="clear" w:color="auto" w:fill="FFFFFF"/>
                <w:lang w:val="en-US" w:eastAsia="zh-CN"/>
              </w:rPr>
              <w:t>报告</w:t>
            </w:r>
            <w:r>
              <w:rPr>
                <w:rFonts w:hint="eastAsia" w:ascii="宋体" w:hAnsi="宋体" w:cs="宋体"/>
                <w:color w:val="auto"/>
                <w:sz w:val="21"/>
                <w:szCs w:val="21"/>
                <w:shd w:val="clear" w:color="auto" w:fill="FFFFFF"/>
                <w:lang w:eastAsia="zh-CN"/>
              </w:rPr>
              <w:t>F</w:t>
            </w:r>
            <w:r>
              <w:rPr>
                <w:rFonts w:hint="eastAsia" w:ascii="宋体" w:hAnsi="宋体" w:cs="宋体"/>
                <w:color w:val="auto"/>
                <w:sz w:val="21"/>
                <w:szCs w:val="21"/>
                <w:shd w:val="clear" w:color="auto" w:fill="FFFFFF"/>
              </w:rPr>
              <w:t>6.</w:t>
            </w:r>
            <w:r>
              <w:rPr>
                <w:rFonts w:hint="eastAsia" w:ascii="宋体" w:hAnsi="宋体" w:cs="宋体"/>
                <w:color w:val="auto"/>
                <w:sz w:val="21"/>
                <w:szCs w:val="21"/>
                <w:shd w:val="clear" w:color="auto" w:fill="FFFFFF"/>
                <w:lang w:val="en-US" w:eastAsia="zh-CN"/>
              </w:rPr>
              <w:t>27</w:t>
            </w:r>
            <w:r>
              <w:rPr>
                <w:rFonts w:hint="eastAsia" w:ascii="宋体" w:hAnsi="宋体" w:cs="宋体"/>
                <w:color w:val="auto"/>
                <w:sz w:val="21"/>
                <w:szCs w:val="21"/>
                <w:shd w:val="clear" w:color="auto" w:fill="FFFFFF"/>
              </w:rPr>
              <w:t>。</w:t>
            </w:r>
          </w:p>
        </w:tc>
        <w:tc>
          <w:tcPr>
            <w:tcW w:w="406"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7</w:t>
            </w:r>
          </w:p>
        </w:tc>
        <w:tc>
          <w:tcPr>
            <w:tcW w:w="1993"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生产经营单位应当建立健全下列制度：①安全生产责任制度；②安全生产例会制度；③安全生产奖惩制度；④安全生产教育培训制度；⑤安全生产检查制度；⑥生产经营场所、设备、设施安全管理制度；⑦安全生产风险分级管理控制制度；⑧危险源管理制度；⑨安全生产应急管理和事故报告处理制度；⑩危险作业、特种作业人员、劳动防护用品管理制度；⑪法律法规规定的其他</w:t>
            </w:r>
            <w:r>
              <w:rPr>
                <w:rFonts w:hint="eastAsia" w:ascii="宋体" w:hAnsi="宋体" w:cs="宋体"/>
                <w:color w:val="auto"/>
                <w:kern w:val="0"/>
                <w:sz w:val="21"/>
                <w:szCs w:val="21"/>
                <w:lang w:val="zh-CN"/>
              </w:rPr>
              <w:t>安全生产制度。</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《云南省安全生产条例》（已由云南省第十二届人民代表大会常务委员会第三十八次会议于2017年11月30日修订通过）第</w:t>
            </w:r>
            <w:r>
              <w:rPr>
                <w:rFonts w:hint="eastAsia" w:cs="宋体"/>
                <w:kern w:val="0"/>
                <w:sz w:val="21"/>
                <w:szCs w:val="21"/>
                <w:lang w:val="zh-CN"/>
              </w:rPr>
              <w:t>十八条</w:t>
            </w:r>
          </w:p>
        </w:tc>
        <w:tc>
          <w:tcPr>
            <w:tcW w:w="1386" w:type="pct"/>
            <w:shd w:val="clear" w:color="auto" w:fill="FEFEFE"/>
            <w:vAlign w:val="center"/>
          </w:tcPr>
          <w:p>
            <w:pPr>
              <w:autoSpaceDE w:val="0"/>
              <w:autoSpaceDN w:val="0"/>
              <w:spacing w:line="240" w:lineRule="auto"/>
              <w:ind w:firstLine="210" w:firstLineChars="100"/>
              <w:jc w:val="left"/>
              <w:rPr>
                <w:rFonts w:hint="default" w:cs="宋体"/>
                <w:kern w:val="0"/>
                <w:sz w:val="21"/>
                <w:szCs w:val="21"/>
                <w:lang w:val="en-US"/>
              </w:rPr>
            </w:pPr>
            <w:r>
              <w:rPr>
                <w:rFonts w:hint="eastAsia" w:cs="宋体"/>
                <w:kern w:val="0"/>
                <w:sz w:val="21"/>
                <w:szCs w:val="21"/>
              </w:rPr>
              <w:t>企业制定了相应的安全</w:t>
            </w:r>
            <w:r>
              <w:rPr>
                <w:rFonts w:hint="eastAsia" w:cs="宋体"/>
                <w:kern w:val="0"/>
                <w:sz w:val="21"/>
                <w:szCs w:val="21"/>
                <w:lang w:val="en-US" w:eastAsia="zh-CN"/>
              </w:rPr>
              <w:t>生产责任制</w:t>
            </w:r>
            <w:r>
              <w:rPr>
                <w:rFonts w:hint="eastAsia" w:cs="宋体"/>
                <w:kern w:val="0"/>
                <w:sz w:val="21"/>
                <w:szCs w:val="21"/>
              </w:rPr>
              <w:t>、安全培训</w:t>
            </w:r>
            <w:r>
              <w:rPr>
                <w:rFonts w:hint="eastAsia" w:cs="宋体"/>
                <w:kern w:val="0"/>
                <w:sz w:val="21"/>
                <w:szCs w:val="21"/>
                <w:lang w:eastAsia="zh-CN"/>
              </w:rPr>
              <w:t>、</w:t>
            </w:r>
            <w:r>
              <w:rPr>
                <w:rFonts w:hint="eastAsia" w:cs="宋体"/>
                <w:kern w:val="0"/>
                <w:sz w:val="21"/>
                <w:szCs w:val="21"/>
              </w:rPr>
              <w:t>教育制度、安全劳动防护用品（具）</w:t>
            </w:r>
            <w:r>
              <w:rPr>
                <w:rFonts w:hint="eastAsia" w:cs="宋体"/>
                <w:kern w:val="0"/>
                <w:sz w:val="21"/>
                <w:szCs w:val="21"/>
                <w:lang w:val="en-US" w:eastAsia="zh-CN"/>
              </w:rPr>
              <w:t>和保健品管理制度</w:t>
            </w:r>
            <w:r>
              <w:rPr>
                <w:rFonts w:hint="eastAsia" w:cs="宋体"/>
                <w:kern w:val="0"/>
                <w:sz w:val="21"/>
                <w:szCs w:val="21"/>
              </w:rPr>
              <w:t>以及其他相应的安全管理制度。</w:t>
            </w:r>
            <w:r>
              <w:rPr>
                <w:rFonts w:hint="eastAsia" w:ascii="宋体" w:hAnsi="宋体"/>
                <w:color w:val="auto"/>
                <w:sz w:val="21"/>
                <w:szCs w:val="21"/>
                <w:lang w:val="en-US" w:eastAsia="zh-CN"/>
              </w:rPr>
              <w:t>详见报告F6.25。</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8</w:t>
            </w:r>
          </w:p>
        </w:tc>
        <w:tc>
          <w:tcPr>
            <w:tcW w:w="1993" w:type="pct"/>
            <w:shd w:val="clear" w:color="auto" w:fill="FEFEFE"/>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危险化学品安全管理，应当坚持安全第一、预防为主、综合治理的方针，强化和落实企业的主体责任。</w:t>
            </w:r>
          </w:p>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生产、储存、使用、经营、运输危险化学品的单位（以下统称危险化学品单位）的主要负责人对本单位的危险化学品安全管理工作全面负责。</w:t>
            </w:r>
          </w:p>
          <w:p>
            <w:pPr>
              <w:pStyle w:val="32"/>
              <w:shd w:val="clear" w:color="auto" w:fill="FFFFFF"/>
              <w:spacing w:line="240" w:lineRule="auto"/>
              <w:ind w:firstLine="198" w:firstLineChars="100"/>
              <w:rPr>
                <w:rFonts w:ascii="宋体" w:eastAsia="宋体" w:cs="宋体"/>
                <w:color w:val="auto"/>
                <w:sz w:val="21"/>
                <w:szCs w:val="21"/>
              </w:rPr>
            </w:pPr>
            <w:r>
              <w:rPr>
                <w:rFonts w:hint="eastAsia" w:ascii="宋体" w:eastAsia="宋体" w:cs="宋体"/>
                <w:color w:val="333333"/>
                <w:spacing w:val="-6"/>
                <w:sz w:val="21"/>
                <w:szCs w:val="21"/>
                <w:shd w:val="clear" w:color="auto" w:fill="FFFFFF"/>
              </w:rPr>
              <w:t>危险化学品单位应当具备法律、行政法规规定和国家标准、行业标准要求的安全条件，建立、健全安全管理规章制度和岗位安全责任制度，对从业人员进行安全教育、法制教育和岗位技术培训。从业人员应当接受教育和培训，考核合格后上岗作业；对有资格要求的岗位，应当配备依法取得相应资格的人员。</w:t>
            </w:r>
          </w:p>
        </w:tc>
        <w:tc>
          <w:tcPr>
            <w:tcW w:w="930" w:type="pct"/>
            <w:shd w:val="clear" w:color="auto" w:fill="FEFEFE"/>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color w:val="000000" w:themeColor="text1"/>
                <w:sz w:val="21"/>
                <w:szCs w:val="21"/>
              </w:rPr>
              <w:t>《危险化学品安全管理条例》（国务院令第344号公布，第591号第一次修正，第645号第二次修正）第4条</w:t>
            </w:r>
          </w:p>
        </w:tc>
        <w:tc>
          <w:tcPr>
            <w:tcW w:w="1386" w:type="pct"/>
            <w:shd w:val="clear" w:color="auto" w:fill="FEFEFE"/>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cs="宋体"/>
                <w:kern w:val="0"/>
                <w:sz w:val="21"/>
                <w:szCs w:val="21"/>
              </w:rPr>
              <w:t>企业根据生产情况制定了安全标准化制度汇编，严格按制度执行。</w:t>
            </w:r>
            <w:r>
              <w:rPr>
                <w:rFonts w:hint="eastAsia" w:ascii="宋体" w:hAnsi="宋体" w:cs="宋体"/>
                <w:color w:val="auto"/>
                <w:sz w:val="21"/>
                <w:szCs w:val="21"/>
                <w:shd w:val="clear" w:color="auto" w:fill="FFFFFF"/>
              </w:rPr>
              <w:t>详见</w:t>
            </w:r>
            <w:r>
              <w:rPr>
                <w:rFonts w:hint="eastAsia" w:ascii="宋体" w:hAnsi="宋体" w:cs="宋体"/>
                <w:color w:val="auto"/>
                <w:sz w:val="21"/>
                <w:szCs w:val="21"/>
                <w:shd w:val="clear" w:color="auto" w:fill="FFFFFF"/>
                <w:lang w:val="en-US" w:eastAsia="zh-CN"/>
              </w:rPr>
              <w:t>报告</w:t>
            </w:r>
            <w:r>
              <w:rPr>
                <w:rFonts w:hint="eastAsia" w:ascii="宋体" w:hAnsi="宋体" w:cs="宋体"/>
                <w:color w:val="auto"/>
                <w:sz w:val="21"/>
                <w:szCs w:val="21"/>
                <w:shd w:val="clear" w:color="auto" w:fill="FFFFFF"/>
                <w:lang w:eastAsia="zh-CN"/>
              </w:rPr>
              <w:t>F</w:t>
            </w:r>
            <w:r>
              <w:rPr>
                <w:rFonts w:hint="eastAsia" w:ascii="宋体" w:hAnsi="宋体" w:cs="宋体"/>
                <w:color w:val="auto"/>
                <w:sz w:val="21"/>
                <w:szCs w:val="21"/>
                <w:shd w:val="clear" w:color="auto" w:fill="FFFFFF"/>
              </w:rPr>
              <w:t>6.</w:t>
            </w:r>
            <w:r>
              <w:rPr>
                <w:rFonts w:hint="eastAsia" w:ascii="宋体" w:hAnsi="宋体" w:cs="宋体"/>
                <w:color w:val="auto"/>
                <w:sz w:val="21"/>
                <w:szCs w:val="21"/>
                <w:shd w:val="clear" w:color="auto" w:fill="FFFFFF"/>
                <w:lang w:val="en-US" w:eastAsia="zh-CN"/>
              </w:rPr>
              <w:t>25</w:t>
            </w:r>
            <w:r>
              <w:rPr>
                <w:rFonts w:hint="eastAsia" w:ascii="宋体" w:hAnsi="宋体" w:cs="宋体"/>
                <w:color w:val="auto"/>
                <w:sz w:val="21"/>
                <w:szCs w:val="21"/>
                <w:shd w:val="clear" w:color="auto" w:fill="FFFFFF"/>
              </w:rPr>
              <w:t>。</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建立安全教育、培训制度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w:t>
            </w:r>
          </w:p>
        </w:tc>
        <w:tc>
          <w:tcPr>
            <w:tcW w:w="1993"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生产经营单位的主要负责人和安全生产管理人员必须具备与本单位所从事的生产经营活动相应的安全生产知识和管理能力。</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安全生产法》（中华人民共和国主席令第88号）第27条；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公司主要负责人</w:t>
            </w:r>
            <w:r>
              <w:rPr>
                <w:rFonts w:hint="eastAsia" w:ascii="宋体" w:hAnsi="宋体" w:cs="宋体"/>
                <w:color w:val="auto"/>
                <w:sz w:val="21"/>
                <w:szCs w:val="21"/>
                <w:shd w:val="clear" w:color="auto" w:fill="FFFFFF"/>
              </w:rPr>
              <w:t>和安全生产管理人员有</w:t>
            </w:r>
            <w:r>
              <w:rPr>
                <w:rFonts w:hint="eastAsia" w:ascii="宋体" w:hAnsi="宋体" w:cs="宋体"/>
                <w:color w:val="auto"/>
                <w:sz w:val="21"/>
                <w:szCs w:val="21"/>
              </w:rPr>
              <w:t>安全生产知识和管理能力考核合格证。</w:t>
            </w:r>
            <w:r>
              <w:rPr>
                <w:rFonts w:hint="eastAsia" w:ascii="宋体" w:hAnsi="宋体" w:cs="宋体"/>
                <w:color w:val="auto"/>
                <w:sz w:val="21"/>
                <w:szCs w:val="21"/>
                <w:shd w:val="clear" w:color="auto" w:fill="FFFFFF"/>
              </w:rPr>
              <w:t>详见</w:t>
            </w:r>
            <w:r>
              <w:rPr>
                <w:rFonts w:hint="eastAsia" w:ascii="宋体" w:hAnsi="宋体" w:cs="宋体"/>
                <w:color w:val="auto"/>
                <w:sz w:val="21"/>
                <w:szCs w:val="21"/>
                <w:shd w:val="clear" w:color="auto" w:fill="FFFFFF"/>
                <w:lang w:val="en-US" w:eastAsia="zh-CN"/>
              </w:rPr>
              <w:t>报告</w:t>
            </w:r>
            <w:r>
              <w:rPr>
                <w:rFonts w:hint="eastAsia" w:ascii="宋体" w:hAnsi="宋体" w:cs="宋体"/>
                <w:color w:val="auto"/>
                <w:sz w:val="21"/>
                <w:szCs w:val="21"/>
                <w:shd w:val="clear" w:color="auto" w:fill="FFFFFF"/>
                <w:lang w:eastAsia="zh-CN"/>
              </w:rPr>
              <w:t>F</w:t>
            </w:r>
            <w:r>
              <w:rPr>
                <w:rFonts w:hint="eastAsia" w:ascii="宋体" w:hAnsi="宋体" w:cs="宋体"/>
                <w:color w:val="auto"/>
                <w:sz w:val="21"/>
                <w:szCs w:val="21"/>
                <w:shd w:val="clear" w:color="auto" w:fill="FFFFFF"/>
              </w:rPr>
              <w:t>6.</w:t>
            </w:r>
            <w:r>
              <w:rPr>
                <w:rFonts w:hint="eastAsia" w:ascii="宋体" w:hAnsi="宋体" w:cs="宋体"/>
                <w:color w:val="auto"/>
                <w:sz w:val="21"/>
                <w:szCs w:val="21"/>
                <w:shd w:val="clear" w:color="auto" w:fill="FFFFFF"/>
                <w:lang w:val="en-US" w:eastAsia="zh-CN"/>
              </w:rPr>
              <w:t>10、6.11</w:t>
            </w:r>
            <w:r>
              <w:rPr>
                <w:rFonts w:hint="eastAsia" w:ascii="宋体" w:hAnsi="宋体" w:cs="宋体"/>
                <w:color w:val="auto"/>
                <w:sz w:val="21"/>
                <w:szCs w:val="21"/>
                <w:shd w:val="clear" w:color="auto" w:fill="FFFFFF"/>
              </w:rPr>
              <w:t>。</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2</w:t>
            </w:r>
          </w:p>
        </w:tc>
        <w:tc>
          <w:tcPr>
            <w:tcW w:w="1993"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生产经营单位应当对从业人员进行安全生产教育和培训，保证从业人员具备必要的安全生产知识，熟悉有关的安全生产规章制度和</w:t>
            </w:r>
            <w:r>
              <w:fldChar w:fldCharType="begin"/>
            </w:r>
            <w:r>
              <w:instrText xml:space="preserve"> HYPERLINK "https://baike.sogou.com/lemma/ShowInnerLink.htm?lemmaId=46113114&amp;ss_c=ssc.citiao.link" \t "https://baike.sogou.com/_blank" </w:instrText>
            </w:r>
            <w:r>
              <w:fldChar w:fldCharType="separate"/>
            </w:r>
            <w:r>
              <w:rPr>
                <w:rStyle w:val="47"/>
                <w:rFonts w:hint="eastAsia" w:ascii="宋体" w:hAnsi="宋体" w:cs="宋体"/>
                <w:color w:val="auto"/>
                <w:sz w:val="21"/>
                <w:szCs w:val="21"/>
                <w:shd w:val="clear" w:color="auto" w:fill="FFFFFF"/>
              </w:rPr>
              <w:t>安全操作规程</w:t>
            </w:r>
            <w:r>
              <w:rPr>
                <w:rStyle w:val="47"/>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，掌握本岗位的安全操作技能，了解事故应急处理措施，知悉自身在安全生产方面的权利和义务。未经安全生产教育和培训合格的从业人员，不得上岗作业。</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安全生产法》（中华人民共和国主席令第88号）第28条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公司“安全培训</w:t>
            </w:r>
            <w:r>
              <w:rPr>
                <w:rFonts w:hint="eastAsia" w:ascii="宋体" w:hAnsi="宋体" w:cs="宋体"/>
                <w:color w:val="auto"/>
                <w:sz w:val="21"/>
                <w:szCs w:val="21"/>
                <w:lang w:eastAsia="zh-CN"/>
              </w:rPr>
              <w:t>、</w:t>
            </w:r>
            <w:r>
              <w:rPr>
                <w:rFonts w:hint="eastAsia" w:ascii="宋体" w:hAnsi="宋体" w:cs="宋体"/>
                <w:color w:val="auto"/>
                <w:sz w:val="21"/>
                <w:szCs w:val="21"/>
              </w:rPr>
              <w:t>教育制度”作了相应规定。</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3</w:t>
            </w:r>
          </w:p>
        </w:tc>
        <w:tc>
          <w:tcPr>
            <w:tcW w:w="1993"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生产经营单位采用新工艺、新技术、新材料或者使用新设备，必须了解、掌握其安全技术特性，采取有效的安全防护措施，并对从业人员进行专门的安全生产教育和培训。</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安全生产法》（中华人民共和国主席令第88号）第29条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公司“安全培训</w:t>
            </w:r>
            <w:r>
              <w:rPr>
                <w:rFonts w:hint="eastAsia" w:ascii="宋体" w:hAnsi="宋体" w:cs="宋体"/>
                <w:color w:val="auto"/>
                <w:sz w:val="21"/>
                <w:szCs w:val="21"/>
                <w:lang w:eastAsia="zh-CN"/>
              </w:rPr>
              <w:t>、</w:t>
            </w:r>
            <w:r>
              <w:rPr>
                <w:rFonts w:hint="eastAsia" w:ascii="宋体" w:hAnsi="宋体" w:cs="宋体"/>
                <w:color w:val="auto"/>
                <w:sz w:val="21"/>
                <w:szCs w:val="21"/>
              </w:rPr>
              <w:t>教育制度”作了相应规定。</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4</w:t>
            </w:r>
          </w:p>
        </w:tc>
        <w:tc>
          <w:tcPr>
            <w:tcW w:w="1993"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生产经营单位的</w:t>
            </w:r>
            <w:r>
              <w:rPr>
                <w:u w:val="none"/>
              </w:rPr>
              <w:fldChar w:fldCharType="begin"/>
            </w:r>
            <w:r>
              <w:rPr>
                <w:u w:val="none"/>
              </w:rPr>
              <w:instrText xml:space="preserve"> HYPERLINK "https://baike.sogou.com/lemma/ShowInnerLink.htm?lemmaId=34571610&amp;ss_c=ssc.citiao.link" \t "https://baike.sogou.com/_blank" </w:instrText>
            </w:r>
            <w:r>
              <w:rPr>
                <w:u w:val="none"/>
              </w:rPr>
              <w:fldChar w:fldCharType="separate"/>
            </w:r>
            <w:r>
              <w:rPr>
                <w:rStyle w:val="47"/>
                <w:rFonts w:hint="eastAsia" w:ascii="宋体" w:hAnsi="宋体" w:cs="宋体"/>
                <w:color w:val="auto"/>
                <w:sz w:val="21"/>
                <w:szCs w:val="21"/>
                <w:u w:val="none"/>
                <w:shd w:val="clear" w:color="auto" w:fill="FFFFFF"/>
              </w:rPr>
              <w:t>特种作业人员</w:t>
            </w:r>
            <w:r>
              <w:rPr>
                <w:rStyle w:val="47"/>
                <w:rFonts w:hint="eastAsia" w:ascii="宋体" w:hAnsi="宋体" w:cs="宋体"/>
                <w:color w:val="auto"/>
                <w:sz w:val="21"/>
                <w:szCs w:val="21"/>
                <w:u w:val="none"/>
                <w:shd w:val="clear" w:color="auto" w:fill="FFFFFF"/>
              </w:rPr>
              <w:fldChar w:fldCharType="end"/>
            </w:r>
            <w:r>
              <w:rPr>
                <w:rFonts w:hint="eastAsia" w:ascii="宋体" w:hAnsi="宋体" w:cs="宋体"/>
                <w:color w:val="auto"/>
                <w:sz w:val="21"/>
                <w:szCs w:val="21"/>
                <w:shd w:val="clear" w:color="auto" w:fill="FFFFFF"/>
              </w:rPr>
              <w:t>必须按照国家有关规定经专门的安全作业培训，取得相应资格，方可上岗作业。</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安全生产法》（中华人民共和国主席令第88号）第30条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特种作业人员按要求培训并取证。</w:t>
            </w:r>
            <w:r>
              <w:rPr>
                <w:rFonts w:hint="eastAsia" w:ascii="宋体" w:hAnsi="宋体" w:cs="宋体"/>
                <w:color w:val="auto"/>
                <w:sz w:val="21"/>
                <w:szCs w:val="21"/>
                <w:shd w:val="clear" w:color="auto" w:fill="FFFFFF"/>
              </w:rPr>
              <w:t>详见</w:t>
            </w:r>
            <w:r>
              <w:rPr>
                <w:rFonts w:hint="eastAsia" w:ascii="宋体" w:hAnsi="宋体" w:cs="宋体"/>
                <w:color w:val="auto"/>
                <w:sz w:val="21"/>
                <w:szCs w:val="21"/>
                <w:shd w:val="clear" w:color="auto" w:fill="FFFFFF"/>
                <w:lang w:val="en-US" w:eastAsia="zh-CN"/>
              </w:rPr>
              <w:t>报告</w:t>
            </w:r>
            <w:r>
              <w:rPr>
                <w:rFonts w:hint="eastAsia" w:ascii="宋体" w:hAnsi="宋体" w:cs="宋体"/>
                <w:color w:val="auto"/>
                <w:sz w:val="21"/>
                <w:szCs w:val="21"/>
                <w:shd w:val="clear" w:color="auto" w:fill="FFFFFF"/>
                <w:lang w:eastAsia="zh-CN"/>
              </w:rPr>
              <w:t>F</w:t>
            </w:r>
            <w:r>
              <w:rPr>
                <w:rFonts w:hint="eastAsia" w:ascii="宋体" w:hAnsi="宋体" w:cs="宋体"/>
                <w:color w:val="auto"/>
                <w:sz w:val="21"/>
                <w:szCs w:val="21"/>
                <w:shd w:val="clear" w:color="auto" w:fill="FFFFFF"/>
              </w:rPr>
              <w:t>6.</w:t>
            </w:r>
            <w:r>
              <w:rPr>
                <w:rFonts w:hint="eastAsia" w:ascii="宋体" w:hAnsi="宋体" w:cs="宋体"/>
                <w:color w:val="auto"/>
                <w:sz w:val="21"/>
                <w:szCs w:val="21"/>
                <w:shd w:val="clear" w:color="auto" w:fill="FFFFFF"/>
                <w:lang w:val="en-US" w:eastAsia="zh-CN"/>
              </w:rPr>
              <w:t>12</w:t>
            </w:r>
            <w:r>
              <w:rPr>
                <w:rFonts w:hint="eastAsia" w:ascii="宋体" w:hAnsi="宋体" w:cs="宋体"/>
                <w:color w:val="auto"/>
                <w:sz w:val="21"/>
                <w:szCs w:val="21"/>
                <w:shd w:val="clear" w:color="auto" w:fill="FFFFFF"/>
              </w:rPr>
              <w:t>。</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5</w:t>
            </w:r>
          </w:p>
        </w:tc>
        <w:tc>
          <w:tcPr>
            <w:tcW w:w="1993"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生产经营单位主要负责人和安全生产管理人员应当接受安全培训，具备与所从事的生产经营活动相适应的安全生产知识和管理能力。</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《生产经营单位安全培训规定》（国家安监总局令第3号）第六条</w:t>
            </w:r>
          </w:p>
        </w:tc>
        <w:tc>
          <w:tcPr>
            <w:tcW w:w="1386"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公司主要负责人、安全生产管理人员已经过安全教育培训，并取得相应上岗资格证书。</w:t>
            </w:r>
            <w:r>
              <w:rPr>
                <w:rFonts w:hint="eastAsia" w:ascii="宋体" w:hAnsi="宋体" w:cs="宋体"/>
                <w:color w:val="auto"/>
                <w:sz w:val="21"/>
                <w:szCs w:val="21"/>
                <w:shd w:val="clear" w:color="auto" w:fill="FFFFFF"/>
              </w:rPr>
              <w:t>详见</w:t>
            </w:r>
            <w:r>
              <w:rPr>
                <w:rFonts w:hint="eastAsia" w:ascii="宋体" w:hAnsi="宋体" w:cs="宋体"/>
                <w:color w:val="auto"/>
                <w:sz w:val="21"/>
                <w:szCs w:val="21"/>
                <w:shd w:val="clear" w:color="auto" w:fill="FFFFFF"/>
                <w:lang w:val="en-US" w:eastAsia="zh-CN"/>
              </w:rPr>
              <w:t>报告</w:t>
            </w:r>
            <w:r>
              <w:rPr>
                <w:rFonts w:hint="eastAsia" w:ascii="宋体" w:hAnsi="宋体" w:cs="宋体"/>
                <w:color w:val="auto"/>
                <w:sz w:val="21"/>
                <w:szCs w:val="21"/>
                <w:shd w:val="clear" w:color="auto" w:fill="FFFFFF"/>
                <w:lang w:eastAsia="zh-CN"/>
              </w:rPr>
              <w:t>F</w:t>
            </w:r>
            <w:r>
              <w:rPr>
                <w:rFonts w:hint="eastAsia" w:ascii="宋体" w:hAnsi="宋体" w:cs="宋体"/>
                <w:color w:val="auto"/>
                <w:sz w:val="21"/>
                <w:szCs w:val="21"/>
                <w:shd w:val="clear" w:color="auto" w:fill="FFFFFF"/>
              </w:rPr>
              <w:t>6.</w:t>
            </w:r>
            <w:r>
              <w:rPr>
                <w:rFonts w:hint="eastAsia" w:ascii="宋体" w:hAnsi="宋体" w:cs="宋体"/>
                <w:color w:val="auto"/>
                <w:sz w:val="21"/>
                <w:szCs w:val="21"/>
                <w:shd w:val="clear" w:color="auto" w:fill="FFFFFF"/>
                <w:lang w:val="en-US" w:eastAsia="zh-CN"/>
              </w:rPr>
              <w:t>10、6.11</w:t>
            </w:r>
            <w:r>
              <w:rPr>
                <w:rFonts w:hint="eastAsia" w:ascii="宋体" w:hAnsi="宋体" w:cs="宋体"/>
                <w:color w:val="auto"/>
                <w:sz w:val="21"/>
                <w:szCs w:val="21"/>
                <w:shd w:val="clear" w:color="auto" w:fill="FFFFFF"/>
              </w:rPr>
              <w:t>。</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6</w:t>
            </w:r>
          </w:p>
        </w:tc>
        <w:tc>
          <w:tcPr>
            <w:tcW w:w="1993"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kern w:val="0"/>
                <w:sz w:val="21"/>
                <w:szCs w:val="21"/>
              </w:rPr>
              <w:t>锅炉、压力容器、电梯、起重机械、客运索道、大型游乐设施、场（厂）内专用机动车辆的作业人员及其相关管理人员（以下统称特种设备作业人员），应当按照国家有关规定经特种设备安全监督管理部门</w:t>
            </w:r>
            <w:r>
              <w:rPr>
                <w:rFonts w:hint="eastAsia" w:ascii="宋体" w:hAnsi="宋体" w:cs="宋体"/>
                <w:color w:val="auto"/>
                <w:kern w:val="0"/>
                <w:sz w:val="21"/>
                <w:szCs w:val="21"/>
                <w:lang w:val="zh-CN"/>
              </w:rPr>
              <w:t>考核合格，取得国家统一格式的特种作业人员证书，方可从事相应的作业或者管理工作。</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《特种设备安全监察条例》（国务院令第594号）第三十八条</w:t>
            </w:r>
          </w:p>
        </w:tc>
        <w:tc>
          <w:tcPr>
            <w:tcW w:w="1386"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该项目涉及的特种作业人员持证上岗。详</w:t>
            </w:r>
            <w:r>
              <w:rPr>
                <w:rFonts w:hint="eastAsia" w:ascii="宋体" w:hAnsi="宋体" w:cs="宋体"/>
                <w:color w:val="auto"/>
                <w:sz w:val="21"/>
                <w:szCs w:val="21"/>
              </w:rPr>
              <w:t>见</w:t>
            </w:r>
            <w:r>
              <w:rPr>
                <w:rFonts w:hint="eastAsia"/>
                <w:sz w:val="21"/>
                <w:szCs w:val="21"/>
                <w:lang w:val="en-US" w:eastAsia="zh-CN"/>
              </w:rPr>
              <w:t>报告F</w:t>
            </w:r>
            <w:r>
              <w:rPr>
                <w:rFonts w:hint="eastAsia" w:ascii="宋体" w:hAnsi="宋体" w:cs="宋体"/>
                <w:color w:val="auto"/>
                <w:sz w:val="21"/>
                <w:szCs w:val="21"/>
              </w:rPr>
              <w:t>6.</w:t>
            </w:r>
            <w:r>
              <w:rPr>
                <w:rFonts w:hint="eastAsia" w:ascii="宋体" w:hAnsi="宋体" w:cs="宋体"/>
                <w:color w:val="auto"/>
                <w:sz w:val="21"/>
                <w:szCs w:val="21"/>
                <w:lang w:val="en-US" w:eastAsia="zh-CN"/>
              </w:rPr>
              <w:t>12</w:t>
            </w:r>
            <w:r>
              <w:rPr>
                <w:rFonts w:hint="eastAsia" w:ascii="宋体" w:hAnsi="宋体" w:cs="宋体"/>
                <w:color w:val="auto"/>
                <w:sz w:val="21"/>
                <w:szCs w:val="21"/>
              </w:rPr>
              <w:t>。</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7</w:t>
            </w:r>
          </w:p>
        </w:tc>
        <w:tc>
          <w:tcPr>
            <w:tcW w:w="1993"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sz w:val="21"/>
                <w:szCs w:val="21"/>
                <w:shd w:val="clear" w:color="auto" w:fill="FFFFFF"/>
              </w:rPr>
              <w:t>企业主要负责人、分管</w:t>
            </w:r>
            <w:r>
              <w:fldChar w:fldCharType="begin"/>
            </w:r>
            <w:r>
              <w:instrText xml:space="preserve"> HYPERLINK "https://baike.sogou.com/lemma/ShowInnerLink.htm?lemmaId=75900541&amp;ss_c=ssc.citiao.link" \t "https://baike.sogou.com/_blank" </w:instrText>
            </w:r>
            <w:r>
              <w:fldChar w:fldCharType="separate"/>
            </w:r>
            <w:r>
              <w:rPr>
                <w:rStyle w:val="47"/>
                <w:rFonts w:hint="eastAsia" w:ascii="宋体" w:hAnsi="宋体" w:cs="宋体"/>
                <w:color w:val="auto"/>
                <w:sz w:val="21"/>
                <w:szCs w:val="21"/>
                <w:shd w:val="clear" w:color="auto" w:fill="FFFFFF"/>
              </w:rPr>
              <w:t>安全负责人</w:t>
            </w:r>
            <w:r>
              <w:rPr>
                <w:rStyle w:val="47"/>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和安全生产管理人员必须具备与其从事的生产经营活动相适应的安全生产知识和管理能力，依法参加安全生产培训，并经考核合格，取得安全合格证书。</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spacing w:val="-6"/>
                <w:kern w:val="0"/>
                <w:sz w:val="21"/>
                <w:szCs w:val="21"/>
              </w:rPr>
              <w:t>《危险化学品生产企业安全生产许可证实施办法》（国家安全生产监督管理总局41号令）第16条</w:t>
            </w:r>
          </w:p>
        </w:tc>
        <w:tc>
          <w:tcPr>
            <w:tcW w:w="1386"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ascii="宋体" w:hAnsi="宋体" w:cs="宋体"/>
                <w:color w:val="auto"/>
                <w:sz w:val="21"/>
                <w:szCs w:val="21"/>
                <w:shd w:val="clear" w:color="auto" w:fill="FFFFFF"/>
              </w:rPr>
              <w:t>企业主要负责人、</w:t>
            </w:r>
            <w:r>
              <w:rPr>
                <w:rFonts w:hint="eastAsia" w:cs="宋体"/>
                <w:kern w:val="0"/>
                <w:sz w:val="21"/>
                <w:szCs w:val="21"/>
              </w:rPr>
              <w:t>专职安全员均已取得安全资格证书。</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8</w:t>
            </w:r>
          </w:p>
        </w:tc>
        <w:tc>
          <w:tcPr>
            <w:tcW w:w="1993" w:type="pct"/>
            <w:shd w:val="clear" w:color="auto" w:fill="FEFEFE"/>
            <w:vAlign w:val="center"/>
          </w:tcPr>
          <w:p>
            <w:pPr>
              <w:autoSpaceDE w:val="0"/>
              <w:autoSpaceDN w:val="0"/>
              <w:spacing w:line="240" w:lineRule="auto"/>
              <w:ind w:firstLine="210" w:firstLineChars="100"/>
              <w:jc w:val="left"/>
              <w:rPr>
                <w:rFonts w:ascii="宋体" w:hAnsi="宋体" w:cs="宋体"/>
                <w:color w:val="auto"/>
                <w:kern w:val="0"/>
                <w:sz w:val="21"/>
                <w:szCs w:val="21"/>
              </w:rPr>
            </w:pPr>
            <w:r>
              <w:rPr>
                <w:rFonts w:hint="eastAsia" w:ascii="宋体" w:hAnsi="宋体" w:cs="宋体"/>
                <w:color w:val="auto"/>
                <w:sz w:val="21"/>
                <w:szCs w:val="21"/>
                <w:shd w:val="clear" w:color="auto" w:fill="FFFFFF"/>
              </w:rPr>
              <w:t>特种作业人员应当依照《</w:t>
            </w:r>
            <w:r>
              <w:fldChar w:fldCharType="begin"/>
            </w:r>
            <w:r>
              <w:instrText xml:space="preserve"> HYPERLINK "https://baike.sogou.com/lemma/ShowInnerLink.htm?lemmaId=63555817&amp;ss_c=ssc.citiao.link" \t "https://baike.sogou.com/_blank" </w:instrText>
            </w:r>
            <w:r>
              <w:fldChar w:fldCharType="separate"/>
            </w:r>
            <w:r>
              <w:rPr>
                <w:rStyle w:val="47"/>
                <w:rFonts w:hint="eastAsia" w:ascii="宋体" w:hAnsi="宋体" w:cs="宋体"/>
                <w:color w:val="auto"/>
                <w:sz w:val="21"/>
                <w:szCs w:val="21"/>
                <w:shd w:val="clear" w:color="auto" w:fill="FFFFFF"/>
              </w:rPr>
              <w:t>特种作业人员安全技术培训考核管理规定</w:t>
            </w:r>
            <w:r>
              <w:rPr>
                <w:rStyle w:val="47"/>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》，经专门的安全技术培训并考核合格，取得特种作业操作证书。</w:t>
            </w:r>
          </w:p>
        </w:tc>
        <w:tc>
          <w:tcPr>
            <w:tcW w:w="930" w:type="pct"/>
            <w:shd w:val="clear" w:color="auto" w:fill="FEFEFE"/>
            <w:vAlign w:val="center"/>
          </w:tcPr>
          <w:p>
            <w:pPr>
              <w:autoSpaceDE w:val="0"/>
              <w:autoSpaceDN w:val="0"/>
              <w:spacing w:line="240" w:lineRule="auto"/>
              <w:ind w:firstLine="0" w:firstLineChars="0"/>
              <w:jc w:val="center"/>
              <w:rPr>
                <w:rFonts w:cs="宋体"/>
                <w:kern w:val="0"/>
                <w:sz w:val="21"/>
                <w:szCs w:val="21"/>
              </w:rPr>
            </w:pPr>
            <w:r>
              <w:rPr>
                <w:rFonts w:hint="eastAsia" w:cs="宋体"/>
                <w:spacing w:val="-6"/>
                <w:kern w:val="0"/>
                <w:sz w:val="21"/>
                <w:szCs w:val="21"/>
              </w:rPr>
              <w:t>《危险化学品生产企业安全生产许可证实施办法》（国家安全生产监督管理总局41号令）第16条</w:t>
            </w:r>
          </w:p>
        </w:tc>
        <w:tc>
          <w:tcPr>
            <w:tcW w:w="1386" w:type="pct"/>
            <w:shd w:val="clear" w:color="auto" w:fill="FEFEFE"/>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跃进化工涉及的特种作业人员持证上岗。</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9</w:t>
            </w:r>
          </w:p>
        </w:tc>
        <w:tc>
          <w:tcPr>
            <w:tcW w:w="1993" w:type="pct"/>
            <w:shd w:val="clear" w:color="auto" w:fill="FEFEFE"/>
            <w:vAlign w:val="center"/>
          </w:tcPr>
          <w:p>
            <w:pPr>
              <w:pStyle w:val="32"/>
              <w:shd w:val="clear" w:color="auto" w:fill="FAFBFD"/>
              <w:wordWrap w:val="0"/>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AFBFD"/>
              </w:rPr>
              <w:t>生产经营单位应当按照有关规定对从业人员、被派遣劳动者和实习人员，以及离岗后重新上岗、换岗和采用新工艺、新技术、新材料或者使用新设备人员进行安全生产教育和培训。未经安全生产教育和培训合格的，不得安排上岗作业。</w:t>
            </w:r>
          </w:p>
          <w:p>
            <w:pPr>
              <w:pStyle w:val="32"/>
              <w:shd w:val="clear" w:color="auto" w:fill="FAFBFD"/>
              <w:wordWrap w:val="0"/>
              <w:spacing w:line="240" w:lineRule="auto"/>
              <w:ind w:firstLine="210" w:firstLineChars="100"/>
              <w:rPr>
                <w:rFonts w:ascii="宋体" w:eastAsia="宋体" w:cs="宋体"/>
                <w:color w:val="auto"/>
                <w:kern w:val="2"/>
                <w:sz w:val="21"/>
                <w:szCs w:val="21"/>
              </w:rPr>
            </w:pPr>
            <w:r>
              <w:rPr>
                <w:rFonts w:hint="eastAsia" w:ascii="宋体" w:eastAsia="宋体" w:cs="宋体"/>
                <w:color w:val="auto"/>
                <w:sz w:val="21"/>
                <w:szCs w:val="21"/>
                <w:shd w:val="clear" w:color="auto" w:fill="FAFBFD"/>
              </w:rPr>
              <w:t>生产经营单位应当建立安全生产教育和培训档案，如实记录安全生产教育和培训的时间、地点、内容、师资、参加人员、考核结果等情况。</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cs="宋体"/>
                <w:kern w:val="0"/>
                <w:sz w:val="21"/>
                <w:szCs w:val="21"/>
              </w:rPr>
              <w:t>《云南省安全生产条例》（已由云南省第十二届人民代表大会常务委员会第三十八次会议于2017年11月30日修订通过）第二</w:t>
            </w:r>
            <w:r>
              <w:rPr>
                <w:rFonts w:hint="eastAsia" w:cs="宋体"/>
                <w:kern w:val="0"/>
                <w:sz w:val="21"/>
                <w:szCs w:val="21"/>
                <w:lang w:val="zh-CN"/>
              </w:rPr>
              <w:t>十</w:t>
            </w:r>
            <w:r>
              <w:rPr>
                <w:rFonts w:hint="eastAsia" w:cs="宋体"/>
                <w:kern w:val="0"/>
                <w:sz w:val="21"/>
                <w:szCs w:val="21"/>
              </w:rPr>
              <w:t>二</w:t>
            </w:r>
            <w:r>
              <w:rPr>
                <w:rFonts w:hint="eastAsia" w:cs="宋体"/>
                <w:kern w:val="0"/>
                <w:sz w:val="21"/>
                <w:szCs w:val="21"/>
                <w:lang w:val="zh-CN"/>
              </w:rPr>
              <w:t>条</w:t>
            </w:r>
          </w:p>
        </w:tc>
        <w:tc>
          <w:tcPr>
            <w:tcW w:w="1386" w:type="pct"/>
            <w:shd w:val="clear" w:color="auto" w:fill="FEFEFE"/>
            <w:vAlign w:val="center"/>
          </w:tcPr>
          <w:p>
            <w:pPr>
              <w:spacing w:line="240" w:lineRule="auto"/>
              <w:ind w:firstLine="210" w:firstLineChars="100"/>
              <w:jc w:val="left"/>
              <w:rPr>
                <w:rFonts w:hint="default" w:ascii="宋体" w:hAnsi="宋体" w:cs="宋体"/>
                <w:color w:val="auto"/>
                <w:sz w:val="21"/>
                <w:szCs w:val="21"/>
                <w:lang w:val="en-US"/>
              </w:rPr>
            </w:pPr>
            <w:r>
              <w:rPr>
                <w:rFonts w:hint="eastAsia" w:cs="宋体"/>
                <w:kern w:val="0"/>
                <w:sz w:val="21"/>
                <w:szCs w:val="21"/>
              </w:rPr>
              <w:t>跃进化工建立了《安全培训</w:t>
            </w:r>
            <w:r>
              <w:rPr>
                <w:rFonts w:hint="eastAsia" w:cs="宋体"/>
                <w:kern w:val="0"/>
                <w:sz w:val="21"/>
                <w:szCs w:val="21"/>
                <w:lang w:eastAsia="zh-CN"/>
              </w:rPr>
              <w:t>、</w:t>
            </w:r>
            <w:r>
              <w:rPr>
                <w:rFonts w:hint="eastAsia" w:cs="宋体"/>
                <w:kern w:val="0"/>
                <w:sz w:val="21"/>
                <w:szCs w:val="21"/>
              </w:rPr>
              <w:t>教育制度》，并严格按制度执行。</w:t>
            </w:r>
            <w:r>
              <w:rPr>
                <w:rFonts w:hint="eastAsia" w:hAnsi="宋体" w:cs="宋体"/>
                <w:b w:val="0"/>
                <w:bCs w:val="0"/>
                <w:sz w:val="21"/>
                <w:szCs w:val="21"/>
                <w:u w:val="none" w:color="auto"/>
                <w:lang w:val="en-US" w:eastAsia="zh-CN"/>
              </w:rPr>
              <w:t>详见报告F6.38。</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5000" w:type="pct"/>
            <w:gridSpan w:val="5"/>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b/>
                <w:bCs/>
                <w:color w:val="auto"/>
                <w:sz w:val="21"/>
                <w:szCs w:val="21"/>
              </w:rPr>
              <w:t>安全生产检查制度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1</w:t>
            </w:r>
          </w:p>
        </w:tc>
        <w:tc>
          <w:tcPr>
            <w:tcW w:w="1993" w:type="pct"/>
            <w:shd w:val="clear" w:color="auto" w:fill="FEFEFE"/>
            <w:vAlign w:val="center"/>
          </w:tcPr>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生产经营单位的主要负责人对本单位安全生产工作负有下列职责:</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①建立健全并落实本单位全员安全生产责任制，加强安全生产标准化建设;</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②组织制定并实施本单位安全生产规章制度和操作规程;</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③组织制定并实施本单位安全生产教育和培训计划;</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④保证本单位安全生产投入的有效实施;</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⑤组织建立并落实安全风险分级管控和隐患排查治理双重预防工作机制，督促、检查本单位的安全生产工作，及时消除生产安全事故隐患;</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⑥组织制定并实施本单位的生产安全事故应急救援预案;</w:t>
            </w:r>
          </w:p>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⑦及时、如实报告生产安全事故。</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安全生产法》（中华人民共和国主席令第88号）第21条；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已开展相关工作。</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2</w:t>
            </w:r>
          </w:p>
        </w:tc>
        <w:tc>
          <w:tcPr>
            <w:tcW w:w="1993"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生产经营单位应当建立安全风险分级管控制度，按照安全风险分级采取相应的管控措施。</w:t>
            </w:r>
          </w:p>
          <w:p>
            <w:pPr>
              <w:pStyle w:val="32"/>
              <w:shd w:val="clear" w:color="auto" w:fill="FFFFFF"/>
              <w:spacing w:line="240" w:lineRule="auto"/>
              <w:ind w:firstLine="210" w:firstLineChars="100"/>
              <w:rPr>
                <w:rFonts w:ascii="宋体" w:eastAsia="宋体" w:cs="宋体"/>
                <w:color w:val="auto"/>
                <w:kern w:val="2"/>
                <w:sz w:val="21"/>
                <w:szCs w:val="21"/>
              </w:rPr>
            </w:pPr>
            <w:r>
              <w:rPr>
                <w:rFonts w:hint="eastAsia" w:ascii="宋体" w:eastAsia="宋体" w:cs="宋体"/>
                <w:color w:val="auto"/>
                <w:sz w:val="21"/>
                <w:szCs w:val="21"/>
                <w:shd w:val="clear" w:color="auto" w:fill="FFFFFF"/>
              </w:rPr>
              <w:t>生产经营单位应当建立健全并落实生产安全事故隐患排查治理制度，采取技术、管理措施，及时发现并消除事故隐患。事故隐患排查治理情况应当如实记录，并通过职工大会或者</w:t>
            </w:r>
            <w:r>
              <w:fldChar w:fldCharType="begin"/>
            </w:r>
            <w:r>
              <w:instrText xml:space="preserve"> HYPERLINK "https://baike.sogou.com/lemma/ShowInnerLink.htm?lemmaId=167477&amp;ss_c=ssc.citiao.link" \t "https://baike.sogou.com/_blank" </w:instrText>
            </w:r>
            <w:r>
              <w:fldChar w:fldCharType="separate"/>
            </w:r>
            <w:r>
              <w:rPr>
                <w:rStyle w:val="47"/>
                <w:rFonts w:hint="eastAsia" w:ascii="宋体" w:eastAsia="宋体" w:cs="宋体"/>
                <w:color w:val="auto"/>
                <w:sz w:val="21"/>
                <w:szCs w:val="21"/>
                <w:shd w:val="clear" w:color="auto" w:fill="FFFFFF"/>
              </w:rPr>
              <w:t>职工代表大会</w:t>
            </w:r>
            <w:r>
              <w:rPr>
                <w:rStyle w:val="47"/>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、信息公示栏等方式向从业人员通报。其中，重大事故隐患排查治理情况应当及时向负有安全生产监督管理职责的部门和职工大会或者职工代表大会报告。</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安全生产法》（中华人民共和国主席令第88号）第41条；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已开展相关工作。</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3</w:t>
            </w:r>
          </w:p>
        </w:tc>
        <w:tc>
          <w:tcPr>
            <w:tcW w:w="1993" w:type="pct"/>
            <w:shd w:val="clear" w:color="auto" w:fill="FEFEFE"/>
            <w:vAlign w:val="center"/>
          </w:tcPr>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spacing w:line="240" w:lineRule="auto"/>
              <w:ind w:firstLine="210" w:firstLineChars="100"/>
              <w:jc w:val="left"/>
              <w:rPr>
                <w:rFonts w:ascii="宋体" w:hAnsi="宋体" w:cs="宋体"/>
                <w:color w:val="auto"/>
                <w:sz w:val="21"/>
                <w:szCs w:val="21"/>
              </w:rPr>
            </w:pPr>
            <w:r>
              <w:rPr>
                <w:rFonts w:ascii="Arial" w:hAnsi="Arial" w:cs="Arial"/>
                <w:color w:val="333333"/>
                <w:sz w:val="21"/>
                <w:szCs w:val="21"/>
                <w:shd w:val="clear" w:color="auto" w:fill="FFFFFF"/>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安全生产法》（中华人民共和国主席令第88号）第46条；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已开展相关工作。</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4</w:t>
            </w:r>
          </w:p>
        </w:tc>
        <w:tc>
          <w:tcPr>
            <w:tcW w:w="1993"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ascii="Arial" w:hAnsi="Arial" w:cs="Arial"/>
                <w:color w:val="auto"/>
                <w:sz w:val="21"/>
                <w:szCs w:val="21"/>
                <w:shd w:val="clear" w:color="auto" w:fill="FFFFFF"/>
              </w:rPr>
              <w:t>从业人员发现事故隐患或者其他</w:t>
            </w:r>
            <w:r>
              <w:fldChar w:fldCharType="begin"/>
            </w:r>
            <w:r>
              <w:instrText xml:space="preserve"> HYPERLINK "https://baike.sogou.com/lemma/ShowInnerLink.htm?lemmaId=66262208&amp;ss_c=ssc.citiao.link" \t "https://baike.sogou.com/_blank" </w:instrText>
            </w:r>
            <w:r>
              <w:fldChar w:fldCharType="separate"/>
            </w:r>
            <w:r>
              <w:rPr>
                <w:rStyle w:val="47"/>
                <w:rFonts w:ascii="Arial" w:hAnsi="Arial" w:cs="Arial"/>
                <w:color w:val="auto"/>
                <w:sz w:val="21"/>
                <w:szCs w:val="21"/>
                <w:shd w:val="clear" w:color="auto" w:fill="FFFFFF"/>
              </w:rPr>
              <w:t>不安全因素</w:t>
            </w:r>
            <w:r>
              <w:rPr>
                <w:rStyle w:val="47"/>
                <w:rFonts w:ascii="Arial" w:hAnsi="Arial" w:cs="Arial"/>
                <w:color w:val="auto"/>
                <w:sz w:val="21"/>
                <w:szCs w:val="21"/>
                <w:shd w:val="clear" w:color="auto" w:fill="FFFFFF"/>
              </w:rPr>
              <w:fldChar w:fldCharType="end"/>
            </w:r>
            <w:r>
              <w:rPr>
                <w:rFonts w:ascii="Arial" w:hAnsi="Arial" w:cs="Arial"/>
                <w:color w:val="auto"/>
                <w:sz w:val="21"/>
                <w:szCs w:val="21"/>
                <w:shd w:val="clear" w:color="auto" w:fill="FFFFFF"/>
              </w:rPr>
              <w:t>，应当立即向现场安全生产管理人员或者本</w:t>
            </w:r>
            <w:r>
              <w:fldChar w:fldCharType="begin"/>
            </w:r>
            <w:r>
              <w:instrText xml:space="preserve"> HYPERLINK "https://baike.sogou.com/lemma/ShowInnerLink.htm?lemmaId=7885306&amp;ss_c=ssc.citiao.link" \t "https://baike.sogou.com/_blank" </w:instrText>
            </w:r>
            <w:r>
              <w:fldChar w:fldCharType="separate"/>
            </w:r>
            <w:r>
              <w:rPr>
                <w:rStyle w:val="47"/>
                <w:rFonts w:ascii="Arial" w:hAnsi="Arial" w:cs="Arial"/>
                <w:color w:val="auto"/>
                <w:sz w:val="21"/>
                <w:szCs w:val="21"/>
                <w:shd w:val="clear" w:color="auto" w:fill="FFFFFF"/>
              </w:rPr>
              <w:t>单位负责人</w:t>
            </w:r>
            <w:r>
              <w:rPr>
                <w:rStyle w:val="47"/>
                <w:rFonts w:ascii="Arial" w:hAnsi="Arial" w:cs="Arial"/>
                <w:color w:val="auto"/>
                <w:sz w:val="21"/>
                <w:szCs w:val="21"/>
                <w:shd w:val="clear" w:color="auto" w:fill="FFFFFF"/>
              </w:rPr>
              <w:fldChar w:fldCharType="end"/>
            </w:r>
            <w:r>
              <w:rPr>
                <w:rFonts w:ascii="Arial" w:hAnsi="Arial" w:cs="Arial"/>
                <w:color w:val="auto"/>
                <w:sz w:val="21"/>
                <w:szCs w:val="21"/>
                <w:shd w:val="clear" w:color="auto" w:fill="FFFFFF"/>
              </w:rPr>
              <w:t>报告；接到报告的人员应当及时予以</w:t>
            </w:r>
            <w:r>
              <w:rPr>
                <w:rFonts w:ascii="Arial" w:hAnsi="Arial" w:cs="Arial"/>
                <w:color w:val="333333"/>
                <w:sz w:val="21"/>
                <w:szCs w:val="21"/>
                <w:shd w:val="clear" w:color="auto" w:fill="FFFFFF"/>
              </w:rPr>
              <w:t>处理。</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安全生产法》（中华人民共和国主席令第88号）第59条；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cs="宋体"/>
                <w:kern w:val="0"/>
                <w:sz w:val="21"/>
                <w:szCs w:val="21"/>
              </w:rPr>
              <w:t>检查：跃进化工建立了《</w:t>
            </w:r>
            <w:r>
              <w:rPr>
                <w:rFonts w:hint="eastAsia" w:cs="宋体"/>
                <w:kern w:val="0"/>
                <w:sz w:val="21"/>
                <w:szCs w:val="21"/>
                <w:lang w:val="en-US" w:eastAsia="zh-CN"/>
              </w:rPr>
              <w:t>安全检查及</w:t>
            </w:r>
            <w:r>
              <w:rPr>
                <w:rFonts w:hint="eastAsia" w:cs="宋体"/>
                <w:kern w:val="0"/>
                <w:sz w:val="21"/>
                <w:szCs w:val="21"/>
              </w:rPr>
              <w:t>隐患治理管理制度》，并严格按制度执行。</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5</w:t>
            </w:r>
          </w:p>
        </w:tc>
        <w:tc>
          <w:tcPr>
            <w:tcW w:w="1993" w:type="pct"/>
            <w:shd w:val="clear" w:color="auto" w:fill="FEFEFE"/>
            <w:vAlign w:val="center"/>
          </w:tcPr>
          <w:p>
            <w:pPr>
              <w:spacing w:line="240" w:lineRule="auto"/>
              <w:ind w:firstLine="210" w:firstLineChars="100"/>
              <w:jc w:val="left"/>
              <w:rPr>
                <w:rFonts w:ascii="Arial" w:hAnsi="Arial" w:cs="Arial"/>
                <w:color w:val="auto"/>
                <w:sz w:val="21"/>
                <w:szCs w:val="21"/>
                <w:shd w:val="clear" w:color="auto" w:fill="FFFFFF"/>
              </w:rPr>
            </w:pPr>
            <w:r>
              <w:rPr>
                <w:rFonts w:hint="eastAsia" w:ascii="Arial" w:hAnsi="Arial" w:cs="Arial"/>
                <w:color w:val="auto"/>
                <w:sz w:val="21"/>
                <w:szCs w:val="21"/>
                <w:shd w:val="clear" w:color="auto" w:fill="FFFFFF"/>
              </w:rPr>
              <w:t>生产经营单位应当制定符合有关法律法规规定的安全生产自检自查标准，建立事故隐患排查治理长效机制。</w:t>
            </w:r>
          </w:p>
          <w:p>
            <w:pPr>
              <w:spacing w:line="240" w:lineRule="auto"/>
              <w:ind w:firstLine="210" w:firstLineChars="100"/>
              <w:jc w:val="left"/>
              <w:rPr>
                <w:rFonts w:ascii="Arial" w:hAnsi="Arial" w:cs="Arial"/>
                <w:color w:val="auto"/>
                <w:sz w:val="21"/>
                <w:szCs w:val="21"/>
                <w:shd w:val="clear" w:color="auto" w:fill="FFFFFF"/>
              </w:rPr>
            </w:pPr>
            <w:r>
              <w:rPr>
                <w:rFonts w:hint="eastAsia" w:ascii="Arial" w:hAnsi="Arial" w:cs="Arial"/>
                <w:color w:val="auto"/>
                <w:sz w:val="21"/>
                <w:szCs w:val="21"/>
                <w:shd w:val="clear" w:color="auto" w:fill="FFFFFF"/>
              </w:rPr>
              <w:t>生产经营单位应当实行事故隐患清单管理，及时消除事故隐患;不能及时消除的，应当采取安全防范措施，制定治理方案，落实整改措施、责任、资金、时限和应急预案。</w:t>
            </w:r>
          </w:p>
          <w:p>
            <w:pPr>
              <w:spacing w:line="240" w:lineRule="auto"/>
              <w:ind w:firstLine="210" w:firstLineChars="100"/>
              <w:jc w:val="left"/>
              <w:rPr>
                <w:rFonts w:ascii="Arial" w:hAnsi="Arial" w:cs="Arial"/>
                <w:color w:val="auto"/>
                <w:sz w:val="21"/>
                <w:szCs w:val="21"/>
                <w:shd w:val="clear" w:color="auto" w:fill="FFFFFF"/>
              </w:rPr>
            </w:pPr>
            <w:r>
              <w:rPr>
                <w:rFonts w:hint="eastAsia" w:ascii="Arial" w:hAnsi="Arial" w:cs="Arial"/>
                <w:color w:val="auto"/>
                <w:sz w:val="21"/>
                <w:szCs w:val="21"/>
                <w:shd w:val="clear" w:color="auto" w:fill="FFFFFF"/>
              </w:rPr>
              <w:t>生产经营单位可以委托具备相应能力的技术服务机构进行安全风险分析和事故隐患排查。</w:t>
            </w:r>
          </w:p>
          <w:p>
            <w:pPr>
              <w:spacing w:line="240" w:lineRule="auto"/>
              <w:ind w:firstLine="210" w:firstLineChars="100"/>
              <w:jc w:val="left"/>
              <w:rPr>
                <w:rFonts w:ascii="Arial" w:hAnsi="Arial" w:cs="Arial"/>
                <w:color w:val="auto"/>
                <w:sz w:val="21"/>
                <w:szCs w:val="21"/>
                <w:shd w:val="clear" w:color="auto" w:fill="FFFFFF"/>
              </w:rPr>
            </w:pPr>
            <w:r>
              <w:rPr>
                <w:rFonts w:hint="eastAsia" w:ascii="Arial" w:hAnsi="Arial" w:cs="Arial"/>
                <w:color w:val="auto"/>
                <w:sz w:val="21"/>
                <w:szCs w:val="21"/>
                <w:shd w:val="clear" w:color="auto" w:fill="FFFFFF"/>
              </w:rPr>
              <w:t>生产经营单位应当如实记录事故隐患排查治理情况，按照规定向有关部门报告，并向从业人员通报。</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cs="宋体"/>
                <w:kern w:val="0"/>
                <w:sz w:val="21"/>
                <w:szCs w:val="21"/>
              </w:rPr>
              <w:t>《云南省安全生产条例》（已由云南省第十二届人民代表大会常务委员会第三十八次会议于2017年11月30日修订通过）第</w:t>
            </w:r>
            <w:r>
              <w:rPr>
                <w:rFonts w:hint="eastAsia" w:cs="宋体"/>
                <w:kern w:val="0"/>
                <w:sz w:val="21"/>
                <w:szCs w:val="21"/>
                <w:lang w:val="zh-CN"/>
              </w:rPr>
              <w:t>十</w:t>
            </w:r>
            <w:r>
              <w:rPr>
                <w:rFonts w:hint="eastAsia" w:cs="宋体"/>
                <w:kern w:val="0"/>
                <w:sz w:val="21"/>
                <w:szCs w:val="21"/>
              </w:rPr>
              <w:t>九</w:t>
            </w:r>
            <w:r>
              <w:rPr>
                <w:rFonts w:hint="eastAsia" w:cs="宋体"/>
                <w:kern w:val="0"/>
                <w:sz w:val="21"/>
                <w:szCs w:val="21"/>
                <w:lang w:val="zh-CN"/>
              </w:rPr>
              <w:t>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cs="宋体"/>
                <w:kern w:val="0"/>
                <w:sz w:val="21"/>
                <w:szCs w:val="21"/>
              </w:rPr>
              <w:t>检查：跃进化工建立了《</w:t>
            </w:r>
            <w:r>
              <w:rPr>
                <w:rFonts w:hint="eastAsia" w:cs="宋体"/>
                <w:kern w:val="0"/>
                <w:sz w:val="21"/>
                <w:szCs w:val="21"/>
                <w:lang w:val="en-US" w:eastAsia="zh-CN"/>
              </w:rPr>
              <w:t>安全检查及</w:t>
            </w:r>
            <w:r>
              <w:rPr>
                <w:rFonts w:hint="eastAsia" w:cs="宋体"/>
                <w:kern w:val="0"/>
                <w:sz w:val="21"/>
                <w:szCs w:val="21"/>
              </w:rPr>
              <w:t>隐患治理管理制度》，并严格按制度执行。</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shd w:val="clear" w:color="auto" w:fill="FEFEFE"/>
            <w:vAlign w:val="center"/>
          </w:tcPr>
          <w:p>
            <w:pPr>
              <w:spacing w:line="240" w:lineRule="auto"/>
              <w:ind w:firstLine="0" w:firstLineChars="0"/>
              <w:jc w:val="center"/>
              <w:rPr>
                <w:rFonts w:ascii="宋体" w:hAnsi="宋体" w:cs="宋体"/>
                <w:b/>
                <w:bCs/>
                <w:color w:val="auto"/>
                <w:sz w:val="21"/>
                <w:szCs w:val="21"/>
              </w:rPr>
            </w:pPr>
            <w:r>
              <w:rPr>
                <w:rFonts w:hint="eastAsia" w:ascii="宋体" w:hAnsi="宋体" w:cs="宋体"/>
                <w:b/>
                <w:bCs/>
                <w:color w:val="auto"/>
                <w:sz w:val="21"/>
                <w:szCs w:val="21"/>
              </w:rPr>
              <w:t>安全费用投入保障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p>
        </w:tc>
        <w:tc>
          <w:tcPr>
            <w:tcW w:w="1993" w:type="pct"/>
            <w:shd w:val="clear" w:color="auto" w:fill="FEFEFE"/>
            <w:vAlign w:val="center"/>
          </w:tcPr>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生产经营单位的主要负责人对本单位安全生产工作负有下列职责:</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①建立健全并落实本单位全员安全生产责任制，加强安全生产标准化建设;</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②组织制定并实施本单位安全生产规章制度和操作规程;</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③组织制定并实施本单位安全生产教育和培训计划;</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④保证本单位安全生产投入的有效实施;</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⑤组织建立并落实安全风险分级管控和隐患排查治理双重预防工作机制，督促、检查本单位的安全生产工作，及时消除生产安全事故隐患;</w:t>
            </w:r>
          </w:p>
          <w:p>
            <w:pPr>
              <w:spacing w:line="240" w:lineRule="auto"/>
              <w:ind w:firstLine="210" w:firstLineChars="100"/>
              <w:jc w:val="left"/>
              <w:rPr>
                <w:rFonts w:ascii="宋体" w:hAnsi="宋体" w:cs="宋体"/>
                <w:color w:val="auto"/>
                <w:sz w:val="21"/>
                <w:szCs w:val="21"/>
                <w:shd w:val="clear" w:color="auto" w:fill="FFFFFF"/>
              </w:rPr>
            </w:pPr>
            <w:r>
              <w:rPr>
                <w:rFonts w:hint="eastAsia" w:ascii="宋体" w:hAnsi="宋体" w:cs="宋体"/>
                <w:color w:val="auto"/>
                <w:sz w:val="21"/>
                <w:szCs w:val="21"/>
                <w:shd w:val="clear" w:color="auto" w:fill="FFFFFF"/>
              </w:rPr>
              <w:t>⑥组织制定并实施本单位的生产安全事故应急救援预案;</w:t>
            </w:r>
          </w:p>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⑦及时、如实报告生产安全事故。</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安全生产法》（中华人民共和国主席令第88号）第21条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cs="宋体"/>
                <w:kern w:val="0"/>
                <w:sz w:val="21"/>
                <w:szCs w:val="21"/>
              </w:rPr>
              <w:t>检查：跃进化工建立了《安全生产费用制度》，并严格按制度执行。</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p>
        </w:tc>
        <w:tc>
          <w:tcPr>
            <w:tcW w:w="1993"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生产经营单位应当具备的安全生产条件所必需的资金投入，由生产经营单位的决策机构、主要负责人或者个人经营的投资人予以保证，并对由于安全生产所必需的资金投入不足导致的后果承担责任。</w:t>
            </w:r>
          </w:p>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有关生产经营单位应当按照规定提取和使用</w:t>
            </w:r>
            <w:r>
              <w:fldChar w:fldCharType="begin"/>
            </w:r>
            <w:r>
              <w:instrText xml:space="preserve"> HYPERLINK "https://baike.sogou.com/lemma/ShowInnerLink.htm?lemmaId=7594915&amp;ss_c=ssc.citiao.link" \t "https://baike.sogou.com/_blank" </w:instrText>
            </w:r>
            <w:r>
              <w:fldChar w:fldCharType="separate"/>
            </w:r>
            <w:r>
              <w:rPr>
                <w:rStyle w:val="47"/>
                <w:rFonts w:hint="eastAsia" w:ascii="宋体" w:eastAsia="宋体" w:cs="宋体"/>
                <w:color w:val="auto"/>
                <w:sz w:val="21"/>
                <w:szCs w:val="21"/>
                <w:shd w:val="clear" w:color="auto" w:fill="FFFFFF"/>
              </w:rPr>
              <w:t>安全生产费用</w:t>
            </w:r>
            <w:r>
              <w:rPr>
                <w:rStyle w:val="47"/>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，专门用于改善安全生产条件。安全生产费用在成本中据实列支。安全生产费用提取、使用和监督管理的具体办法由国务院财政部门会同国务院应急管理部门征求国务院有关部门意见后制定。</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安全生产法》（中华人民共和国主席令第88号）第23条</w:t>
            </w:r>
          </w:p>
        </w:tc>
        <w:tc>
          <w:tcPr>
            <w:tcW w:w="1386" w:type="pct"/>
            <w:shd w:val="clear" w:color="auto" w:fill="FEFEFE"/>
            <w:vAlign w:val="center"/>
          </w:tcPr>
          <w:p>
            <w:pPr>
              <w:spacing w:line="240" w:lineRule="auto"/>
              <w:ind w:firstLine="210" w:firstLineChars="100"/>
              <w:jc w:val="left"/>
              <w:rPr>
                <w:rFonts w:hint="default" w:ascii="宋体" w:hAnsi="宋体" w:cs="宋体"/>
                <w:color w:val="auto"/>
                <w:sz w:val="21"/>
                <w:szCs w:val="21"/>
                <w:lang w:val="en-US"/>
              </w:rPr>
            </w:pPr>
            <w:r>
              <w:rPr>
                <w:rFonts w:hint="eastAsia" w:cs="宋体"/>
                <w:kern w:val="0"/>
                <w:sz w:val="21"/>
                <w:szCs w:val="21"/>
              </w:rPr>
              <w:t>跃进化工已按要求提取并使用安全生产费用</w:t>
            </w:r>
            <w:r>
              <w:rPr>
                <w:rFonts w:hint="eastAsia" w:ascii="宋体" w:hAnsi="宋体" w:cs="宋体"/>
                <w:color w:val="auto"/>
                <w:sz w:val="21"/>
                <w:szCs w:val="21"/>
              </w:rPr>
              <w:t>。</w:t>
            </w:r>
            <w:r>
              <w:rPr>
                <w:rFonts w:hint="eastAsia" w:ascii="宋体" w:hAnsi="宋体"/>
                <w:color w:val="auto"/>
                <w:sz w:val="21"/>
                <w:szCs w:val="21"/>
                <w:lang w:val="en-US" w:eastAsia="zh-CN"/>
              </w:rPr>
              <w:t>详见报告F6.36。</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p>
        </w:tc>
        <w:tc>
          <w:tcPr>
            <w:tcW w:w="1993"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生产经营单位新建、改建、扩建工程项目（以下统称建设项目）的安全设施，必须与主体工程同时设计、同时施工、同时投入生产和使用。安全设施投资应当纳入</w:t>
            </w:r>
            <w:r>
              <w:fldChar w:fldCharType="begin"/>
            </w:r>
            <w:r>
              <w:instrText xml:space="preserve"> HYPERLINK "https://baike.sogou.com/lemma/ShowInnerLink.htm?lemmaId=75651876&amp;ss_c=ssc.citiao.link" \t "https://baike.sogou.com/_blank" </w:instrText>
            </w:r>
            <w:r>
              <w:fldChar w:fldCharType="separate"/>
            </w:r>
            <w:r>
              <w:rPr>
                <w:rStyle w:val="47"/>
                <w:rFonts w:hint="eastAsia" w:ascii="宋体" w:hAnsi="宋体" w:cs="宋体"/>
                <w:color w:val="auto"/>
                <w:sz w:val="21"/>
                <w:szCs w:val="21"/>
                <w:shd w:val="clear" w:color="auto" w:fill="FFFFFF"/>
              </w:rPr>
              <w:t>建设项目概算</w:t>
            </w:r>
            <w:r>
              <w:rPr>
                <w:rStyle w:val="47"/>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安全生产法》（中华人民共和国主席令第88号）第31条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检查核实已按要求执行</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p>
        </w:tc>
        <w:tc>
          <w:tcPr>
            <w:tcW w:w="1993"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shd w:val="clear" w:color="auto" w:fill="FFFFFF"/>
              </w:rPr>
              <w:t>生产经营单位应当安排用于配备劳动防护用品、进行安全生产培训的经费。</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安全生产法》（中华人民共和国主席令第88号）第47条</w:t>
            </w:r>
          </w:p>
        </w:tc>
        <w:tc>
          <w:tcPr>
            <w:tcW w:w="1386" w:type="pct"/>
            <w:shd w:val="clear" w:color="auto" w:fill="FEFEFE"/>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检查核实已按要求执行</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shd w:val="clear" w:color="auto" w:fill="FEFEFE"/>
            <w:vAlign w:val="center"/>
          </w:tcPr>
          <w:p>
            <w:pPr>
              <w:spacing w:line="240" w:lineRule="auto"/>
              <w:ind w:firstLine="0" w:firstLineChars="0"/>
              <w:jc w:val="center"/>
              <w:rPr>
                <w:rFonts w:ascii="宋体" w:hAnsi="宋体" w:cs="宋体"/>
                <w:color w:val="auto"/>
                <w:sz w:val="21"/>
                <w:szCs w:val="21"/>
              </w:rPr>
            </w:pPr>
          </w:p>
        </w:tc>
        <w:tc>
          <w:tcPr>
            <w:tcW w:w="1993" w:type="pct"/>
            <w:shd w:val="clear" w:color="auto" w:fill="FEFEFE"/>
            <w:vAlign w:val="center"/>
          </w:tcPr>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生产经营单位必须依法参加工伤保险，为从业人员缴纳保险费。</w:t>
            </w:r>
          </w:p>
          <w:p>
            <w:pPr>
              <w:pStyle w:val="32"/>
              <w:shd w:val="clear" w:color="auto" w:fill="FFFFFF"/>
              <w:spacing w:line="240" w:lineRule="auto"/>
              <w:ind w:firstLine="210" w:firstLineChars="100"/>
              <w:rPr>
                <w:rFonts w:ascii="宋体" w:eastAsia="宋体" w:cs="宋体"/>
                <w:color w:val="auto"/>
                <w:sz w:val="21"/>
                <w:szCs w:val="21"/>
              </w:rPr>
            </w:pPr>
            <w:r>
              <w:rPr>
                <w:rFonts w:hint="eastAsia" w:ascii="宋体" w:eastAsia="宋体" w:cs="宋体"/>
                <w:color w:val="auto"/>
                <w:sz w:val="21"/>
                <w:szCs w:val="21"/>
                <w:shd w:val="clear" w:color="auto" w:fill="FFFFFF"/>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930"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安全生产法》（中华人民共和国主席令第88号）第51条</w:t>
            </w:r>
          </w:p>
        </w:tc>
        <w:tc>
          <w:tcPr>
            <w:tcW w:w="1386" w:type="pct"/>
            <w:shd w:val="clear" w:color="auto" w:fill="FEFEFE"/>
            <w:vAlign w:val="center"/>
          </w:tcPr>
          <w:p>
            <w:pPr>
              <w:spacing w:line="240" w:lineRule="auto"/>
              <w:ind w:firstLine="210" w:firstLineChars="100"/>
              <w:jc w:val="left"/>
              <w:rPr>
                <w:rFonts w:hint="default" w:ascii="宋体" w:hAnsi="宋体" w:cs="宋体"/>
                <w:color w:val="auto"/>
                <w:sz w:val="21"/>
                <w:szCs w:val="21"/>
                <w:lang w:val="en-US"/>
              </w:rPr>
            </w:pPr>
            <w:r>
              <w:rPr>
                <w:rFonts w:hint="eastAsia" w:ascii="宋体" w:hAnsi="宋体" w:cs="宋体"/>
                <w:color w:val="auto"/>
                <w:sz w:val="21"/>
                <w:szCs w:val="21"/>
              </w:rPr>
              <w:t>检查核实已按要求参加</w:t>
            </w:r>
            <w:r>
              <w:rPr>
                <w:rFonts w:hint="eastAsia" w:ascii="宋体" w:hAnsi="宋体" w:cs="宋体"/>
                <w:color w:val="auto"/>
                <w:sz w:val="21"/>
                <w:szCs w:val="21"/>
                <w:shd w:val="clear" w:color="auto" w:fill="FFFFFF"/>
              </w:rPr>
              <w:t>工伤保险和安全生产责任保险</w:t>
            </w:r>
            <w:r>
              <w:rPr>
                <w:rFonts w:hint="eastAsia" w:ascii="宋体" w:hAnsi="宋体" w:cs="宋体"/>
                <w:color w:val="auto"/>
                <w:sz w:val="21"/>
                <w:szCs w:val="21"/>
              </w:rPr>
              <w:t>。</w:t>
            </w:r>
            <w:r>
              <w:rPr>
                <w:rFonts w:hint="eastAsia" w:ascii="宋体" w:hAnsi="宋体"/>
                <w:color w:val="auto"/>
                <w:sz w:val="21"/>
                <w:szCs w:val="21"/>
                <w:lang w:val="en-US" w:eastAsia="zh-CN"/>
              </w:rPr>
              <w:t>详见报告F6.16、6.17。</w:t>
            </w:r>
          </w:p>
        </w:tc>
        <w:tc>
          <w:tcPr>
            <w:tcW w:w="406" w:type="pct"/>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shd w:val="clear" w:color="auto" w:fill="FEFEFE"/>
            <w:vAlign w:val="center"/>
          </w:tcPr>
          <w:p>
            <w:pPr>
              <w:spacing w:line="240" w:lineRule="auto"/>
              <w:ind w:firstLine="0" w:firstLineChars="0"/>
              <w:jc w:val="center"/>
              <w:rPr>
                <w:rFonts w:ascii="宋体" w:hAnsi="宋体" w:cs="宋体"/>
                <w:color w:val="auto"/>
                <w:sz w:val="21"/>
                <w:szCs w:val="21"/>
              </w:rPr>
            </w:pPr>
            <w:r>
              <w:rPr>
                <w:rFonts w:hint="eastAsia" w:cs="宋体"/>
                <w:b/>
                <w:bCs/>
                <w:kern w:val="0"/>
                <w:sz w:val="21"/>
                <w:szCs w:val="21"/>
                <w:lang w:val="zh-CN" w:eastAsia="en-US"/>
              </w:rPr>
              <w:t>生产管理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1</w:t>
            </w:r>
          </w:p>
        </w:tc>
        <w:tc>
          <w:tcPr>
            <w:tcW w:w="1993"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必须编制产品的工艺规程，并根据工艺规程和安全管理制度编制操作法，严格按操作法进行操作。</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《化工企业安全管理制度》第56条</w:t>
            </w:r>
          </w:p>
        </w:tc>
        <w:tc>
          <w:tcPr>
            <w:tcW w:w="1386" w:type="pct"/>
            <w:vAlign w:val="center"/>
          </w:tcPr>
          <w:p>
            <w:pPr>
              <w:autoSpaceDE w:val="0"/>
              <w:autoSpaceDN w:val="0"/>
              <w:spacing w:line="240" w:lineRule="auto"/>
              <w:ind w:firstLine="210" w:firstLineChars="100"/>
              <w:jc w:val="left"/>
              <w:rPr>
                <w:rFonts w:hint="default" w:cs="宋体"/>
                <w:kern w:val="0"/>
                <w:sz w:val="21"/>
                <w:szCs w:val="21"/>
                <w:lang w:val="en-US"/>
              </w:rPr>
            </w:pPr>
            <w:r>
              <w:rPr>
                <w:rFonts w:hint="eastAsia" w:cs="宋体"/>
                <w:kern w:val="0"/>
                <w:sz w:val="21"/>
                <w:szCs w:val="21"/>
              </w:rPr>
              <w:t>编制了相关生产工艺操作规程。</w:t>
            </w:r>
            <w:r>
              <w:rPr>
                <w:rFonts w:hint="eastAsia" w:ascii="宋体" w:hAnsi="宋体"/>
                <w:color w:val="auto"/>
                <w:sz w:val="21"/>
                <w:szCs w:val="21"/>
                <w:lang w:val="en-US" w:eastAsia="zh-CN"/>
              </w:rPr>
              <w:t>详见报告F6.27。</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2</w:t>
            </w:r>
          </w:p>
        </w:tc>
        <w:tc>
          <w:tcPr>
            <w:tcW w:w="1993"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不准踩踏管道、阀门、电线、电缆架及各种仪表管线等设施，去危险部位检查，必须有人监护。</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《化工企业安全管理制度》第60条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根据厂内负责人介绍，该项目在生产期间，相关人员去危险部位检查时，均有人监护。</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3</w:t>
            </w:r>
          </w:p>
        </w:tc>
        <w:tc>
          <w:tcPr>
            <w:tcW w:w="1993"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严格安全纪律，禁止无关人员进入操作岗位和运用生产设备、设施和工具。</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《化工企业安全管理制度》第61条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厂内相关人员能够严格安全纪律。</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4</w:t>
            </w:r>
          </w:p>
        </w:tc>
        <w:tc>
          <w:tcPr>
            <w:tcW w:w="1993"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在工艺过程或机电设备处在异常状态时，不准随意进行交接班。</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《化工企业安全管理制度》第63条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厂内制定了</w:t>
            </w:r>
            <w:r>
              <w:rPr>
                <w:rFonts w:hint="eastAsia" w:cs="宋体"/>
                <w:kern w:val="0"/>
                <w:sz w:val="21"/>
                <w:szCs w:val="21"/>
                <w:lang w:eastAsia="zh-CN"/>
              </w:rPr>
              <w:t>《</w:t>
            </w:r>
            <w:r>
              <w:rPr>
                <w:rFonts w:hint="eastAsia" w:cs="宋体"/>
                <w:kern w:val="0"/>
                <w:sz w:val="21"/>
                <w:szCs w:val="21"/>
                <w:lang w:val="en-US" w:eastAsia="zh-CN"/>
              </w:rPr>
              <w:t>工艺管理</w:t>
            </w:r>
            <w:r>
              <w:rPr>
                <w:rFonts w:hint="eastAsia" w:cs="宋体"/>
                <w:kern w:val="0"/>
                <w:sz w:val="21"/>
                <w:szCs w:val="21"/>
              </w:rPr>
              <w:t>制度</w:t>
            </w:r>
            <w:r>
              <w:rPr>
                <w:rFonts w:hint="eastAsia" w:cs="宋体"/>
                <w:kern w:val="0"/>
                <w:sz w:val="21"/>
                <w:szCs w:val="21"/>
                <w:lang w:eastAsia="zh-CN"/>
              </w:rPr>
              <w:t>》</w:t>
            </w:r>
            <w:r>
              <w:rPr>
                <w:rFonts w:hint="eastAsia" w:cs="宋体"/>
                <w:kern w:val="0"/>
                <w:sz w:val="21"/>
                <w:szCs w:val="21"/>
              </w:rPr>
              <w:t>。</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5</w:t>
            </w:r>
          </w:p>
        </w:tc>
        <w:tc>
          <w:tcPr>
            <w:tcW w:w="1993"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各种条件具备后开车，开车过程中要加强有关岗位之间的联络，严格按开车方案中的步骤进行，严格遵守升降温、升降压和加减负荷的幅度（速率）要求。</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《化工企业安全管理制度》第69条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项目生产过程中，按照工艺规程逐一进行。</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7</w:t>
            </w:r>
          </w:p>
        </w:tc>
        <w:tc>
          <w:tcPr>
            <w:tcW w:w="1993"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发现或发生紧急情况，必须先尽最大努力作出妥善处理，同时向有关方面报告，必要时，先处理后报告。</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《化工企业安全管理制度》第76条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根据厂内负责人介绍，项目生产过程中，若发生事故，其现场人员能够做到所述程序。</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8</w:t>
            </w:r>
          </w:p>
        </w:tc>
        <w:tc>
          <w:tcPr>
            <w:tcW w:w="1993"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发生停电、停水、停气（汽）时，必须采取措施，防止系统超温、超压、跑料及机电设备的损坏。</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《化工企业安全管理制度》第78条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生产过程中，若发生停电事故时，将采取一定措施。</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9</w:t>
            </w:r>
          </w:p>
        </w:tc>
        <w:tc>
          <w:tcPr>
            <w:tcW w:w="1993"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对所有易燃、易爆物品和可能产生火灾、爆炸危险的生产、储运、销售、使用过程及其相关的设备，进行严格管理。</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《化工企业安全管理制度》第111条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该厂对所述内容能够做到严格管理。</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vAlign w:val="center"/>
          </w:tcPr>
          <w:p>
            <w:pPr>
              <w:spacing w:line="240" w:lineRule="auto"/>
              <w:ind w:firstLine="0" w:firstLineChars="0"/>
              <w:jc w:val="center"/>
              <w:rPr>
                <w:rFonts w:ascii="宋体" w:hAnsi="宋体" w:cs="宋体"/>
                <w:color w:val="auto"/>
                <w:sz w:val="21"/>
                <w:szCs w:val="21"/>
              </w:rPr>
            </w:pPr>
            <w:r>
              <w:rPr>
                <w:rFonts w:hint="eastAsia" w:cs="宋体"/>
                <w:b/>
                <w:bCs/>
                <w:kern w:val="0"/>
                <w:sz w:val="21"/>
                <w:szCs w:val="21"/>
                <w:lang w:val="zh-CN" w:eastAsia="en-US"/>
              </w:rPr>
              <w:t>其它方面的管理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lang w:eastAsia="en-US"/>
              </w:rPr>
              <w:t>1.</w:t>
            </w:r>
          </w:p>
        </w:tc>
        <w:tc>
          <w:tcPr>
            <w:tcW w:w="1993" w:type="pct"/>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安全设备的设计、制造、安装、使用、检测、维修、改造和报废，应当符合国家标准或者行业标准。</w:t>
            </w:r>
          </w:p>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生产经营单位必须对安全设备进行经常性维护、保养，并定期检测，保证正常运转。维护、保养、检测应当作好记录，并由有关人员签字。</w:t>
            </w:r>
          </w:p>
          <w:p>
            <w:pPr>
              <w:pStyle w:val="32"/>
              <w:shd w:val="clear" w:color="auto" w:fill="FFFFFF"/>
              <w:spacing w:line="240" w:lineRule="auto"/>
              <w:ind w:firstLine="210" w:firstLineChars="100"/>
              <w:rPr>
                <w:rFonts w:ascii="宋体" w:cs="宋体"/>
                <w:sz w:val="21"/>
                <w:szCs w:val="21"/>
              </w:rPr>
            </w:pPr>
            <w:r>
              <w:rPr>
                <w:rFonts w:hint="eastAsia" w:ascii="宋体" w:eastAsia="宋体" w:cs="宋体"/>
                <w:color w:val="333333"/>
                <w:sz w:val="21"/>
                <w:szCs w:val="21"/>
                <w:shd w:val="clear" w:color="auto" w:fill="FFFFFF"/>
              </w:rPr>
              <w:t>生产经营单位不得关闭、破坏直接关系生产安全的监控、报警、防护、救生设备、设施，或者篡改、隐瞒、销毁其相关数据、信息。</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36</w:t>
            </w:r>
            <w:r>
              <w:rPr>
                <w:rFonts w:hint="eastAsia" w:cs="宋体"/>
                <w:kern w:val="0"/>
                <w:sz w:val="21"/>
                <w:szCs w:val="21"/>
                <w:lang w:val="zh-CN"/>
              </w:rPr>
              <w:t>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根据业主提供的资料记</w:t>
            </w:r>
            <w:r>
              <w:rPr>
                <w:rFonts w:hint="eastAsia" w:cs="宋体"/>
                <w:kern w:val="0"/>
                <w:sz w:val="21"/>
                <w:szCs w:val="21"/>
                <w:lang w:val="zh-CN"/>
              </w:rPr>
              <w:t>录，厂内对安全设备基本能够做到经常性维护、保养，定期检测。</w:t>
            </w:r>
          </w:p>
        </w:tc>
        <w:tc>
          <w:tcPr>
            <w:tcW w:w="406"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1993" w:type="pct"/>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ascii="宋体" w:hAnsi="宋体" w:cs="宋体"/>
                <w:color w:val="333333"/>
                <w:sz w:val="21"/>
                <w:szCs w:val="21"/>
                <w:shd w:val="clear" w:color="auto" w:fill="FFFFFF"/>
              </w:rPr>
              <w:t>矿山、金属冶炼、建筑施工、运输单位和危险物品的生产、经营、储存、装卸单位，应当设置安全生产管理机构或者配备专职安全生产管理人员。</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24</w:t>
            </w:r>
            <w:r>
              <w:rPr>
                <w:rFonts w:hint="eastAsia" w:cs="宋体"/>
                <w:kern w:val="0"/>
                <w:sz w:val="21"/>
                <w:szCs w:val="21"/>
                <w:lang w:val="zh-CN"/>
              </w:rPr>
              <w:t>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已按规定</w:t>
            </w:r>
            <w:r>
              <w:rPr>
                <w:rFonts w:hint="eastAsia" w:ascii="宋体" w:hAnsi="宋体" w:cs="宋体"/>
                <w:color w:val="333333"/>
                <w:sz w:val="21"/>
                <w:szCs w:val="21"/>
                <w:shd w:val="clear" w:color="auto" w:fill="FFFFFF"/>
              </w:rPr>
              <w:t>设置安全生产管理机构或者配备专职安全生产管理人员。</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w:t>
            </w:r>
          </w:p>
        </w:tc>
        <w:tc>
          <w:tcPr>
            <w:tcW w:w="1993" w:type="pct"/>
            <w:vAlign w:val="center"/>
          </w:tcPr>
          <w:p>
            <w:pPr>
              <w:autoSpaceDE w:val="0"/>
              <w:autoSpaceDN w:val="0"/>
              <w:spacing w:line="240" w:lineRule="auto"/>
              <w:ind w:firstLine="210" w:firstLineChars="100"/>
              <w:jc w:val="left"/>
              <w:rPr>
                <w:rFonts w:ascii="宋体" w:hAnsi="宋体" w:cs="宋体"/>
                <w:color w:val="333333"/>
                <w:sz w:val="21"/>
                <w:szCs w:val="21"/>
                <w:shd w:val="clear" w:color="auto" w:fill="FFFFFF"/>
              </w:rPr>
            </w:pPr>
            <w:r>
              <w:rPr>
                <w:rFonts w:hint="eastAsia" w:ascii="宋体" w:hAnsi="宋体" w:cs="宋体"/>
                <w:color w:val="333333"/>
                <w:sz w:val="21"/>
                <w:szCs w:val="21"/>
                <w:shd w:val="clear" w:color="auto" w:fill="FFFFFF"/>
              </w:rPr>
              <w:t>生产</w:t>
            </w:r>
            <w:r>
              <w:rPr>
                <w:rFonts w:hint="eastAsia" w:ascii="宋体" w:hAnsi="宋体" w:cs="宋体"/>
                <w:color w:val="auto"/>
                <w:sz w:val="21"/>
                <w:szCs w:val="21"/>
                <w:shd w:val="clear" w:color="auto" w:fill="FFFFFF"/>
              </w:rPr>
              <w:t>经营单位应当在有较大危险因素的</w:t>
            </w:r>
            <w:r>
              <w:fldChar w:fldCharType="begin"/>
            </w:r>
            <w:r>
              <w:instrText xml:space="preserve"> HYPERLINK "https://baike.sogou.com/lemma/ShowInnerLink.htm?lemmaId=174217900&amp;ss_c=ssc.citiao.link" \t "https://baike.sogou.com/_blank" </w:instrText>
            </w:r>
            <w:r>
              <w:fldChar w:fldCharType="separate"/>
            </w:r>
            <w:r>
              <w:rPr>
                <w:rStyle w:val="47"/>
                <w:rFonts w:hint="eastAsia" w:ascii="宋体" w:hAnsi="宋体" w:cs="宋体"/>
                <w:color w:val="auto"/>
                <w:sz w:val="21"/>
                <w:szCs w:val="21"/>
                <w:shd w:val="clear" w:color="auto" w:fill="FFFFFF"/>
              </w:rPr>
              <w:t>生产经营场所</w:t>
            </w:r>
            <w:r>
              <w:rPr>
                <w:rStyle w:val="47"/>
                <w:rFonts w:hint="eastAsia" w:ascii="宋体" w:hAnsi="宋体" w:cs="宋体"/>
                <w:color w:val="auto"/>
                <w:sz w:val="21"/>
                <w:szCs w:val="21"/>
                <w:shd w:val="clear" w:color="auto" w:fill="FFFFFF"/>
              </w:rPr>
              <w:fldChar w:fldCharType="end"/>
            </w:r>
            <w:r>
              <w:rPr>
                <w:rFonts w:hint="eastAsia" w:ascii="宋体" w:hAnsi="宋体" w:cs="宋体"/>
                <w:color w:val="auto"/>
                <w:sz w:val="21"/>
                <w:szCs w:val="21"/>
                <w:shd w:val="clear" w:color="auto" w:fill="FFFFFF"/>
              </w:rPr>
              <w:t>和有关设施、设备上，设置明显的安全警示标志</w:t>
            </w:r>
            <w:r>
              <w:rPr>
                <w:rFonts w:hint="eastAsia" w:ascii="宋体" w:hAnsi="宋体" w:cs="宋体"/>
                <w:color w:val="333333"/>
                <w:sz w:val="21"/>
                <w:szCs w:val="21"/>
                <w:shd w:val="clear" w:color="auto" w:fill="FFFFFF"/>
              </w:rPr>
              <w:t>。</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35</w:t>
            </w:r>
            <w:r>
              <w:rPr>
                <w:rFonts w:hint="eastAsia" w:cs="宋体"/>
                <w:kern w:val="0"/>
                <w:sz w:val="21"/>
                <w:szCs w:val="21"/>
                <w:lang w:val="zh-CN"/>
              </w:rPr>
              <w:t>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ascii="宋体" w:hAnsi="宋体" w:cs="宋体"/>
                <w:color w:val="auto"/>
                <w:sz w:val="21"/>
                <w:szCs w:val="21"/>
                <w:shd w:val="clear" w:color="auto" w:fill="FFFFFF"/>
              </w:rPr>
              <w:t>部份安全警示标志牌腐蚀</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lang w:val="en-US" w:eastAsia="zh-CN"/>
              </w:rPr>
              <w:t>不</w:t>
            </w: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4</w:t>
            </w:r>
          </w:p>
        </w:tc>
        <w:tc>
          <w:tcPr>
            <w:tcW w:w="1993" w:type="pct"/>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生产、经营、储存、使用危险物品的车间、商店、仓库不得与员工宿舍在同一座建筑物内，并应当与员工宿舍保持安全距离。</w:t>
            </w:r>
          </w:p>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生产经营场所和员工宿舍应当设有符合紧急疏散要求、标志明显、保持畅通的出口、疏散通道。禁止占用、锁闭、封堵生产经营场所或者员工宿舍的出口、疏散通道。</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42</w:t>
            </w:r>
            <w:r>
              <w:rPr>
                <w:rFonts w:hint="eastAsia" w:cs="宋体"/>
                <w:kern w:val="0"/>
                <w:sz w:val="21"/>
                <w:szCs w:val="21"/>
                <w:lang w:val="zh-CN"/>
              </w:rPr>
              <w:t>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经检查跃进化工内无</w:t>
            </w:r>
            <w:r>
              <w:rPr>
                <w:rFonts w:hint="eastAsia" w:ascii="宋体" w:hAnsi="宋体" w:cs="宋体"/>
                <w:color w:val="333333"/>
                <w:sz w:val="21"/>
                <w:szCs w:val="21"/>
                <w:shd w:val="clear" w:color="auto" w:fill="FFFFFF"/>
              </w:rPr>
              <w:t>员工宿舍。</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5</w:t>
            </w:r>
          </w:p>
        </w:tc>
        <w:tc>
          <w:tcPr>
            <w:tcW w:w="1993" w:type="pct"/>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生产经营单位应当教育和督促从业人员严格执行本单位的安全生产规章制度和安全操作规程；并向从业人员如实告知作业场所和工作岗位存在的危险因素、防范措施以及事故应急措施。</w:t>
            </w:r>
          </w:p>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生产经营单位应当关注从业人员的身体、心理状况和行为习惯，加强对从业人员的心理疏导、精神慰藉，严格落实岗位安全生产责任，防范从业人员行为异常导致事故发生。</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44</w:t>
            </w:r>
            <w:r>
              <w:rPr>
                <w:rFonts w:hint="eastAsia" w:cs="宋体"/>
                <w:kern w:val="0"/>
                <w:sz w:val="21"/>
                <w:szCs w:val="21"/>
                <w:lang w:val="zh-CN"/>
              </w:rPr>
              <w:t>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检查能严格按规定执行。</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6</w:t>
            </w:r>
          </w:p>
        </w:tc>
        <w:tc>
          <w:tcPr>
            <w:tcW w:w="1993" w:type="pct"/>
            <w:vAlign w:val="center"/>
          </w:tcPr>
          <w:p>
            <w:pPr>
              <w:autoSpaceDE w:val="0"/>
              <w:autoSpaceDN w:val="0"/>
              <w:spacing w:line="240" w:lineRule="auto"/>
              <w:ind w:firstLine="210" w:firstLineChars="100"/>
              <w:jc w:val="left"/>
              <w:rPr>
                <w:rFonts w:ascii="宋体" w:hAnsi="宋体" w:cs="宋体"/>
                <w:color w:val="333333"/>
                <w:sz w:val="21"/>
                <w:szCs w:val="21"/>
                <w:shd w:val="clear" w:color="auto" w:fill="FFFFFF"/>
              </w:rPr>
            </w:pPr>
            <w:r>
              <w:rPr>
                <w:rFonts w:hint="eastAsia" w:ascii="宋体" w:hAnsi="宋体" w:cs="宋体"/>
                <w:color w:val="333333"/>
                <w:sz w:val="21"/>
                <w:szCs w:val="21"/>
                <w:shd w:val="clear" w:color="auto" w:fill="FFFFFF"/>
              </w:rPr>
              <w:t>生产经营单位必须为从业人员提供符合国家标准或者行业标准的劳动防护用品，并监督、教育从业人员按照使用规则佩戴、使用。</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45</w:t>
            </w:r>
            <w:r>
              <w:rPr>
                <w:rFonts w:hint="eastAsia" w:cs="宋体"/>
                <w:kern w:val="0"/>
                <w:sz w:val="21"/>
                <w:szCs w:val="21"/>
                <w:lang w:val="zh-CN"/>
              </w:rPr>
              <w:t>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已为从业人员</w:t>
            </w:r>
            <w:r>
              <w:rPr>
                <w:rFonts w:hint="eastAsia" w:ascii="宋体" w:hAnsi="宋体" w:cs="宋体"/>
                <w:color w:val="333333"/>
                <w:sz w:val="21"/>
                <w:szCs w:val="21"/>
                <w:shd w:val="clear" w:color="auto" w:fill="FFFFFF"/>
              </w:rPr>
              <w:t>提供符合国家标准或者行业标准的劳动防护用品。</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7</w:t>
            </w:r>
          </w:p>
        </w:tc>
        <w:tc>
          <w:tcPr>
            <w:tcW w:w="1993" w:type="pct"/>
            <w:vAlign w:val="center"/>
          </w:tcPr>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生产经营单位发生生产安全事故时，单位的主要负责人应当立即组织抢救，并不得在事故调查处理期间擅离职守。</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50</w:t>
            </w:r>
            <w:r>
              <w:rPr>
                <w:rFonts w:hint="eastAsia" w:cs="宋体"/>
                <w:kern w:val="0"/>
                <w:sz w:val="21"/>
                <w:szCs w:val="21"/>
                <w:lang w:val="zh-CN"/>
              </w:rPr>
              <w:t>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已建立《事故管理制度》，并严格按制度执行。</w:t>
            </w:r>
          </w:p>
        </w:tc>
        <w:tc>
          <w:tcPr>
            <w:tcW w:w="406" w:type="pct"/>
            <w:vAlign w:val="center"/>
          </w:tcPr>
          <w:p>
            <w:pPr>
              <w:autoSpaceDE w:val="0"/>
              <w:autoSpaceDN w:val="0"/>
              <w:spacing w:line="240" w:lineRule="auto"/>
              <w:ind w:firstLine="0" w:firstLineChars="0"/>
              <w:jc w:val="center"/>
              <w:rPr>
                <w:rFonts w:cs="宋体"/>
                <w:kern w:val="0"/>
                <w:sz w:val="21"/>
                <w:szCs w:val="21"/>
                <w:lang w:eastAsia="en-US"/>
              </w:rPr>
            </w:pPr>
            <w:r>
              <w:rPr>
                <w:rFonts w:hint="eastAsia" w:cs="宋体"/>
                <w:kern w:val="0"/>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8</w:t>
            </w:r>
          </w:p>
        </w:tc>
        <w:tc>
          <w:tcPr>
            <w:tcW w:w="1993" w:type="pct"/>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生产经营单位必须依法参加工伤保险，为从业人员缴纳保险费。</w:t>
            </w:r>
          </w:p>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auto"/>
                <w:sz w:val="21"/>
                <w:szCs w:val="21"/>
              </w:rPr>
              <w:t>《</w:t>
            </w:r>
            <w:r>
              <w:rPr>
                <w:rFonts w:hint="eastAsia" w:ascii="宋体" w:hAnsi="宋体" w:cs="宋体"/>
                <w:color w:val="000000" w:themeColor="text1"/>
                <w:sz w:val="21"/>
                <w:szCs w:val="21"/>
              </w:rPr>
              <w:t>中华人民共和国</w:t>
            </w:r>
            <w:r>
              <w:rPr>
                <w:rFonts w:hint="eastAsia" w:ascii="宋体" w:hAnsi="宋体" w:cs="宋体"/>
                <w:color w:val="auto"/>
                <w:sz w:val="21"/>
                <w:szCs w:val="21"/>
              </w:rPr>
              <w:t>安全生产法》（中华人民共和国主席令第88号）</w:t>
            </w:r>
            <w:r>
              <w:rPr>
                <w:rFonts w:hint="eastAsia" w:cs="宋体"/>
                <w:kern w:val="0"/>
                <w:sz w:val="21"/>
                <w:szCs w:val="21"/>
                <w:lang w:val="zh-CN"/>
              </w:rPr>
              <w:t>第</w:t>
            </w:r>
            <w:r>
              <w:rPr>
                <w:rFonts w:hint="eastAsia" w:cs="宋体"/>
                <w:kern w:val="0"/>
                <w:sz w:val="21"/>
                <w:szCs w:val="21"/>
              </w:rPr>
              <w:t>51</w:t>
            </w:r>
            <w:r>
              <w:rPr>
                <w:rFonts w:hint="eastAsia" w:cs="宋体"/>
                <w:kern w:val="0"/>
                <w:sz w:val="21"/>
                <w:szCs w:val="21"/>
                <w:lang w:val="zh-CN"/>
              </w:rPr>
              <w:t>条</w:t>
            </w:r>
          </w:p>
        </w:tc>
        <w:tc>
          <w:tcPr>
            <w:tcW w:w="1386" w:type="pct"/>
            <w:vAlign w:val="center"/>
          </w:tcPr>
          <w:p>
            <w:pPr>
              <w:spacing w:line="240" w:lineRule="auto"/>
              <w:ind w:firstLine="210" w:firstLineChars="100"/>
              <w:jc w:val="left"/>
              <w:rPr>
                <w:rFonts w:ascii="宋体" w:hAnsi="宋体" w:cs="宋体"/>
                <w:color w:val="auto"/>
                <w:sz w:val="21"/>
                <w:szCs w:val="21"/>
              </w:rPr>
            </w:pPr>
            <w:r>
              <w:rPr>
                <w:rFonts w:hint="eastAsia" w:ascii="宋体" w:hAnsi="宋体" w:cs="宋体"/>
                <w:color w:val="auto"/>
                <w:sz w:val="21"/>
                <w:szCs w:val="21"/>
              </w:rPr>
              <w:t>检查核实已按要求参加</w:t>
            </w:r>
            <w:r>
              <w:rPr>
                <w:rFonts w:hint="eastAsia" w:ascii="宋体" w:hAnsi="宋体" w:cs="宋体"/>
                <w:color w:val="auto"/>
                <w:sz w:val="21"/>
                <w:szCs w:val="21"/>
                <w:shd w:val="clear" w:color="auto" w:fill="FFFFFF"/>
              </w:rPr>
              <w:t>工伤保险和安全生产责任保险</w:t>
            </w:r>
            <w:r>
              <w:rPr>
                <w:rFonts w:hint="eastAsia" w:ascii="宋体" w:hAnsi="宋体" w:cs="宋体"/>
                <w:color w:val="auto"/>
                <w:sz w:val="21"/>
                <w:szCs w:val="21"/>
              </w:rPr>
              <w:t>。</w:t>
            </w:r>
            <w:r>
              <w:rPr>
                <w:rFonts w:hint="eastAsia" w:ascii="宋体" w:hAnsi="宋体" w:cs="宋体"/>
                <w:color w:val="000000" w:themeColor="text1"/>
                <w:sz w:val="21"/>
                <w:szCs w:val="21"/>
              </w:rPr>
              <w:t>详见</w:t>
            </w:r>
            <w:r>
              <w:rPr>
                <w:rFonts w:hint="eastAsia" w:ascii="宋体" w:hAnsi="宋体"/>
                <w:color w:val="auto"/>
                <w:sz w:val="21"/>
                <w:szCs w:val="21"/>
                <w:lang w:val="en-US" w:eastAsia="zh-CN"/>
              </w:rPr>
              <w:t>详见报告F6.16、6.17。</w:t>
            </w:r>
          </w:p>
        </w:tc>
        <w:tc>
          <w:tcPr>
            <w:tcW w:w="406" w:type="pct"/>
            <w:vAlign w:val="center"/>
          </w:tcPr>
          <w:p>
            <w:pPr>
              <w:spacing w:line="240" w:lineRule="auto"/>
              <w:ind w:firstLine="0" w:firstLineChars="0"/>
              <w:jc w:val="center"/>
              <w:rPr>
                <w:rFonts w:ascii="宋体" w:hAnsi="宋体" w:cs="宋体"/>
                <w:color w:val="auto"/>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9</w:t>
            </w:r>
          </w:p>
        </w:tc>
        <w:tc>
          <w:tcPr>
            <w:tcW w:w="1993" w:type="pct"/>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危险化学品生产企业应当提供与其生产的危险化学品相符的化学品安全技术说明书，并在危险化学品包装（包括外包装件）上粘贴或者拴挂与包装内危险化学品</w:t>
            </w:r>
            <w:r>
              <w:rPr>
                <w:rFonts w:hint="eastAsia" w:ascii="宋体" w:eastAsia="宋体" w:cs="宋体"/>
                <w:color w:val="auto"/>
                <w:sz w:val="21"/>
                <w:szCs w:val="21"/>
                <w:shd w:val="clear" w:color="auto" w:fill="FFFFFF"/>
              </w:rPr>
              <w:t>相符的</w:t>
            </w:r>
            <w:r>
              <w:fldChar w:fldCharType="begin"/>
            </w:r>
            <w:r>
              <w:instrText xml:space="preserve"> HYPERLINK "https://baike.sogou.com/lemma/ShowInnerLink.htm?lemmaId=7556888&amp;ss_c=ssc.citiao.link" \t "https://baike.sogou.com/_blank" </w:instrText>
            </w:r>
            <w:r>
              <w:fldChar w:fldCharType="separate"/>
            </w:r>
            <w:r>
              <w:rPr>
                <w:rStyle w:val="47"/>
                <w:rFonts w:hint="eastAsia" w:ascii="宋体" w:eastAsia="宋体" w:cs="宋体"/>
                <w:color w:val="auto"/>
                <w:sz w:val="21"/>
                <w:szCs w:val="21"/>
                <w:shd w:val="clear" w:color="auto" w:fill="FFFFFF"/>
              </w:rPr>
              <w:t>化学品安全标签</w:t>
            </w:r>
            <w:r>
              <w:rPr>
                <w:rStyle w:val="47"/>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。化学品安全</w:t>
            </w:r>
            <w:r>
              <w:rPr>
                <w:rFonts w:hint="eastAsia" w:ascii="宋体" w:eastAsia="宋体" w:cs="宋体"/>
                <w:color w:val="333333"/>
                <w:sz w:val="21"/>
                <w:szCs w:val="21"/>
                <w:shd w:val="clear" w:color="auto" w:fill="FFFFFF"/>
              </w:rPr>
              <w:t>技术说明书和化学品安全标签所载明的内容应当符合国家标准的要求。</w:t>
            </w:r>
          </w:p>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危险化学品生产企业发现其生产的危险化学品有新的危险特性的，应当立即公告，并及时修订其化学品安全技术说明书和化学品安全标签。</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000000" w:themeColor="text1"/>
                <w:sz w:val="21"/>
                <w:szCs w:val="21"/>
              </w:rPr>
              <w:t>《危险化学品安全管理条例》（国务院令第344号公布，第591号第一次修正，第645号第二次修正）第</w:t>
            </w:r>
            <w:r>
              <w:rPr>
                <w:rFonts w:hint="eastAsia" w:ascii="宋体" w:hAnsi="宋体" w:cs="宋体"/>
                <w:color w:val="auto"/>
                <w:sz w:val="21"/>
                <w:szCs w:val="21"/>
              </w:rPr>
              <w:t>15条</w:t>
            </w:r>
          </w:p>
        </w:tc>
        <w:tc>
          <w:tcPr>
            <w:tcW w:w="1386" w:type="pct"/>
            <w:vAlign w:val="center"/>
          </w:tcPr>
          <w:p>
            <w:pPr>
              <w:autoSpaceDE w:val="0"/>
              <w:autoSpaceDN w:val="0"/>
              <w:spacing w:line="240" w:lineRule="auto"/>
              <w:ind w:firstLine="210" w:firstLineChars="100"/>
              <w:jc w:val="left"/>
              <w:rPr>
                <w:rFonts w:hint="default" w:ascii="宋体" w:hAnsi="宋体" w:cs="宋体"/>
                <w:kern w:val="0"/>
                <w:sz w:val="21"/>
                <w:szCs w:val="21"/>
                <w:lang w:val="en-US"/>
              </w:rPr>
            </w:pPr>
            <w:r>
              <w:rPr>
                <w:rFonts w:hint="eastAsia" w:ascii="宋体" w:hAnsi="宋体" w:cs="宋体"/>
                <w:kern w:val="0"/>
                <w:sz w:val="21"/>
                <w:szCs w:val="21"/>
              </w:rPr>
              <w:t>已提供安全技术说明书和安全标签。</w:t>
            </w:r>
            <w:r>
              <w:rPr>
                <w:rFonts w:hint="eastAsia" w:ascii="宋体" w:hAnsi="宋体"/>
                <w:color w:val="auto"/>
                <w:sz w:val="21"/>
                <w:szCs w:val="21"/>
                <w:lang w:val="en-US" w:eastAsia="zh-CN"/>
              </w:rPr>
              <w:t>详见报告F6.20。</w:t>
            </w:r>
          </w:p>
        </w:tc>
        <w:tc>
          <w:tcPr>
            <w:tcW w:w="406" w:type="pct"/>
            <w:vAlign w:val="center"/>
          </w:tcPr>
          <w:p>
            <w:pPr>
              <w:autoSpaceDE w:val="0"/>
              <w:autoSpaceDN w:val="0"/>
              <w:spacing w:line="240" w:lineRule="auto"/>
              <w:ind w:firstLine="0" w:firstLineChars="0"/>
              <w:jc w:val="center"/>
              <w:rPr>
                <w:rFonts w:ascii="宋体" w:hAnsi="宋体"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10</w:t>
            </w:r>
          </w:p>
        </w:tc>
        <w:tc>
          <w:tcPr>
            <w:tcW w:w="1993" w:type="pct"/>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color w:val="333333"/>
                <w:sz w:val="21"/>
                <w:szCs w:val="21"/>
                <w:shd w:val="clear" w:color="auto" w:fill="FFFFFF"/>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p>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生产、储存危险化学品的单位，应当在其作业场所和安全设施、设备上设置明显的安全警示标志。</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000000" w:themeColor="text1"/>
                <w:sz w:val="21"/>
                <w:szCs w:val="21"/>
              </w:rPr>
              <w:t>《危险化学品安全管理条例》（国务院令第344号公布，第591号第一次修正，第645号第二次修正）第</w:t>
            </w:r>
            <w:r>
              <w:rPr>
                <w:rFonts w:hint="eastAsia" w:ascii="宋体" w:hAnsi="宋体" w:cs="宋体"/>
                <w:color w:val="auto"/>
                <w:sz w:val="21"/>
                <w:szCs w:val="21"/>
              </w:rPr>
              <w:t>20条</w:t>
            </w:r>
          </w:p>
        </w:tc>
        <w:tc>
          <w:tcPr>
            <w:tcW w:w="1386" w:type="pct"/>
            <w:vAlign w:val="center"/>
          </w:tcPr>
          <w:p>
            <w:pPr>
              <w:autoSpaceDE w:val="0"/>
              <w:autoSpaceDN w:val="0"/>
              <w:spacing w:line="240" w:lineRule="auto"/>
              <w:ind w:firstLine="210" w:firstLineChars="100"/>
              <w:jc w:val="left"/>
              <w:rPr>
                <w:rFonts w:hint="default" w:ascii="宋体" w:hAnsi="宋体" w:cs="宋体"/>
                <w:kern w:val="0"/>
                <w:sz w:val="21"/>
                <w:szCs w:val="21"/>
                <w:lang w:val="en-US"/>
              </w:rPr>
            </w:pPr>
            <w:r>
              <w:rPr>
                <w:rFonts w:hint="eastAsia" w:ascii="宋体" w:hAnsi="宋体" w:cs="宋体"/>
                <w:kern w:val="0"/>
                <w:sz w:val="21"/>
                <w:szCs w:val="21"/>
              </w:rPr>
              <w:t>设置监控、报警、防雷、防静电设施，并进行经</w:t>
            </w:r>
            <w:r>
              <w:rPr>
                <w:rFonts w:hint="eastAsia" w:ascii="宋体" w:hAnsi="宋体" w:cs="宋体"/>
                <w:color w:val="333333"/>
                <w:sz w:val="21"/>
                <w:szCs w:val="21"/>
                <w:shd w:val="clear" w:color="auto" w:fill="FFFFFF"/>
              </w:rPr>
              <w:t>常性维护、保养。</w:t>
            </w:r>
            <w:r>
              <w:rPr>
                <w:rFonts w:hint="eastAsia" w:ascii="宋体" w:hAnsi="宋体"/>
                <w:color w:val="auto"/>
                <w:sz w:val="21"/>
                <w:szCs w:val="21"/>
                <w:lang w:val="en-US" w:eastAsia="zh-CN"/>
              </w:rPr>
              <w:t>详见报告F1.2。</w:t>
            </w:r>
          </w:p>
        </w:tc>
        <w:tc>
          <w:tcPr>
            <w:tcW w:w="406" w:type="pct"/>
            <w:vAlign w:val="center"/>
          </w:tcPr>
          <w:p>
            <w:pPr>
              <w:autoSpaceDE w:val="0"/>
              <w:autoSpaceDN w:val="0"/>
              <w:spacing w:line="240" w:lineRule="auto"/>
              <w:ind w:firstLine="0" w:firstLineChars="0"/>
              <w:jc w:val="center"/>
              <w:rPr>
                <w:rFonts w:ascii="宋体" w:hAnsi="宋体" w:cs="宋体"/>
                <w:kern w:val="0"/>
                <w:sz w:val="21"/>
                <w:szCs w:val="21"/>
                <w:lang w:eastAsia="en-US"/>
              </w:rPr>
            </w:pPr>
            <w:r>
              <w:rPr>
                <w:rFonts w:hint="eastAsia" w:ascii="宋体" w:hAnsi="宋体" w:cs="宋体"/>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11</w:t>
            </w:r>
          </w:p>
        </w:tc>
        <w:tc>
          <w:tcPr>
            <w:tcW w:w="1993" w:type="pct"/>
            <w:vAlign w:val="center"/>
          </w:tcPr>
          <w:p>
            <w:pPr>
              <w:pStyle w:val="32"/>
              <w:shd w:val="clear" w:color="auto" w:fill="FFFFFF"/>
              <w:spacing w:line="240" w:lineRule="auto"/>
              <w:ind w:firstLine="210" w:firstLineChars="100"/>
              <w:rPr>
                <w:rFonts w:ascii="宋体" w:eastAsia="宋体" w:cs="宋体"/>
                <w:color w:val="333333"/>
                <w:sz w:val="21"/>
                <w:szCs w:val="21"/>
                <w:shd w:val="clear" w:color="auto" w:fill="FFFFFF"/>
              </w:rPr>
            </w:pPr>
            <w:r>
              <w:rPr>
                <w:rFonts w:hint="eastAsia" w:ascii="宋体" w:eastAsia="宋体" w:cs="宋体"/>
                <w:color w:val="333333"/>
                <w:sz w:val="21"/>
                <w:szCs w:val="21"/>
                <w:shd w:val="clear" w:color="auto" w:fill="FFFFFF"/>
              </w:rPr>
              <w:t>生产、储存危险化学品的单位，应当在其作业场所设置通信、报警装置，并保证处于适用状态。</w:t>
            </w:r>
          </w:p>
        </w:tc>
        <w:tc>
          <w:tcPr>
            <w:tcW w:w="0" w:type="auto"/>
            <w:vAlign w:val="center"/>
          </w:tcPr>
          <w:p>
            <w:pPr>
              <w:autoSpaceDE w:val="0"/>
              <w:autoSpaceDN w:val="0"/>
              <w:spacing w:line="240" w:lineRule="auto"/>
              <w:ind w:firstLine="0" w:firstLineChars="0"/>
              <w:jc w:val="center"/>
              <w:rPr>
                <w:rFonts w:ascii="宋体" w:hAnsi="宋体" w:cs="宋体"/>
                <w:color w:val="auto"/>
                <w:sz w:val="21"/>
                <w:szCs w:val="21"/>
              </w:rPr>
            </w:pPr>
            <w:r>
              <w:rPr>
                <w:rFonts w:hint="eastAsia" w:ascii="宋体" w:hAnsi="宋体" w:cs="宋体"/>
                <w:color w:val="000000" w:themeColor="text1"/>
                <w:sz w:val="21"/>
                <w:szCs w:val="21"/>
              </w:rPr>
              <w:t>《危险化学品安全管理条例》（国务院令第344号公布，第591号第一次修正，第645号第二次修正）第</w:t>
            </w:r>
            <w:r>
              <w:rPr>
                <w:rFonts w:hint="eastAsia" w:ascii="宋体" w:hAnsi="宋体" w:cs="宋体"/>
                <w:color w:val="auto"/>
                <w:sz w:val="21"/>
                <w:szCs w:val="21"/>
              </w:rPr>
              <w:t>21条</w:t>
            </w:r>
          </w:p>
        </w:tc>
        <w:tc>
          <w:tcPr>
            <w:tcW w:w="1386" w:type="pct"/>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ascii="宋体" w:hAnsi="宋体" w:cs="宋体"/>
                <w:kern w:val="0"/>
                <w:sz w:val="21"/>
                <w:szCs w:val="21"/>
              </w:rPr>
              <w:t>有毒气体浓度检测仪过期未校</w:t>
            </w:r>
          </w:p>
        </w:tc>
        <w:tc>
          <w:tcPr>
            <w:tcW w:w="406"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cs="宋体"/>
                <w:kern w:val="0"/>
                <w:sz w:val="21"/>
                <w:szCs w:val="21"/>
                <w:lang w:val="en-US" w:eastAsia="zh-CN"/>
              </w:rPr>
              <w:t>不</w:t>
            </w: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12</w:t>
            </w:r>
          </w:p>
        </w:tc>
        <w:tc>
          <w:tcPr>
            <w:tcW w:w="1993" w:type="pct"/>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ascii="宋体" w:hAnsi="宋体" w:cs="宋体"/>
                <w:kern w:val="0"/>
                <w:sz w:val="21"/>
                <w:szCs w:val="21"/>
              </w:rPr>
              <w:t>特种设备使用单位应当对在用特种设备的安全附件、安全保护装置、测量调控装置及有关附属仪器仪表进行定期校验、检修，并作出记录。</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《特种设备安全监察条例》（中华人民共和国国务院令第549号）第二十七条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特种设备的安全附件进行定期校验、检修。</w:t>
            </w:r>
            <w:r>
              <w:rPr>
                <w:rFonts w:hint="eastAsia" w:ascii="宋体" w:hAnsi="宋体" w:cs="宋体"/>
                <w:color w:val="000000" w:themeColor="text1"/>
                <w:sz w:val="21"/>
                <w:szCs w:val="21"/>
              </w:rPr>
              <w:t>详见</w:t>
            </w:r>
            <w:r>
              <w:rPr>
                <w:rFonts w:hint="eastAsia" w:ascii="宋体" w:hAnsi="宋体" w:cs="宋体"/>
                <w:sz w:val="21"/>
                <w:szCs w:val="21"/>
                <w:lang w:val="en-US" w:eastAsia="zh-CN"/>
              </w:rPr>
              <w:t>报告</w:t>
            </w:r>
            <w:r>
              <w:rPr>
                <w:rFonts w:hint="eastAsia" w:ascii="宋体" w:hAnsi="宋体" w:cs="宋体"/>
                <w:sz w:val="21"/>
                <w:szCs w:val="21"/>
                <w:lang w:eastAsia="zh-CN"/>
              </w:rPr>
              <w:t>F</w:t>
            </w:r>
            <w:r>
              <w:rPr>
                <w:rFonts w:hint="eastAsia" w:ascii="宋体" w:hAnsi="宋体" w:cs="宋体"/>
                <w:color w:val="000000" w:themeColor="text1"/>
                <w:sz w:val="21"/>
                <w:szCs w:val="21"/>
              </w:rPr>
              <w:t>6.2</w:t>
            </w:r>
            <w:r>
              <w:rPr>
                <w:rFonts w:hint="eastAsia" w:ascii="宋体" w:hAnsi="宋体" w:cs="宋体"/>
                <w:color w:val="000000" w:themeColor="text1"/>
                <w:sz w:val="21"/>
                <w:szCs w:val="21"/>
                <w:lang w:val="en-US" w:eastAsia="zh-CN"/>
              </w:rPr>
              <w:t>8</w:t>
            </w:r>
            <w:r>
              <w:rPr>
                <w:rFonts w:hint="eastAsia" w:ascii="宋体" w:hAnsi="宋体" w:cs="宋体"/>
                <w:color w:val="000000" w:themeColor="text1"/>
                <w:sz w:val="21"/>
                <w:szCs w:val="21"/>
              </w:rPr>
              <w:t>、6.2</w:t>
            </w:r>
            <w:r>
              <w:rPr>
                <w:rFonts w:hint="eastAsia" w:ascii="宋体" w:hAnsi="宋体" w:cs="宋体"/>
                <w:color w:val="000000" w:themeColor="text1"/>
                <w:sz w:val="21"/>
                <w:szCs w:val="21"/>
                <w:lang w:val="en-US" w:eastAsia="zh-CN"/>
              </w:rPr>
              <w:t>9</w:t>
            </w:r>
            <w:r>
              <w:rPr>
                <w:rFonts w:hint="eastAsia" w:ascii="宋体" w:hAnsi="宋体" w:cs="宋体"/>
                <w:color w:val="000000" w:themeColor="text1"/>
                <w:sz w:val="21"/>
                <w:szCs w:val="21"/>
              </w:rPr>
              <w:t>。</w:t>
            </w:r>
          </w:p>
        </w:tc>
        <w:tc>
          <w:tcPr>
            <w:tcW w:w="406"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vAlign w:val="center"/>
          </w:tcPr>
          <w:p>
            <w:pPr>
              <w:autoSpaceDE w:val="0"/>
              <w:autoSpaceDN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13</w:t>
            </w:r>
          </w:p>
        </w:tc>
        <w:tc>
          <w:tcPr>
            <w:tcW w:w="1993" w:type="pct"/>
            <w:vAlign w:val="center"/>
          </w:tcPr>
          <w:p>
            <w:pPr>
              <w:autoSpaceDE w:val="0"/>
              <w:autoSpaceDN w:val="0"/>
              <w:spacing w:line="240" w:lineRule="auto"/>
              <w:ind w:firstLine="210" w:firstLineChars="100"/>
              <w:jc w:val="left"/>
              <w:rPr>
                <w:rFonts w:ascii="宋体" w:hAnsi="宋体" w:cs="宋体"/>
                <w:kern w:val="0"/>
                <w:sz w:val="21"/>
                <w:szCs w:val="21"/>
              </w:rPr>
            </w:pPr>
            <w:r>
              <w:rPr>
                <w:rFonts w:hint="eastAsia" w:ascii="宋体" w:hAnsi="宋体" w:cs="宋体"/>
                <w:kern w:val="0"/>
                <w:sz w:val="21"/>
                <w:szCs w:val="21"/>
              </w:rPr>
              <w:t>生产经营单位应当加强对本单位特种作业人员的管理，建立健全特种作业人员培训、复审档案，做好申报、培训、考核、复审的组织工作和日常的检查工作。</w:t>
            </w:r>
          </w:p>
        </w:tc>
        <w:tc>
          <w:tcPr>
            <w:tcW w:w="0" w:type="auto"/>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rPr>
              <w:t>《特种作业人员安全技术培训考核管理规定》（国家安监总局第30号令、根据国家安全生产监督管理总局第80号令）第三十五条</w:t>
            </w:r>
          </w:p>
        </w:tc>
        <w:tc>
          <w:tcPr>
            <w:tcW w:w="1386" w:type="pct"/>
            <w:vAlign w:val="center"/>
          </w:tcPr>
          <w:p>
            <w:pPr>
              <w:autoSpaceDE w:val="0"/>
              <w:autoSpaceDN w:val="0"/>
              <w:spacing w:line="240" w:lineRule="auto"/>
              <w:ind w:firstLine="210" w:firstLineChars="100"/>
              <w:jc w:val="left"/>
              <w:rPr>
                <w:rFonts w:cs="宋体"/>
                <w:kern w:val="0"/>
                <w:sz w:val="21"/>
                <w:szCs w:val="21"/>
              </w:rPr>
            </w:pPr>
            <w:r>
              <w:rPr>
                <w:rFonts w:hint="eastAsia" w:cs="宋体"/>
                <w:kern w:val="0"/>
                <w:sz w:val="21"/>
                <w:szCs w:val="21"/>
              </w:rPr>
              <w:t>建立了特种作业人员管理制度，对特种作业人员培训等工作做出明确规定。</w:t>
            </w:r>
          </w:p>
        </w:tc>
        <w:tc>
          <w:tcPr>
            <w:tcW w:w="406" w:type="pct"/>
            <w:vAlign w:val="center"/>
          </w:tcPr>
          <w:p>
            <w:pPr>
              <w:autoSpaceDE w:val="0"/>
              <w:autoSpaceDN w:val="0"/>
              <w:spacing w:line="240" w:lineRule="auto"/>
              <w:ind w:firstLine="0" w:firstLineChars="0"/>
              <w:jc w:val="center"/>
              <w:rPr>
                <w:rFonts w:cs="宋体"/>
                <w:kern w:val="0"/>
                <w:sz w:val="21"/>
                <w:szCs w:val="21"/>
              </w:rPr>
            </w:pPr>
            <w:r>
              <w:rPr>
                <w:rFonts w:hint="eastAsia" w:cs="宋体"/>
                <w:kern w:val="0"/>
                <w:sz w:val="21"/>
                <w:szCs w:val="21"/>
                <w:lang w:eastAsia="en-US"/>
              </w:rPr>
              <w:t>符合</w:t>
            </w:r>
            <w:r>
              <w:rPr>
                <w:rFonts w:hint="eastAsia" w:cs="宋体"/>
                <w:kern w:val="0"/>
                <w:sz w:val="21"/>
                <w:szCs w:val="21"/>
              </w:rPr>
              <w:t>要求</w:t>
            </w:r>
          </w:p>
        </w:tc>
      </w:tr>
    </w:tbl>
    <w:p>
      <w:pPr>
        <w:ind w:firstLine="560"/>
        <w:rPr>
          <w:color w:val="000000" w:themeColor="text1"/>
          <w:lang w:val="zh-CN"/>
        </w:rPr>
      </w:pPr>
    </w:p>
    <w:p>
      <w:pPr>
        <w:ind w:firstLine="560"/>
        <w:rPr>
          <w:rFonts w:hint="eastAsia"/>
          <w:color w:val="000000" w:themeColor="text1"/>
        </w:rPr>
      </w:pPr>
      <w:r>
        <w:rPr>
          <w:rFonts w:hint="eastAsia"/>
          <w:color w:val="000000" w:themeColor="text1"/>
        </w:rPr>
        <w:t>由上述安全检查表的检查结果可知：跃进化工安全管理符合《中华人民共和国安全生产法》（中华人民共和国主席令第88号，自2021年9月1日起施行）、《危险化学品生产企业安全生产许可证实施办法》（</w:t>
      </w:r>
      <w:r>
        <w:rPr>
          <w:color w:val="000000" w:themeColor="text1"/>
        </w:rPr>
        <w:t>国家安全生产监督管理总局令第41号，第79号第一次修正，第89号第二次修正</w:t>
      </w:r>
      <w:r>
        <w:rPr>
          <w:rFonts w:hint="eastAsia"/>
          <w:color w:val="000000" w:themeColor="text1"/>
        </w:rPr>
        <w:t>）、《生产经营单位安全培训规定》（</w:t>
      </w:r>
      <w:r>
        <w:rPr>
          <w:color w:val="000000" w:themeColor="text1"/>
        </w:rPr>
        <w:t>国家安全生产监管总局令〔2015〕第80号</w:t>
      </w:r>
      <w:r>
        <w:rPr>
          <w:rFonts w:hint="eastAsia"/>
          <w:color w:val="000000" w:themeColor="text1"/>
        </w:rPr>
        <w:t>）等法律法规的有关要求。</w:t>
      </w:r>
    </w:p>
    <w:p>
      <w:pPr>
        <w:ind w:firstLine="560"/>
        <w:rPr>
          <w:rFonts w:hint="eastAsia" w:ascii="宋体" w:hAnsi="宋体" w:cs="宋体"/>
          <w:kern w:val="0"/>
          <w:sz w:val="28"/>
          <w:szCs w:val="28"/>
          <w:lang w:val="en-US" w:eastAsia="zh-CN"/>
        </w:rPr>
      </w:pPr>
      <w:r>
        <w:rPr>
          <w:rFonts w:hint="eastAsia"/>
          <w:b/>
          <w:bCs/>
          <w:color w:val="000000" w:themeColor="text1"/>
          <w:lang w:val="en-US" w:eastAsia="zh-CN"/>
        </w:rPr>
        <w:t>存在问题：</w:t>
      </w:r>
      <w:r>
        <w:rPr>
          <w:rFonts w:hint="eastAsia"/>
          <w:b w:val="0"/>
          <w:bCs w:val="0"/>
          <w:color w:val="000000" w:themeColor="text1"/>
          <w:lang w:val="en-US" w:eastAsia="zh-CN"/>
        </w:rPr>
        <w:t>1.</w:t>
      </w:r>
      <w:r>
        <w:rPr>
          <w:rFonts w:hint="eastAsia"/>
          <w:color w:val="000000" w:themeColor="text1"/>
          <w:lang w:val="en-US" w:eastAsia="zh-CN"/>
        </w:rPr>
        <w:t>《危险化学品安全管理条例》（国务院令第344号公布，第591号第一次修正，第645号第二次修正）第21条要求，生产、储存危险化学品的单位，应当在其作业场所设置通信、报警装置，并保证处于适用状态。跃进化工</w:t>
      </w:r>
      <w:r>
        <w:rPr>
          <w:rFonts w:hint="eastAsia" w:ascii="宋体" w:hAnsi="宋体" w:cs="宋体"/>
          <w:kern w:val="0"/>
          <w:sz w:val="28"/>
          <w:szCs w:val="28"/>
        </w:rPr>
        <w:t>有毒气体浓度检测仪过期未校</w:t>
      </w:r>
      <w:r>
        <w:rPr>
          <w:rFonts w:hint="eastAsia" w:ascii="宋体" w:hAnsi="宋体" w:cs="宋体"/>
          <w:kern w:val="0"/>
          <w:sz w:val="28"/>
          <w:szCs w:val="28"/>
          <w:lang w:eastAsia="zh-CN"/>
        </w:rPr>
        <w:t>，</w:t>
      </w:r>
      <w:r>
        <w:rPr>
          <w:rFonts w:hint="eastAsia" w:ascii="宋体" w:hAnsi="宋体" w:cs="宋体"/>
          <w:kern w:val="0"/>
          <w:sz w:val="28"/>
          <w:szCs w:val="28"/>
          <w:lang w:val="en-US" w:eastAsia="zh-CN"/>
        </w:rPr>
        <w:t>要求公司立即请有资质的单位对</w:t>
      </w:r>
      <w:r>
        <w:rPr>
          <w:rFonts w:hint="eastAsia" w:ascii="宋体" w:hAnsi="宋体" w:cs="宋体"/>
          <w:kern w:val="0"/>
          <w:sz w:val="28"/>
          <w:szCs w:val="28"/>
        </w:rPr>
        <w:t>有毒气体浓度检测仪</w:t>
      </w:r>
      <w:r>
        <w:rPr>
          <w:rFonts w:hint="eastAsia" w:ascii="宋体" w:hAnsi="宋体" w:cs="宋体"/>
          <w:kern w:val="0"/>
          <w:sz w:val="28"/>
          <w:szCs w:val="28"/>
          <w:lang w:val="en-US" w:eastAsia="zh-CN"/>
        </w:rPr>
        <w:t>进行校验。</w:t>
      </w:r>
    </w:p>
    <w:p>
      <w:pPr>
        <w:ind w:firstLine="560"/>
        <w:rPr>
          <w:rFonts w:hint="default" w:eastAsia="宋体"/>
          <w:color w:val="000000" w:themeColor="text1"/>
          <w:lang w:val="en-US" w:eastAsia="zh-CN"/>
        </w:rPr>
      </w:pPr>
      <w:r>
        <w:rPr>
          <w:rFonts w:hint="eastAsia" w:ascii="宋体" w:hAnsi="宋体" w:cs="宋体"/>
          <w:kern w:val="0"/>
          <w:sz w:val="28"/>
          <w:szCs w:val="28"/>
          <w:lang w:val="en-US" w:eastAsia="zh-CN"/>
        </w:rPr>
        <w:t>2.根据《中华人民共和国安全生产法》（中华人民共和国主席令第88号）第35条：生产经营单位应当在有较大危险因素的生产经营场所和有关设施、设备上，设置明显的安全警示标志。</w:t>
      </w:r>
      <w:r>
        <w:rPr>
          <w:rFonts w:hint="eastAsia" w:ascii="宋体" w:hAnsi="宋体" w:cs="宋体"/>
          <w:kern w:val="0"/>
          <w:sz w:val="28"/>
          <w:szCs w:val="28"/>
          <w:lang w:val="en-US" w:eastAsia="zh-CN"/>
        </w:rPr>
        <w:tab/>
      </w:r>
      <w:r>
        <w:rPr>
          <w:rFonts w:hint="eastAsia" w:ascii="宋体" w:hAnsi="宋体" w:cs="宋体"/>
          <w:kern w:val="0"/>
          <w:sz w:val="28"/>
          <w:szCs w:val="28"/>
          <w:lang w:val="en-US" w:eastAsia="zh-CN"/>
        </w:rPr>
        <w:t>现场</w:t>
      </w:r>
      <w:r>
        <w:rPr>
          <w:rFonts w:hint="eastAsia" w:ascii="宋体" w:hAnsi="宋体" w:cs="宋体"/>
          <w:b w:val="0"/>
          <w:bCs w:val="0"/>
          <w:sz w:val="28"/>
          <w:szCs w:val="28"/>
          <w:u w:val="none" w:color="auto"/>
          <w:lang w:val="en-US" w:eastAsia="zh-CN"/>
        </w:rPr>
        <w:t>检查发现</w:t>
      </w:r>
      <w:r>
        <w:rPr>
          <w:rFonts w:hint="eastAsia" w:hAnsi="宋体" w:eastAsia="宋体" w:cs="宋体"/>
          <w:b w:val="0"/>
          <w:bCs w:val="0"/>
          <w:sz w:val="28"/>
          <w:szCs w:val="28"/>
          <w:u w:val="none" w:color="auto"/>
          <w:lang w:val="en-US" w:eastAsia="zh-CN"/>
        </w:rPr>
        <w:t>部份腐蚀</w:t>
      </w:r>
      <w:r>
        <w:rPr>
          <w:rFonts w:hint="eastAsia" w:hAnsi="宋体" w:cs="宋体"/>
          <w:b w:val="0"/>
          <w:bCs w:val="0"/>
          <w:sz w:val="28"/>
          <w:szCs w:val="28"/>
          <w:u w:val="none" w:color="auto"/>
          <w:lang w:val="en-US" w:eastAsia="zh-CN"/>
        </w:rPr>
        <w:t>，要求跃进公司立即更换</w:t>
      </w:r>
      <w:r>
        <w:rPr>
          <w:rFonts w:hint="eastAsia" w:hAnsi="宋体" w:eastAsia="宋体" w:cs="宋体"/>
          <w:b w:val="0"/>
          <w:bCs w:val="0"/>
          <w:sz w:val="28"/>
          <w:szCs w:val="28"/>
          <w:u w:val="none" w:color="auto"/>
          <w:lang w:val="en-US" w:eastAsia="zh-CN"/>
        </w:rPr>
        <w:t>安全警示标志牌。</w:t>
      </w:r>
    </w:p>
    <w:p>
      <w:pPr>
        <w:pStyle w:val="4"/>
        <w:keepNext w:val="0"/>
        <w:keepLines w:val="0"/>
        <w:ind w:firstLine="562"/>
      </w:pPr>
      <w:bookmarkStart w:id="4450" w:name="_Toc29833"/>
      <w:bookmarkStart w:id="4451" w:name="_Toc31755"/>
      <w:bookmarkStart w:id="4452" w:name="_Toc31140"/>
      <w:bookmarkStart w:id="4453" w:name="_Toc9914"/>
      <w:bookmarkStart w:id="4454" w:name="_Toc13047"/>
      <w:r>
        <w:rPr>
          <w:rFonts w:hint="eastAsia"/>
        </w:rPr>
        <w:t>F4.4.2 应急救援安全评价</w:t>
      </w:r>
      <w:bookmarkEnd w:id="4450"/>
      <w:bookmarkEnd w:id="4451"/>
      <w:bookmarkEnd w:id="4452"/>
      <w:bookmarkEnd w:id="4453"/>
      <w:bookmarkEnd w:id="4454"/>
    </w:p>
    <w:p>
      <w:pPr>
        <w:widowControl/>
        <w:topLinePunct/>
        <w:ind w:firstLine="560"/>
        <w:rPr>
          <w:rFonts w:ascii="宋体" w:hAnsi="宋体"/>
          <w:color w:val="000000" w:themeColor="text1"/>
          <w:kern w:val="0"/>
          <w:szCs w:val="28"/>
          <w:lang w:val="zh-CN"/>
        </w:rPr>
      </w:pPr>
      <w:r>
        <w:rPr>
          <w:rFonts w:hint="eastAsia" w:ascii="宋体" w:hAnsi="宋体"/>
          <w:color w:val="000000" w:themeColor="text1"/>
          <w:kern w:val="0"/>
          <w:szCs w:val="28"/>
          <w:lang w:val="zh-CN"/>
        </w:rPr>
        <w:t>本节根据《生产安全事故应急条例》</w:t>
      </w:r>
      <w:r>
        <w:rPr>
          <w:color w:val="000000" w:themeColor="text1"/>
        </w:rPr>
        <w:t>（中华人民共和国国务院第708号令</w:t>
      </w:r>
      <w:r>
        <w:rPr>
          <w:rFonts w:hint="eastAsia" w:ascii="宋体" w:hAnsi="宋体"/>
          <w:color w:val="000000" w:themeColor="text1"/>
          <w:kern w:val="0"/>
          <w:szCs w:val="28"/>
          <w:lang w:val="zh-CN"/>
        </w:rPr>
        <w:t>）、《生产安全事故应急预案管理办法》（2019年7月11日应急管理部令第2号令修订）、《生产经营单位生产安全事故应急预案编制导则》（GB/T29639-20</w:t>
      </w:r>
      <w:r>
        <w:rPr>
          <w:rFonts w:hint="eastAsia" w:ascii="宋体" w:hAnsi="宋体"/>
          <w:color w:val="000000" w:themeColor="text1"/>
          <w:kern w:val="0"/>
          <w:szCs w:val="28"/>
        </w:rPr>
        <w:t>20</w:t>
      </w:r>
      <w:r>
        <w:rPr>
          <w:rFonts w:hint="eastAsia" w:ascii="宋体" w:hAnsi="宋体"/>
          <w:color w:val="000000" w:themeColor="text1"/>
          <w:kern w:val="0"/>
          <w:szCs w:val="28"/>
          <w:lang w:val="zh-CN"/>
        </w:rPr>
        <w:t>）等有关要求，对</w:t>
      </w:r>
      <w:r>
        <w:rPr>
          <w:rFonts w:hint="eastAsia" w:ascii="宋体" w:hAnsi="宋体"/>
          <w:color w:val="000000" w:themeColor="text1"/>
          <w:kern w:val="0"/>
          <w:szCs w:val="28"/>
        </w:rPr>
        <w:t>该</w:t>
      </w:r>
      <w:r>
        <w:rPr>
          <w:rFonts w:hint="eastAsia" w:ascii="宋体" w:hAnsi="宋体"/>
          <w:color w:val="000000" w:themeColor="text1"/>
          <w:kern w:val="0"/>
          <w:szCs w:val="28"/>
          <w:lang w:val="zh-CN"/>
        </w:rPr>
        <w:t>公司应急救援进行检查评价，具体检查情况见</w:t>
      </w:r>
      <w:r>
        <w:rPr>
          <w:rFonts w:hint="eastAsia"/>
          <w:snapToGrid w:val="0"/>
          <w:color w:val="000000" w:themeColor="text1"/>
          <w:kern w:val="0"/>
          <w:szCs w:val="28"/>
        </w:rPr>
        <w:t>F</w:t>
      </w:r>
      <w:r>
        <w:rPr>
          <w:rFonts w:hint="eastAsia" w:ascii="宋体" w:hAnsi="宋体"/>
          <w:color w:val="000000" w:themeColor="text1"/>
          <w:kern w:val="0"/>
          <w:szCs w:val="28"/>
          <w:lang w:val="zh-CN"/>
        </w:rPr>
        <w:t>表</w:t>
      </w:r>
      <w:r>
        <w:rPr>
          <w:rFonts w:hint="eastAsia" w:ascii="宋体" w:hAnsi="宋体"/>
          <w:color w:val="000000" w:themeColor="text1"/>
          <w:kern w:val="0"/>
          <w:szCs w:val="28"/>
        </w:rPr>
        <w:t>4</w:t>
      </w:r>
      <w:r>
        <w:rPr>
          <w:rFonts w:hint="eastAsia" w:ascii="宋体" w:hAnsi="宋体"/>
          <w:color w:val="000000" w:themeColor="text1"/>
          <w:kern w:val="0"/>
          <w:szCs w:val="28"/>
          <w:lang w:val="zh-CN"/>
        </w:rPr>
        <w:t>.</w:t>
      </w:r>
      <w:r>
        <w:rPr>
          <w:rFonts w:hint="eastAsia" w:ascii="宋体" w:hAnsi="宋体"/>
          <w:color w:val="000000" w:themeColor="text1"/>
          <w:kern w:val="0"/>
          <w:szCs w:val="28"/>
        </w:rPr>
        <w:t>4</w:t>
      </w:r>
      <w:r>
        <w:rPr>
          <w:rFonts w:hint="eastAsia" w:ascii="宋体" w:hAnsi="宋体"/>
          <w:color w:val="000000" w:themeColor="text1"/>
          <w:kern w:val="0"/>
          <w:szCs w:val="28"/>
          <w:lang w:val="zh-CN"/>
        </w:rPr>
        <w:t>-2。</w:t>
      </w:r>
    </w:p>
    <w:p>
      <w:pPr>
        <w:pStyle w:val="92"/>
        <w:rPr>
          <w:sz w:val="24"/>
          <w:szCs w:val="24"/>
          <w:lang w:val="zh-CN"/>
        </w:rPr>
      </w:pPr>
      <w:r>
        <w:rPr>
          <w:rFonts w:hint="eastAsia"/>
          <w:sz w:val="24"/>
          <w:szCs w:val="24"/>
        </w:rPr>
        <w:t>F</w:t>
      </w:r>
      <w:r>
        <w:rPr>
          <w:rFonts w:hint="eastAsia"/>
          <w:sz w:val="24"/>
          <w:szCs w:val="24"/>
          <w:lang w:val="zh-CN"/>
        </w:rPr>
        <w:t>表</w:t>
      </w:r>
      <w:r>
        <w:rPr>
          <w:rFonts w:hint="eastAsia"/>
          <w:sz w:val="24"/>
          <w:szCs w:val="24"/>
        </w:rPr>
        <w:t>4</w:t>
      </w:r>
      <w:r>
        <w:rPr>
          <w:rFonts w:hint="eastAsia"/>
          <w:sz w:val="24"/>
          <w:szCs w:val="24"/>
          <w:lang w:val="zh-CN"/>
        </w:rPr>
        <w:t>.</w:t>
      </w:r>
      <w:r>
        <w:rPr>
          <w:rFonts w:hint="eastAsia"/>
          <w:sz w:val="24"/>
          <w:szCs w:val="24"/>
        </w:rPr>
        <w:t>4</w:t>
      </w:r>
      <w:r>
        <w:rPr>
          <w:rFonts w:hint="eastAsia"/>
          <w:sz w:val="24"/>
          <w:szCs w:val="24"/>
          <w:lang w:val="zh-CN"/>
        </w:rPr>
        <w:t>-2</w:t>
      </w:r>
      <w:r>
        <w:rPr>
          <w:rFonts w:hint="eastAsia"/>
          <w:sz w:val="24"/>
          <w:szCs w:val="24"/>
        </w:rPr>
        <w:t xml:space="preserve"> 事故应急救援</w:t>
      </w:r>
      <w:r>
        <w:rPr>
          <w:rFonts w:hint="eastAsia"/>
          <w:sz w:val="24"/>
          <w:szCs w:val="24"/>
          <w:lang w:val="zh-CN"/>
        </w:rPr>
        <w:t>安全检查表</w:t>
      </w:r>
    </w:p>
    <w:tbl>
      <w:tblPr>
        <w:tblStyle w:val="38"/>
        <w:tblW w:w="48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3852"/>
        <w:gridCol w:w="2004"/>
        <w:gridCol w:w="1741"/>
        <w:gridCol w:w="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375" w:type="pct"/>
            <w:vAlign w:val="center"/>
          </w:tcPr>
          <w:p>
            <w:pPr>
              <w:spacing w:line="240" w:lineRule="auto"/>
              <w:ind w:firstLine="0" w:firstLineChars="0"/>
              <w:jc w:val="center"/>
              <w:rPr>
                <w:rFonts w:ascii="宋体" w:hAnsi="宋体"/>
                <w:b/>
                <w:bCs/>
                <w:color w:val="000000" w:themeColor="text1"/>
                <w:sz w:val="21"/>
                <w:szCs w:val="21"/>
              </w:rPr>
            </w:pPr>
            <w:r>
              <w:rPr>
                <w:rFonts w:hint="eastAsia" w:ascii="宋体" w:hAnsi="宋体"/>
                <w:b/>
                <w:bCs/>
                <w:color w:val="000000" w:themeColor="text1"/>
                <w:sz w:val="21"/>
                <w:szCs w:val="21"/>
              </w:rPr>
              <w:t>序号</w:t>
            </w:r>
          </w:p>
        </w:tc>
        <w:tc>
          <w:tcPr>
            <w:tcW w:w="2148" w:type="pct"/>
            <w:vAlign w:val="center"/>
          </w:tcPr>
          <w:p>
            <w:pPr>
              <w:spacing w:line="240" w:lineRule="auto"/>
              <w:ind w:firstLine="0" w:firstLineChars="0"/>
              <w:jc w:val="center"/>
              <w:rPr>
                <w:rFonts w:ascii="宋体" w:hAnsi="宋体"/>
                <w:b/>
                <w:bCs/>
                <w:color w:val="000000" w:themeColor="text1"/>
                <w:sz w:val="21"/>
                <w:szCs w:val="21"/>
              </w:rPr>
            </w:pPr>
            <w:r>
              <w:rPr>
                <w:rFonts w:hint="eastAsia" w:ascii="宋体" w:hAnsi="宋体"/>
                <w:b/>
                <w:bCs/>
                <w:color w:val="000000" w:themeColor="text1"/>
                <w:sz w:val="21"/>
                <w:szCs w:val="21"/>
              </w:rPr>
              <w:t>检  查  内  容</w:t>
            </w:r>
          </w:p>
        </w:tc>
        <w:tc>
          <w:tcPr>
            <w:tcW w:w="1118" w:type="pct"/>
            <w:vAlign w:val="center"/>
          </w:tcPr>
          <w:p>
            <w:pPr>
              <w:spacing w:line="240" w:lineRule="auto"/>
              <w:ind w:firstLine="0" w:firstLineChars="0"/>
              <w:jc w:val="center"/>
              <w:rPr>
                <w:rFonts w:ascii="宋体" w:hAnsi="宋体"/>
                <w:b/>
                <w:bCs/>
                <w:color w:val="000000" w:themeColor="text1"/>
                <w:sz w:val="21"/>
                <w:szCs w:val="21"/>
              </w:rPr>
            </w:pPr>
            <w:r>
              <w:rPr>
                <w:rFonts w:hint="eastAsia" w:ascii="宋体" w:hAnsi="宋体"/>
                <w:b/>
                <w:bCs/>
                <w:color w:val="000000" w:themeColor="text1"/>
                <w:sz w:val="21"/>
                <w:szCs w:val="21"/>
              </w:rPr>
              <w:t>依 据 标 准</w:t>
            </w:r>
          </w:p>
        </w:tc>
        <w:tc>
          <w:tcPr>
            <w:tcW w:w="971" w:type="pct"/>
            <w:vAlign w:val="center"/>
          </w:tcPr>
          <w:p>
            <w:pPr>
              <w:spacing w:line="240" w:lineRule="auto"/>
              <w:ind w:firstLine="0" w:firstLineChars="0"/>
              <w:jc w:val="center"/>
              <w:rPr>
                <w:rFonts w:ascii="宋体" w:hAnsi="宋体"/>
                <w:b/>
                <w:bCs/>
                <w:color w:val="000000" w:themeColor="text1"/>
                <w:sz w:val="21"/>
                <w:szCs w:val="21"/>
              </w:rPr>
            </w:pPr>
            <w:r>
              <w:rPr>
                <w:rFonts w:hint="eastAsia" w:ascii="宋体" w:hAnsi="宋体"/>
                <w:b/>
                <w:bCs/>
                <w:color w:val="000000" w:themeColor="text1"/>
                <w:sz w:val="21"/>
                <w:szCs w:val="21"/>
              </w:rPr>
              <w:t>检 查 情 况</w:t>
            </w:r>
          </w:p>
        </w:tc>
        <w:tc>
          <w:tcPr>
            <w:tcW w:w="386" w:type="pct"/>
            <w:vAlign w:val="center"/>
          </w:tcPr>
          <w:p>
            <w:pPr>
              <w:spacing w:line="240" w:lineRule="auto"/>
              <w:ind w:firstLine="0" w:firstLineChars="0"/>
              <w:jc w:val="center"/>
              <w:rPr>
                <w:rFonts w:ascii="宋体" w:hAnsi="宋体"/>
                <w:b/>
                <w:bCs/>
                <w:color w:val="000000" w:themeColor="text1"/>
                <w:sz w:val="21"/>
                <w:szCs w:val="21"/>
              </w:rPr>
            </w:pPr>
            <w:r>
              <w:rPr>
                <w:rFonts w:hint="eastAsia" w:ascii="宋体" w:hAnsi="宋体"/>
                <w:b/>
                <w:bCs/>
                <w:color w:val="000000" w:themeColor="text1"/>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w:t>
            </w:r>
          </w:p>
        </w:tc>
        <w:tc>
          <w:tcPr>
            <w:tcW w:w="2148"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kern w:val="0"/>
                <w:sz w:val="21"/>
                <w:szCs w:val="21"/>
              </w:rPr>
              <w:t>生产经营单位应急预案分为综合应急预案、专项应急预案和现场处置方案。生产经营单位应根据有关法律、法规和相关标准，结合本单位组织管理体系、生产规模和可能发生的事故特点、科学合理确立本单位的应急预案体系，并注意与其他类别应急预案相衔接。</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《生产经营单位生产安全事故应急预案编制导则》（GB/T29639-2020）</w:t>
            </w:r>
          </w:p>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第5.1条</w:t>
            </w:r>
          </w:p>
        </w:tc>
        <w:tc>
          <w:tcPr>
            <w:tcW w:w="971"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已按照要求编制</w:t>
            </w:r>
            <w:r>
              <w:rPr>
                <w:rFonts w:hint="eastAsia" w:ascii="宋体" w:hAnsi="宋体" w:cs="宋体"/>
                <w:sz w:val="21"/>
                <w:szCs w:val="21"/>
              </w:rPr>
              <w:t>生产安全事故</w:t>
            </w:r>
            <w:r>
              <w:rPr>
                <w:rFonts w:hint="eastAsia" w:ascii="宋体" w:hAnsi="宋体"/>
                <w:color w:val="000000" w:themeColor="text1"/>
                <w:sz w:val="21"/>
                <w:szCs w:val="21"/>
              </w:rPr>
              <w:t>应急预案并到漾濞彝族自治县应急管理局备案，详见</w:t>
            </w:r>
            <w:r>
              <w:rPr>
                <w:rFonts w:hint="eastAsia"/>
                <w:sz w:val="21"/>
                <w:szCs w:val="21"/>
                <w:lang w:val="en-US" w:eastAsia="zh-CN"/>
              </w:rPr>
              <w:t>报告F6.13</w:t>
            </w:r>
            <w:r>
              <w:rPr>
                <w:rFonts w:hint="eastAsia" w:ascii="宋体" w:hAnsi="宋体"/>
                <w:color w:val="000000" w:themeColor="text1"/>
                <w:sz w:val="21"/>
                <w:szCs w:val="21"/>
              </w:rPr>
              <w:t>。</w:t>
            </w:r>
          </w:p>
        </w:tc>
        <w:tc>
          <w:tcPr>
            <w:tcW w:w="386"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bCs/>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2</w:t>
            </w:r>
          </w:p>
        </w:tc>
        <w:tc>
          <w:tcPr>
            <w:tcW w:w="2148"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生产经营单位主要负责人负责组织编制和实施本单位的应急预案，并对应急预案的真实性和实用性负责；各分管负责人应当按照职责分工落实应急预案规定的职责。</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r>
              <w:rPr>
                <w:rFonts w:hint="eastAsia" w:ascii="宋体" w:hAnsi="宋体"/>
                <w:color w:val="000000" w:themeColor="text1"/>
                <w:sz w:val="21"/>
                <w:szCs w:val="21"/>
              </w:rPr>
              <w:t>第五条</w:t>
            </w:r>
          </w:p>
        </w:tc>
        <w:tc>
          <w:tcPr>
            <w:tcW w:w="971"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编制了应急预案并到漾濞彝族自治县应急管理局备案，详见</w:t>
            </w:r>
            <w:r>
              <w:rPr>
                <w:rFonts w:hint="eastAsia"/>
                <w:sz w:val="21"/>
                <w:szCs w:val="21"/>
                <w:lang w:val="en-US" w:eastAsia="zh-CN"/>
              </w:rPr>
              <w:t>报告F</w:t>
            </w:r>
            <w:r>
              <w:rPr>
                <w:rFonts w:hint="eastAsia" w:ascii="宋体" w:hAnsi="宋体"/>
                <w:color w:val="000000" w:themeColor="text1"/>
                <w:sz w:val="21"/>
                <w:szCs w:val="21"/>
              </w:rPr>
              <w:t>6.1</w:t>
            </w:r>
            <w:r>
              <w:rPr>
                <w:rFonts w:hint="eastAsia" w:ascii="宋体" w:hAnsi="宋体"/>
                <w:color w:val="000000" w:themeColor="text1"/>
                <w:sz w:val="21"/>
                <w:szCs w:val="21"/>
                <w:lang w:val="en-US" w:eastAsia="zh-CN"/>
              </w:rPr>
              <w:t>3</w:t>
            </w:r>
            <w:r>
              <w:rPr>
                <w:rFonts w:hint="eastAsia" w:ascii="宋体" w:hAnsi="宋体"/>
                <w:color w:val="000000" w:themeColor="text1"/>
                <w:sz w:val="21"/>
                <w:szCs w:val="21"/>
              </w:rPr>
              <w:t>。</w:t>
            </w:r>
          </w:p>
        </w:tc>
        <w:tc>
          <w:tcPr>
            <w:tcW w:w="386"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3</w:t>
            </w:r>
          </w:p>
        </w:tc>
        <w:tc>
          <w:tcPr>
            <w:tcW w:w="2148"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生产经营单位应急预案分为综合应急预案、专项应急预案和现场处置方案。</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r>
              <w:rPr>
                <w:rFonts w:hint="eastAsia" w:ascii="宋体" w:hAnsi="宋体"/>
                <w:color w:val="000000" w:themeColor="text1"/>
                <w:sz w:val="21"/>
                <w:szCs w:val="21"/>
              </w:rPr>
              <w:t>第六条</w:t>
            </w:r>
          </w:p>
        </w:tc>
        <w:tc>
          <w:tcPr>
            <w:tcW w:w="971"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经检查有相关内容。</w:t>
            </w:r>
          </w:p>
        </w:tc>
        <w:tc>
          <w:tcPr>
            <w:tcW w:w="386"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4</w:t>
            </w:r>
          </w:p>
        </w:tc>
        <w:tc>
          <w:tcPr>
            <w:tcW w:w="2148" w:type="pct"/>
            <w:vAlign w:val="center"/>
          </w:tcPr>
          <w:p>
            <w:pPr>
              <w:pStyle w:val="32"/>
              <w:shd w:val="clear" w:color="auto" w:fill="FFFFFF"/>
              <w:spacing w:line="240" w:lineRule="auto"/>
              <w:ind w:firstLine="210" w:firstLineChars="100"/>
              <w:rPr>
                <w:rFonts w:ascii="宋体" w:eastAsia="宋体" w:cs="宋体"/>
                <w:color w:val="333333"/>
                <w:sz w:val="21"/>
                <w:szCs w:val="21"/>
              </w:rPr>
            </w:pPr>
            <w:r>
              <w:rPr>
                <w:rFonts w:hint="eastAsia" w:ascii="宋体" w:eastAsia="宋体" w:cs="宋体"/>
                <w:bCs/>
                <w:color w:val="000000" w:themeColor="text1"/>
                <w:sz w:val="21"/>
                <w:szCs w:val="21"/>
              </w:rPr>
              <w:t>编制应急预案前，编制单位应当进行事故风险辨识、评估和应急资源调查。</w:t>
            </w:r>
            <w:r>
              <w:rPr>
                <w:rFonts w:hint="eastAsia" w:ascii="宋体" w:eastAsia="宋体" w:cs="宋体"/>
                <w:color w:val="333333"/>
                <w:sz w:val="21"/>
                <w:szCs w:val="21"/>
                <w:shd w:val="clear" w:color="auto" w:fill="FFFFFF"/>
              </w:rPr>
              <w:t>事故风险辨识、评估，是指针对不同事故种类及特点，识别存在</w:t>
            </w:r>
            <w:r>
              <w:rPr>
                <w:rFonts w:hint="eastAsia" w:ascii="宋体" w:eastAsia="宋体" w:cs="宋体"/>
                <w:color w:val="auto"/>
                <w:sz w:val="21"/>
                <w:szCs w:val="21"/>
                <w:shd w:val="clear" w:color="auto" w:fill="FFFFFF"/>
              </w:rPr>
              <w:t>的</w:t>
            </w:r>
            <w:r>
              <w:fldChar w:fldCharType="begin"/>
            </w:r>
            <w:r>
              <w:instrText xml:space="preserve"> HYPERLINK "https://baike.sogou.com/lemma/ShowInnerLink.htm?lemmaId=63234684&amp;ss_c=ssc.citiao.link" \t "https://baike.sogou.com/_blank" </w:instrText>
            </w:r>
            <w:r>
              <w:fldChar w:fldCharType="separate"/>
            </w:r>
            <w:r>
              <w:rPr>
                <w:rStyle w:val="47"/>
                <w:rFonts w:hint="eastAsia" w:ascii="宋体" w:eastAsia="宋体" w:cs="宋体"/>
                <w:color w:val="auto"/>
                <w:sz w:val="21"/>
                <w:szCs w:val="21"/>
                <w:shd w:val="clear" w:color="auto" w:fill="FFFFFF"/>
              </w:rPr>
              <w:t>危险危害因素</w:t>
            </w:r>
            <w:r>
              <w:rPr>
                <w:rStyle w:val="47"/>
                <w:rFonts w:hint="eastAsia" w:ascii="宋体" w:eastAsia="宋体" w:cs="宋体"/>
                <w:color w:val="auto"/>
                <w:sz w:val="21"/>
                <w:szCs w:val="21"/>
                <w:shd w:val="clear" w:color="auto" w:fill="FFFFFF"/>
              </w:rPr>
              <w:fldChar w:fldCharType="end"/>
            </w:r>
            <w:r>
              <w:rPr>
                <w:rFonts w:hint="eastAsia" w:ascii="宋体" w:eastAsia="宋体" w:cs="宋体"/>
                <w:color w:val="auto"/>
                <w:sz w:val="21"/>
                <w:szCs w:val="21"/>
                <w:shd w:val="clear" w:color="auto" w:fill="FFFFFF"/>
              </w:rPr>
              <w:t>，分析事故可能产生的直接后果以及次生、衍生后果，评估</w:t>
            </w:r>
            <w:r>
              <w:rPr>
                <w:rFonts w:hint="eastAsia" w:ascii="宋体" w:eastAsia="宋体" w:cs="宋体"/>
                <w:color w:val="333333"/>
                <w:sz w:val="21"/>
                <w:szCs w:val="21"/>
                <w:shd w:val="clear" w:color="auto" w:fill="FFFFFF"/>
              </w:rPr>
              <w:t>各种后果的危害程度和影响范围，提出防范和控制事故风险措施的过程。</w:t>
            </w:r>
          </w:p>
          <w:p>
            <w:pPr>
              <w:pStyle w:val="32"/>
              <w:shd w:val="clear" w:color="auto" w:fill="FFFFFF"/>
              <w:spacing w:line="240" w:lineRule="auto"/>
              <w:ind w:firstLine="210" w:firstLineChars="100"/>
              <w:rPr>
                <w:rFonts w:ascii="宋体" w:eastAsia="宋体"/>
                <w:bCs/>
                <w:color w:val="000000" w:themeColor="text1"/>
                <w:sz w:val="21"/>
                <w:szCs w:val="21"/>
              </w:rPr>
            </w:pPr>
            <w:r>
              <w:rPr>
                <w:rFonts w:hint="eastAsia" w:ascii="宋体" w:eastAsia="宋体" w:cs="宋体"/>
                <w:color w:val="333333"/>
                <w:sz w:val="21"/>
                <w:szCs w:val="21"/>
                <w:shd w:val="clear" w:color="auto" w:fill="FFFFFF"/>
              </w:rPr>
              <w:t>应急资源调查，是指全面调查本地区、本单位第一时间可以调用的应急资源状况和合作区域内可以请求援助的应急资源状况，并结合事故风险辨识评估结论制定应急措施的过程。</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r>
              <w:rPr>
                <w:rFonts w:hint="eastAsia" w:ascii="宋体" w:hAnsi="宋体"/>
                <w:color w:val="000000" w:themeColor="text1"/>
                <w:sz w:val="21"/>
                <w:szCs w:val="21"/>
              </w:rPr>
              <w:t>第十条</w:t>
            </w:r>
          </w:p>
        </w:tc>
        <w:tc>
          <w:tcPr>
            <w:tcW w:w="971"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经检查有相关内容。</w:t>
            </w:r>
          </w:p>
        </w:tc>
        <w:tc>
          <w:tcPr>
            <w:tcW w:w="386"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5</w:t>
            </w:r>
          </w:p>
        </w:tc>
        <w:tc>
          <w:tcPr>
            <w:tcW w:w="2148"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生产经营单位应当在编制应急预案的基础上，针对工作场所、岗位的特点，编制简明、实用、有效的应急处置卡。</w:t>
            </w:r>
          </w:p>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应急处置卡应当规定重点岗位、人员的应急处置程序和措施，以及相关联络人员和联系方式，便于从业人员携带。</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r>
              <w:rPr>
                <w:rFonts w:hint="eastAsia" w:ascii="宋体" w:hAnsi="宋体"/>
                <w:color w:val="000000" w:themeColor="text1"/>
                <w:sz w:val="21"/>
                <w:szCs w:val="21"/>
              </w:rPr>
              <w:t>第十九条</w:t>
            </w:r>
          </w:p>
        </w:tc>
        <w:tc>
          <w:tcPr>
            <w:tcW w:w="971"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公司已按相关要求执行。</w:t>
            </w:r>
          </w:p>
        </w:tc>
        <w:tc>
          <w:tcPr>
            <w:tcW w:w="386"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6</w:t>
            </w:r>
          </w:p>
        </w:tc>
        <w:tc>
          <w:tcPr>
            <w:tcW w:w="2148"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生产经营单位应当制定本单位的应急预案演练计划，根据本单位的事故风险特点，每年至少组织一次综合应急预案演练或者专项应急预案演练，每半年至少组织一次现场处置方案演练。</w:t>
            </w:r>
          </w:p>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易燃易爆物品、危险化学品等危险物品的生产、经营、储存、运输单位，矿山、金属冶炼、城市轨道交通运营、建筑施工单位，以及宾馆、商场、娱乐场所、旅游景区等人员密集场所经营单位，应当至少每半年组织一次生产安全事故应急预案演练，并将演练情况报送所在地县级以上地方人民政府负有安全生产监督管理职责的部门。</w:t>
            </w:r>
          </w:p>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县级以上地方人民政府负有安全生产监督管理职责的部门应当对本行政区域内前款规定的重点生产经营单位的生产安全事故应急救援预案演练进行抽查；发现演练不符合要求的，应当责令限期改正。</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r>
              <w:rPr>
                <w:rFonts w:hint="eastAsia" w:ascii="宋体" w:hAnsi="宋体"/>
                <w:color w:val="000000" w:themeColor="text1"/>
                <w:sz w:val="21"/>
                <w:szCs w:val="21"/>
              </w:rPr>
              <w:t>第三十三条</w:t>
            </w:r>
          </w:p>
        </w:tc>
        <w:tc>
          <w:tcPr>
            <w:tcW w:w="971"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公司已按相关要求执行。</w:t>
            </w:r>
          </w:p>
        </w:tc>
        <w:tc>
          <w:tcPr>
            <w:tcW w:w="386"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7</w:t>
            </w:r>
          </w:p>
        </w:tc>
        <w:tc>
          <w:tcPr>
            <w:tcW w:w="2148"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应急预案演练结束后，应急预案演练组织单位应当对应急预案演练效果进行评估，撰写应急预案演练评估报告，分析存在的问题，并对应急预案提出修订意见。</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r>
              <w:rPr>
                <w:rFonts w:hint="eastAsia" w:ascii="宋体" w:hAnsi="宋体"/>
                <w:color w:val="000000" w:themeColor="text1"/>
                <w:sz w:val="21"/>
                <w:szCs w:val="21"/>
              </w:rPr>
              <w:t>第三十四条</w:t>
            </w:r>
          </w:p>
        </w:tc>
        <w:tc>
          <w:tcPr>
            <w:tcW w:w="971"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公司按相关要求执行。</w:t>
            </w:r>
          </w:p>
        </w:tc>
        <w:tc>
          <w:tcPr>
            <w:tcW w:w="386"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8</w:t>
            </w:r>
          </w:p>
        </w:tc>
        <w:tc>
          <w:tcPr>
            <w:tcW w:w="2148"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生产经营单位应当按照应急预案的规定，落实应急指挥体系、应急救援队伍、应急物资及装备，建立应急物资、装备配备及其使用档案，并对应急物资、装备进行定期检测和维护，使其处于适用状态。</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《生产安全事故应急预案管理办法》（</w:t>
            </w:r>
            <w:r>
              <w:rPr>
                <w:color w:val="000000" w:themeColor="text1"/>
                <w:sz w:val="21"/>
                <w:szCs w:val="21"/>
              </w:rPr>
              <w:t>应急管理部令第2号</w:t>
            </w:r>
            <w:r>
              <w:rPr>
                <w:rFonts w:hint="eastAsia"/>
                <w:color w:val="000000" w:themeColor="text1"/>
                <w:sz w:val="21"/>
                <w:szCs w:val="21"/>
              </w:rPr>
              <w:t>）</w:t>
            </w:r>
            <w:r>
              <w:rPr>
                <w:rFonts w:hint="eastAsia" w:ascii="宋体" w:hAnsi="宋体"/>
                <w:color w:val="000000" w:themeColor="text1"/>
                <w:sz w:val="21"/>
                <w:szCs w:val="21"/>
              </w:rPr>
              <w:t>第三十八条</w:t>
            </w:r>
          </w:p>
        </w:tc>
        <w:tc>
          <w:tcPr>
            <w:tcW w:w="971" w:type="pct"/>
            <w:vAlign w:val="center"/>
          </w:tcPr>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公司按相关要求执行。成立应急指挥部，有应急救援队伍。</w:t>
            </w:r>
            <w:r>
              <w:rPr>
                <w:rFonts w:hint="eastAsia" w:ascii="宋体" w:hAnsi="宋体" w:cs="宋体"/>
                <w:color w:val="000000" w:themeColor="text1"/>
                <w:sz w:val="21"/>
                <w:szCs w:val="21"/>
              </w:rPr>
              <w:t>详见</w:t>
            </w:r>
            <w:r>
              <w:rPr>
                <w:rFonts w:hint="eastAsia" w:ascii="宋体" w:hAnsi="宋体" w:cs="宋体"/>
                <w:sz w:val="21"/>
                <w:szCs w:val="21"/>
                <w:lang w:val="en-US" w:eastAsia="zh-CN"/>
              </w:rPr>
              <w:t>报告</w:t>
            </w:r>
            <w:r>
              <w:rPr>
                <w:rFonts w:hint="eastAsia" w:ascii="宋体" w:hAnsi="宋体" w:cs="宋体"/>
                <w:sz w:val="21"/>
                <w:szCs w:val="21"/>
                <w:lang w:eastAsia="zh-CN"/>
              </w:rPr>
              <w:t>F</w:t>
            </w:r>
            <w:r>
              <w:rPr>
                <w:rFonts w:hint="eastAsia" w:ascii="宋体" w:hAnsi="宋体" w:cs="宋体"/>
                <w:color w:val="000000" w:themeColor="text1"/>
                <w:sz w:val="21"/>
                <w:szCs w:val="21"/>
              </w:rPr>
              <w:t>6.</w:t>
            </w:r>
            <w:r>
              <w:rPr>
                <w:rFonts w:hint="eastAsia" w:ascii="宋体" w:hAnsi="宋体" w:cs="宋体"/>
                <w:color w:val="000000" w:themeColor="text1"/>
                <w:sz w:val="21"/>
                <w:szCs w:val="21"/>
                <w:lang w:val="en-US" w:eastAsia="zh-CN"/>
              </w:rPr>
              <w:t>35</w:t>
            </w:r>
            <w:r>
              <w:rPr>
                <w:rFonts w:hint="eastAsia" w:ascii="宋体" w:hAnsi="宋体" w:cs="宋体"/>
                <w:color w:val="000000" w:themeColor="text1"/>
                <w:sz w:val="21"/>
                <w:szCs w:val="21"/>
              </w:rPr>
              <w:t>。</w:t>
            </w:r>
          </w:p>
        </w:tc>
        <w:tc>
          <w:tcPr>
            <w:tcW w:w="386"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9</w:t>
            </w:r>
          </w:p>
        </w:tc>
        <w:tc>
          <w:tcPr>
            <w:tcW w:w="2148" w:type="pct"/>
            <w:vAlign w:val="center"/>
          </w:tcPr>
          <w:p>
            <w:pPr>
              <w:spacing w:line="240" w:lineRule="auto"/>
              <w:ind w:firstLine="210" w:firstLineChars="100"/>
              <w:jc w:val="left"/>
              <w:rPr>
                <w:rFonts w:ascii="宋体" w:hAnsi="宋体"/>
                <w:bCs/>
                <w:color w:val="000000" w:themeColor="text1"/>
                <w:sz w:val="21"/>
                <w:szCs w:val="21"/>
              </w:rPr>
            </w:pPr>
            <w:r>
              <w:rPr>
                <w:rFonts w:hint="eastAsia" w:ascii="Arial" w:hAnsi="Arial" w:cs="Arial"/>
                <w:color w:val="000000" w:themeColor="text1"/>
                <w:sz w:val="21"/>
                <w:szCs w:val="21"/>
                <w:shd w:val="clear" w:color="auto" w:fill="FFFFFF"/>
              </w:rPr>
              <w:t>生产经营单位应当针对本单位可能发生的生产安全事故的特点和危害，进行风险辨识和评估，制定相应的生产安全事故应急救援预案，并向本单位从业人员公布。</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《生产安全事故应急条例》</w:t>
            </w:r>
            <w:r>
              <w:rPr>
                <w:color w:val="000000" w:themeColor="text1"/>
                <w:sz w:val="21"/>
                <w:szCs w:val="21"/>
              </w:rPr>
              <w:t>（中华人民共和国国务院第708号令</w:t>
            </w:r>
            <w:r>
              <w:rPr>
                <w:rFonts w:hint="eastAsia" w:ascii="宋体" w:hAnsi="宋体"/>
                <w:color w:val="000000" w:themeColor="text1"/>
                <w:kern w:val="0"/>
                <w:sz w:val="21"/>
                <w:szCs w:val="21"/>
                <w:lang w:val="zh-CN"/>
              </w:rPr>
              <w:t>）</w:t>
            </w:r>
            <w:r>
              <w:rPr>
                <w:rFonts w:hint="eastAsia" w:ascii="宋体" w:hAnsi="宋体"/>
                <w:color w:val="000000" w:themeColor="text1"/>
                <w:sz w:val="21"/>
                <w:szCs w:val="21"/>
              </w:rPr>
              <w:t>第五条</w:t>
            </w:r>
          </w:p>
        </w:tc>
        <w:tc>
          <w:tcPr>
            <w:tcW w:w="971"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编制的应急预案有相应的内容，并向从业人员公布。</w:t>
            </w:r>
          </w:p>
        </w:tc>
        <w:tc>
          <w:tcPr>
            <w:tcW w:w="386" w:type="pct"/>
            <w:vAlign w:val="center"/>
          </w:tcPr>
          <w:p>
            <w:pPr>
              <w:spacing w:line="240" w:lineRule="auto"/>
              <w:ind w:firstLine="0" w:firstLineChars="0"/>
              <w:jc w:val="center"/>
              <w:rPr>
                <w:rFonts w:ascii="宋体" w:hAnsi="宋体"/>
                <w:bCs/>
                <w:color w:val="000000" w:themeColor="text1"/>
                <w:sz w:val="21"/>
                <w:szCs w:val="21"/>
              </w:rPr>
            </w:pPr>
            <w:r>
              <w:rPr>
                <w:rFonts w:hint="eastAsia" w:ascii="宋体" w:hAnsi="宋体"/>
                <w:bCs/>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10</w:t>
            </w:r>
          </w:p>
        </w:tc>
        <w:tc>
          <w:tcPr>
            <w:tcW w:w="2148" w:type="pct"/>
            <w:vAlign w:val="center"/>
          </w:tcPr>
          <w:p>
            <w:pPr>
              <w:spacing w:line="240" w:lineRule="auto"/>
              <w:ind w:firstLine="210" w:firstLineChars="100"/>
              <w:jc w:val="left"/>
              <w:rPr>
                <w:rFonts w:ascii="宋体" w:hAnsi="宋体"/>
                <w:bCs/>
                <w:color w:val="000000" w:themeColor="text1"/>
                <w:sz w:val="21"/>
                <w:szCs w:val="21"/>
              </w:rPr>
            </w:pPr>
            <w:r>
              <w:rPr>
                <w:rFonts w:ascii="Arial" w:hAnsi="Arial" w:cs="Arial"/>
                <w:color w:val="000000" w:themeColor="text1"/>
                <w:sz w:val="21"/>
                <w:szCs w:val="21"/>
                <w:shd w:val="clear" w:color="auto" w:fill="FFFFFF"/>
              </w:rPr>
              <w:t>生产经营单位应当对从业人员进行应急教育和培训，保证从业人员具备必要的应急知识，掌握风险防范技能和事故应急措施。</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《生产安全事故应急条例》</w:t>
            </w:r>
            <w:r>
              <w:rPr>
                <w:color w:val="000000" w:themeColor="text1"/>
                <w:sz w:val="21"/>
                <w:szCs w:val="21"/>
              </w:rPr>
              <w:t>（中华人民共和国国务院第708号令</w:t>
            </w:r>
            <w:r>
              <w:rPr>
                <w:rFonts w:hint="eastAsia" w:ascii="宋体" w:hAnsi="宋体"/>
                <w:color w:val="000000" w:themeColor="text1"/>
                <w:kern w:val="0"/>
                <w:sz w:val="21"/>
                <w:szCs w:val="21"/>
                <w:lang w:val="zh-CN"/>
              </w:rPr>
              <w:t>）</w:t>
            </w:r>
            <w:r>
              <w:rPr>
                <w:rFonts w:hint="eastAsia" w:ascii="宋体" w:hAnsi="宋体"/>
                <w:color w:val="000000" w:themeColor="text1"/>
                <w:sz w:val="21"/>
                <w:szCs w:val="21"/>
              </w:rPr>
              <w:t>第十五条</w:t>
            </w:r>
          </w:p>
        </w:tc>
        <w:tc>
          <w:tcPr>
            <w:tcW w:w="971"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对从业人员进行教育和培训。</w:t>
            </w:r>
          </w:p>
        </w:tc>
        <w:tc>
          <w:tcPr>
            <w:tcW w:w="386" w:type="pct"/>
            <w:vAlign w:val="center"/>
          </w:tcPr>
          <w:p>
            <w:pPr>
              <w:spacing w:line="240" w:lineRule="auto"/>
              <w:ind w:firstLine="0" w:firstLineChars="0"/>
              <w:jc w:val="center"/>
              <w:rPr>
                <w:rFonts w:ascii="宋体" w:hAnsi="宋体"/>
                <w:bCs/>
                <w:color w:val="000000" w:themeColor="text1"/>
                <w:sz w:val="21"/>
                <w:szCs w:val="21"/>
              </w:rPr>
            </w:pPr>
            <w:r>
              <w:rPr>
                <w:rFonts w:hint="eastAsia" w:ascii="宋体" w:hAnsi="宋体"/>
                <w:bCs/>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5"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11</w:t>
            </w:r>
          </w:p>
        </w:tc>
        <w:tc>
          <w:tcPr>
            <w:tcW w:w="2148"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cs="宋体"/>
                <w:color w:val="000000" w:themeColor="text1"/>
                <w:kern w:val="0"/>
                <w:sz w:val="21"/>
                <w:szCs w:val="21"/>
              </w:rPr>
              <w:t>易燃易爆物品、危险化学品等危险物品的生产、经营、储存、运输单位，矿山、金属冶炼、城市轨道交通运营、建筑施工单位，以及宾馆、商场、娱乐场所、旅游景区等人员密集场所经营单位，应当根据本单位可能发生的生产安全事故的特点和危害，配备必要的灭火、排水、通风以及危险物品稀释、掩埋、收集等应急救援器材、设备和物资，并进行经常性维护、保养，保证正常运转。</w:t>
            </w:r>
          </w:p>
        </w:tc>
        <w:tc>
          <w:tcPr>
            <w:tcW w:w="1118"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《生产安全事故应急条例》</w:t>
            </w:r>
            <w:r>
              <w:rPr>
                <w:color w:val="000000" w:themeColor="text1"/>
                <w:sz w:val="21"/>
                <w:szCs w:val="21"/>
              </w:rPr>
              <w:t>（中华人民共和国国务院第708号令</w:t>
            </w:r>
            <w:r>
              <w:rPr>
                <w:rFonts w:hint="eastAsia" w:ascii="宋体" w:hAnsi="宋体"/>
                <w:color w:val="000000" w:themeColor="text1"/>
                <w:kern w:val="0"/>
                <w:sz w:val="21"/>
                <w:szCs w:val="21"/>
                <w:lang w:val="zh-CN"/>
              </w:rPr>
              <w:t>）</w:t>
            </w:r>
            <w:r>
              <w:rPr>
                <w:rFonts w:hint="eastAsia" w:ascii="宋体" w:hAnsi="宋体"/>
                <w:color w:val="000000" w:themeColor="text1"/>
                <w:sz w:val="21"/>
                <w:szCs w:val="21"/>
              </w:rPr>
              <w:t>第十三条</w:t>
            </w:r>
          </w:p>
        </w:tc>
        <w:tc>
          <w:tcPr>
            <w:tcW w:w="971" w:type="pct"/>
            <w:vAlign w:val="center"/>
          </w:tcPr>
          <w:p>
            <w:pPr>
              <w:spacing w:line="240" w:lineRule="auto"/>
              <w:ind w:firstLine="210" w:firstLineChars="100"/>
              <w:jc w:val="left"/>
              <w:rPr>
                <w:rFonts w:ascii="宋体" w:hAnsi="宋体"/>
                <w:bCs/>
                <w:color w:val="000000" w:themeColor="text1"/>
                <w:sz w:val="21"/>
                <w:szCs w:val="21"/>
              </w:rPr>
            </w:pPr>
            <w:r>
              <w:rPr>
                <w:rFonts w:hint="eastAsia" w:ascii="宋体" w:hAnsi="宋体"/>
                <w:bCs/>
                <w:color w:val="000000" w:themeColor="text1"/>
                <w:sz w:val="21"/>
                <w:szCs w:val="21"/>
              </w:rPr>
              <w:t>应急物资及装备定期维护。</w:t>
            </w:r>
          </w:p>
        </w:tc>
        <w:tc>
          <w:tcPr>
            <w:tcW w:w="386" w:type="pct"/>
            <w:vAlign w:val="center"/>
          </w:tcPr>
          <w:p>
            <w:pPr>
              <w:spacing w:line="240" w:lineRule="auto"/>
              <w:ind w:firstLine="0" w:firstLineChars="0"/>
              <w:jc w:val="center"/>
              <w:rPr>
                <w:rFonts w:ascii="宋体" w:hAnsi="宋体"/>
                <w:color w:val="000000" w:themeColor="text1"/>
                <w:sz w:val="21"/>
                <w:szCs w:val="21"/>
              </w:rPr>
            </w:pPr>
            <w:r>
              <w:rPr>
                <w:rFonts w:hint="eastAsia" w:ascii="宋体" w:hAnsi="宋体"/>
                <w:bCs/>
                <w:color w:val="000000" w:themeColor="text1"/>
                <w:sz w:val="21"/>
                <w:szCs w:val="21"/>
              </w:rPr>
              <w:t>符合要求</w:t>
            </w:r>
          </w:p>
        </w:tc>
      </w:tr>
    </w:tbl>
    <w:p>
      <w:pPr>
        <w:topLinePunct/>
        <w:ind w:firstLine="560"/>
        <w:rPr>
          <w:color w:val="000000" w:themeColor="text1"/>
        </w:rPr>
      </w:pPr>
    </w:p>
    <w:p>
      <w:pPr>
        <w:topLinePunct/>
        <w:ind w:firstLine="560"/>
        <w:rPr>
          <w:rFonts w:ascii="宋体" w:hAnsi="宋体"/>
          <w:color w:val="000000" w:themeColor="text1"/>
        </w:rPr>
      </w:pPr>
      <w:r>
        <w:rPr>
          <w:rFonts w:hint="eastAsia"/>
          <w:color w:val="000000" w:themeColor="text1"/>
        </w:rPr>
        <w:t>由上述安全检查表的检查结果可知：跃进化工应急救援符合</w:t>
      </w:r>
      <w:r>
        <w:rPr>
          <w:rFonts w:hint="eastAsia" w:ascii="宋体" w:hAnsi="宋体"/>
          <w:color w:val="000000" w:themeColor="text1"/>
          <w:kern w:val="0"/>
          <w:szCs w:val="28"/>
          <w:lang w:val="zh-CN"/>
        </w:rPr>
        <w:t>《生产安全事故应急条例》（</w:t>
      </w:r>
      <w:r>
        <w:rPr>
          <w:color w:val="000000" w:themeColor="text1"/>
          <w:szCs w:val="28"/>
        </w:rPr>
        <w:t>中华人民共和国国务院第708号令</w:t>
      </w:r>
      <w:r>
        <w:rPr>
          <w:rFonts w:hint="eastAsia" w:ascii="宋体" w:hAnsi="宋体"/>
          <w:color w:val="000000" w:themeColor="text1"/>
          <w:kern w:val="0"/>
          <w:szCs w:val="28"/>
          <w:lang w:val="zh-CN"/>
        </w:rPr>
        <w:t>）、《生产安全事故应急预案管理办法》（2019年7月11日应急管理部令第2号令修订）、《生产经营单位生产安全事故应急预案编制导则》（GB/T29639-20</w:t>
      </w:r>
      <w:r>
        <w:rPr>
          <w:rFonts w:hint="eastAsia" w:ascii="宋体" w:hAnsi="宋体"/>
          <w:color w:val="000000" w:themeColor="text1"/>
          <w:kern w:val="0"/>
          <w:szCs w:val="28"/>
        </w:rPr>
        <w:t>20</w:t>
      </w:r>
      <w:r>
        <w:rPr>
          <w:rFonts w:hint="eastAsia" w:ascii="宋体" w:hAnsi="宋体"/>
          <w:color w:val="000000" w:themeColor="text1"/>
          <w:kern w:val="0"/>
          <w:szCs w:val="28"/>
          <w:lang w:val="zh-CN"/>
        </w:rPr>
        <w:t>）等有关要求</w:t>
      </w:r>
      <w:r>
        <w:rPr>
          <w:rFonts w:hint="eastAsia" w:ascii="宋体" w:hAnsi="宋体"/>
          <w:color w:val="000000" w:themeColor="text1"/>
          <w:kern w:val="0"/>
          <w:szCs w:val="28"/>
        </w:rPr>
        <w:t>的规定。</w:t>
      </w:r>
    </w:p>
    <w:p>
      <w:pPr>
        <w:pStyle w:val="4"/>
        <w:keepNext w:val="0"/>
        <w:keepLines w:val="0"/>
        <w:ind w:firstLine="562"/>
      </w:pPr>
      <w:bookmarkStart w:id="4455" w:name="_Toc341"/>
      <w:bookmarkStart w:id="4456" w:name="_Toc25439"/>
      <w:bookmarkStart w:id="4457" w:name="_Toc21255"/>
      <w:bookmarkStart w:id="4458" w:name="_Toc1168"/>
      <w:bookmarkStart w:id="4459" w:name="_Toc32495"/>
      <w:bookmarkStart w:id="4460" w:name="_Toc32335"/>
      <w:bookmarkStart w:id="4461" w:name="_Toc9989"/>
      <w:bookmarkStart w:id="4462" w:name="_Toc16191"/>
      <w:bookmarkStart w:id="4463" w:name="_Toc31424"/>
      <w:bookmarkStart w:id="4464" w:name="_Toc19450"/>
      <w:bookmarkStart w:id="4465" w:name="_Toc12039"/>
      <w:bookmarkStart w:id="4466" w:name="_Toc14941"/>
      <w:bookmarkStart w:id="4467" w:name="_Toc25472"/>
      <w:bookmarkStart w:id="4468" w:name="_Toc10236"/>
      <w:bookmarkStart w:id="4469" w:name="_Toc21714"/>
      <w:bookmarkStart w:id="4470" w:name="_Toc128056545"/>
      <w:bookmarkStart w:id="4471" w:name="_Toc3422"/>
      <w:bookmarkStart w:id="4472" w:name="_Toc14060"/>
      <w:bookmarkStart w:id="4473" w:name="_Toc27340"/>
      <w:bookmarkStart w:id="4474" w:name="_Toc32481"/>
      <w:bookmarkStart w:id="4475" w:name="_Toc12581"/>
      <w:bookmarkStart w:id="4476" w:name="_Toc7693"/>
      <w:bookmarkStart w:id="4477" w:name="_Toc8567"/>
      <w:bookmarkStart w:id="4478" w:name="_Toc22195"/>
      <w:bookmarkStart w:id="4479" w:name="_Toc11665"/>
      <w:r>
        <w:rPr>
          <w:rFonts w:hint="eastAsia"/>
        </w:rPr>
        <w:t>F4.4.3 单元小结</w:t>
      </w:r>
      <w:bookmarkEnd w:id="4455"/>
      <w:bookmarkEnd w:id="4456"/>
      <w:bookmarkEnd w:id="4457"/>
      <w:bookmarkEnd w:id="4458"/>
      <w:bookmarkEnd w:id="4459"/>
      <w:bookmarkEnd w:id="4460"/>
      <w:bookmarkEnd w:id="4461"/>
      <w:bookmarkEnd w:id="4462"/>
      <w:bookmarkEnd w:id="4463"/>
      <w:bookmarkEnd w:id="4464"/>
      <w:bookmarkEnd w:id="4465"/>
      <w:bookmarkEnd w:id="4466"/>
      <w:bookmarkEnd w:id="4467"/>
      <w:bookmarkEnd w:id="4468"/>
      <w:bookmarkEnd w:id="4469"/>
      <w:bookmarkEnd w:id="4470"/>
      <w:bookmarkEnd w:id="4471"/>
      <w:bookmarkEnd w:id="4472"/>
      <w:bookmarkEnd w:id="4473"/>
      <w:bookmarkEnd w:id="4474"/>
      <w:bookmarkEnd w:id="4475"/>
      <w:bookmarkEnd w:id="4476"/>
      <w:bookmarkEnd w:id="4477"/>
      <w:bookmarkEnd w:id="4478"/>
      <w:bookmarkEnd w:id="4479"/>
    </w:p>
    <w:p>
      <w:pPr>
        <w:ind w:firstLine="560"/>
        <w:rPr>
          <w:rFonts w:ascii="宋体" w:hAnsi="宋体"/>
          <w:color w:val="000000" w:themeColor="text1"/>
          <w:szCs w:val="28"/>
        </w:rPr>
      </w:pPr>
      <w:r>
        <w:rPr>
          <w:rFonts w:hint="eastAsia" w:ascii="宋体" w:hAnsi="宋体"/>
          <w:color w:val="000000" w:themeColor="text1"/>
          <w:szCs w:val="28"/>
        </w:rPr>
        <w:t>根据上表知，该公司主要负责人及专职安全生产管理人员取得安全生产知识和管理能力考核合格证，持证上岗；特种作业人员经有资格培训单位进行培训、考核、取证后持证上岗；为从业人员配备有劳动防护用品；建立了安全生产责任制、</w:t>
      </w:r>
      <w:r>
        <w:rPr>
          <w:rFonts w:hint="eastAsia" w:hAnsi="宋体"/>
          <w:color w:val="000000" w:themeColor="text1"/>
        </w:rPr>
        <w:t>安全管理制度、安全操作规程，编制了安全生产事故应急预案并到应急管局备案；</w:t>
      </w:r>
      <w:r>
        <w:rPr>
          <w:rFonts w:hint="eastAsia" w:ascii="宋体" w:hAnsi="宋体"/>
          <w:color w:val="000000" w:themeColor="text1"/>
          <w:szCs w:val="28"/>
        </w:rPr>
        <w:t>配备了相应急器材及设施，并定期组织演练。</w:t>
      </w:r>
    </w:p>
    <w:p>
      <w:pPr>
        <w:pStyle w:val="3"/>
        <w:ind w:firstLine="562"/>
        <w:rPr>
          <w:rFonts w:hint="eastAsia" w:ascii="黑体" w:hAnsi="黑体" w:eastAsia="黑体" w:cs="黑体"/>
          <w:color w:val="000000" w:themeColor="text1"/>
        </w:rPr>
      </w:pPr>
      <w:bookmarkStart w:id="4480" w:name="_Toc8483"/>
      <w:bookmarkStart w:id="4481" w:name="_Toc18248"/>
      <w:bookmarkStart w:id="4482" w:name="_Toc32078"/>
      <w:bookmarkStart w:id="4483" w:name="_Toc27697"/>
      <w:bookmarkStart w:id="4484" w:name="_Toc11390"/>
      <w:bookmarkStart w:id="4485" w:name="_Toc14953"/>
      <w:bookmarkStart w:id="4486" w:name="_Toc24190"/>
      <w:bookmarkStart w:id="4487" w:name="_Toc15743"/>
      <w:bookmarkStart w:id="4488" w:name="_Toc8367"/>
      <w:bookmarkStart w:id="4489" w:name="_Toc28455"/>
      <w:bookmarkStart w:id="4490" w:name="_Toc128056534"/>
      <w:bookmarkStart w:id="4491" w:name="_Toc17316"/>
      <w:bookmarkStart w:id="4492" w:name="_Toc2909"/>
      <w:bookmarkStart w:id="4493" w:name="_Toc7865"/>
      <w:bookmarkStart w:id="4494" w:name="_Toc9676"/>
      <w:bookmarkStart w:id="4495" w:name="_Toc5585"/>
      <w:bookmarkStart w:id="4496" w:name="_Toc20394"/>
      <w:bookmarkStart w:id="4497" w:name="_Toc20740"/>
      <w:bookmarkStart w:id="4498" w:name="_Toc15989"/>
      <w:bookmarkStart w:id="4499" w:name="_Toc14727"/>
      <w:bookmarkStart w:id="4500" w:name="_Toc13764"/>
      <w:bookmarkStart w:id="4501" w:name="_Toc9507"/>
      <w:bookmarkStart w:id="4502" w:name="_Toc26287"/>
      <w:bookmarkStart w:id="4503" w:name="_Toc8653"/>
      <w:bookmarkStart w:id="4504" w:name="_Toc9681"/>
      <w:bookmarkStart w:id="4505" w:name="_Toc19237"/>
      <w:bookmarkStart w:id="4506" w:name="_Toc13264"/>
      <w:bookmarkStart w:id="4507" w:name="_Toc1374"/>
      <w:bookmarkStart w:id="4508" w:name="_Toc6594"/>
      <w:bookmarkStart w:id="4509" w:name="_Toc1557"/>
      <w:bookmarkStart w:id="4510" w:name="_Toc20989"/>
      <w:bookmarkStart w:id="4511" w:name="_Toc4365"/>
      <w:bookmarkStart w:id="4512" w:name="_Toc2428"/>
      <w:bookmarkStart w:id="4513" w:name="_Toc669"/>
      <w:bookmarkStart w:id="4514" w:name="_Toc8573"/>
      <w:r>
        <w:rPr>
          <w:rFonts w:hint="eastAsia" w:ascii="黑体" w:hAnsi="黑体" w:eastAsia="黑体" w:cs="黑体"/>
          <w:color w:val="000000" w:themeColor="text1"/>
        </w:rPr>
        <w:t>F4.5 重大安全隐患判定符合性分析</w:t>
      </w:r>
      <w:bookmarkEnd w:id="4480"/>
      <w:bookmarkEnd w:id="4481"/>
      <w:bookmarkEnd w:id="4482"/>
      <w:bookmarkEnd w:id="4483"/>
      <w:bookmarkEnd w:id="4484"/>
      <w:bookmarkEnd w:id="4485"/>
      <w:bookmarkEnd w:id="4486"/>
      <w:bookmarkEnd w:id="4487"/>
      <w:bookmarkEnd w:id="4488"/>
      <w:bookmarkEnd w:id="4489"/>
      <w:bookmarkEnd w:id="4490"/>
      <w:bookmarkEnd w:id="4491"/>
      <w:bookmarkEnd w:id="4492"/>
      <w:bookmarkEnd w:id="4493"/>
      <w:bookmarkEnd w:id="4494"/>
      <w:bookmarkEnd w:id="4495"/>
      <w:bookmarkEnd w:id="4496"/>
      <w:bookmarkEnd w:id="4497"/>
      <w:bookmarkEnd w:id="4498"/>
      <w:bookmarkEnd w:id="4499"/>
      <w:bookmarkEnd w:id="4500"/>
      <w:bookmarkEnd w:id="4501"/>
      <w:bookmarkEnd w:id="4502"/>
      <w:bookmarkEnd w:id="4503"/>
      <w:bookmarkEnd w:id="4504"/>
      <w:bookmarkEnd w:id="4505"/>
      <w:bookmarkEnd w:id="4506"/>
      <w:bookmarkEnd w:id="4507"/>
      <w:bookmarkEnd w:id="4508"/>
      <w:bookmarkEnd w:id="4509"/>
      <w:bookmarkEnd w:id="4510"/>
      <w:bookmarkEnd w:id="4511"/>
      <w:bookmarkEnd w:id="4512"/>
      <w:bookmarkEnd w:id="4513"/>
      <w:bookmarkEnd w:id="4514"/>
    </w:p>
    <w:p>
      <w:pPr>
        <w:pStyle w:val="13"/>
        <w:widowControl w:val="0"/>
        <w:topLinePunct/>
        <w:ind w:left="0" w:leftChars="0" w:firstLine="560"/>
        <w:rPr>
          <w:rFonts w:ascii="宋体" w:hAnsi="宋体"/>
          <w:color w:val="000000" w:themeColor="text1"/>
          <w:kern w:val="2"/>
          <w:sz w:val="28"/>
          <w:szCs w:val="28"/>
        </w:rPr>
      </w:pPr>
      <w:r>
        <w:rPr>
          <w:rFonts w:hint="eastAsia" w:ascii="宋体" w:hAnsi="宋体"/>
          <w:color w:val="000000" w:themeColor="text1"/>
          <w:kern w:val="2"/>
          <w:sz w:val="28"/>
          <w:szCs w:val="28"/>
        </w:rPr>
        <w:t>本节根据《国家安全监管总局关于印发&lt;化工和危险化学品生产经营单位重大生产安全事故隐患判定标准（试行）&gt;的通知》（安监总管三[2017]121号）有关内容，对</w:t>
      </w:r>
      <w:r>
        <w:rPr>
          <w:rFonts w:hint="eastAsia" w:ascii="宋体" w:hAnsi="宋体"/>
          <w:color w:val="000000" w:themeColor="text1"/>
          <w:kern w:val="2"/>
          <w:sz w:val="28"/>
          <w:szCs w:val="28"/>
          <w:lang w:eastAsia="zh-CN"/>
        </w:rPr>
        <w:t>漾濞县跃进化工有限责任公司</w:t>
      </w:r>
      <w:r>
        <w:rPr>
          <w:rFonts w:hint="eastAsia" w:ascii="宋体" w:hAnsi="宋体"/>
          <w:color w:val="000000" w:themeColor="text1"/>
          <w:kern w:val="2"/>
          <w:sz w:val="28"/>
          <w:szCs w:val="28"/>
        </w:rPr>
        <w:t>进行重大安全隐患判定：</w:t>
      </w:r>
    </w:p>
    <w:p>
      <w:pPr>
        <w:pStyle w:val="92"/>
        <w:rPr>
          <w:sz w:val="24"/>
          <w:szCs w:val="24"/>
          <w:lang w:val="zh-CN"/>
        </w:rPr>
      </w:pPr>
      <w:r>
        <w:rPr>
          <w:rFonts w:hint="eastAsia"/>
          <w:sz w:val="24"/>
          <w:szCs w:val="24"/>
        </w:rPr>
        <w:t>F</w:t>
      </w:r>
      <w:r>
        <w:rPr>
          <w:rFonts w:hint="eastAsia"/>
          <w:sz w:val="24"/>
          <w:szCs w:val="24"/>
          <w:lang w:val="zh-CN"/>
        </w:rPr>
        <w:t>表</w:t>
      </w:r>
      <w:r>
        <w:rPr>
          <w:rFonts w:hint="eastAsia"/>
          <w:sz w:val="24"/>
          <w:szCs w:val="24"/>
        </w:rPr>
        <w:t xml:space="preserve">4.5-1 </w:t>
      </w:r>
      <w:r>
        <w:rPr>
          <w:rFonts w:hint="eastAsia"/>
          <w:sz w:val="24"/>
          <w:szCs w:val="24"/>
          <w:lang w:val="zh-CN"/>
        </w:rPr>
        <w:t>重大生产安全事故隐患判定表</w:t>
      </w:r>
    </w:p>
    <w:tbl>
      <w:tblPr>
        <w:tblStyle w:val="3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4158"/>
        <w:gridCol w:w="1367"/>
        <w:gridCol w:w="2359"/>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81" w:type="dxa"/>
            <w:vAlign w:val="center"/>
          </w:tcPr>
          <w:p>
            <w:pPr>
              <w:topLinePunct/>
              <w:spacing w:line="240" w:lineRule="auto"/>
              <w:ind w:firstLine="0" w:firstLineChars="0"/>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序号</w:t>
            </w:r>
          </w:p>
        </w:tc>
        <w:tc>
          <w:tcPr>
            <w:tcW w:w="4158" w:type="dxa"/>
            <w:vAlign w:val="center"/>
          </w:tcPr>
          <w:p>
            <w:pPr>
              <w:topLinePunct/>
              <w:spacing w:line="240" w:lineRule="auto"/>
              <w:ind w:firstLine="0" w:firstLineChars="0"/>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检  查  内  容</w:t>
            </w:r>
          </w:p>
        </w:tc>
        <w:tc>
          <w:tcPr>
            <w:tcW w:w="1367" w:type="dxa"/>
            <w:vAlign w:val="center"/>
          </w:tcPr>
          <w:p>
            <w:pPr>
              <w:topLinePunct/>
              <w:spacing w:line="240" w:lineRule="auto"/>
              <w:ind w:firstLine="0" w:firstLineChars="0"/>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依 据 标 准</w:t>
            </w:r>
          </w:p>
        </w:tc>
        <w:tc>
          <w:tcPr>
            <w:tcW w:w="2359" w:type="dxa"/>
            <w:vAlign w:val="center"/>
          </w:tcPr>
          <w:p>
            <w:pPr>
              <w:topLinePunct/>
              <w:spacing w:line="240" w:lineRule="auto"/>
              <w:ind w:firstLine="0" w:firstLineChars="0"/>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检 查 情 况</w:t>
            </w:r>
          </w:p>
        </w:tc>
        <w:tc>
          <w:tcPr>
            <w:tcW w:w="707" w:type="dxa"/>
            <w:vAlign w:val="center"/>
          </w:tcPr>
          <w:p>
            <w:pPr>
              <w:topLinePunct/>
              <w:spacing w:line="240" w:lineRule="auto"/>
              <w:ind w:firstLine="0" w:firstLineChars="0"/>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危险化学品生产、经营单位主要负责人和安全生产管理人员未依法经考核合格。</w:t>
            </w:r>
          </w:p>
        </w:tc>
        <w:tc>
          <w:tcPr>
            <w:tcW w:w="1367" w:type="dxa"/>
            <w:vMerge w:val="restart"/>
            <w:vAlign w:val="center"/>
          </w:tcPr>
          <w:p>
            <w:pPr>
              <w:topLinePunct/>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《国家安全监管总局关于印发&lt;化工和危险化学品生产经营单位重大生产安全事故隐患判定标准（试行）的通知》（安监总管三[2017]121号）</w:t>
            </w: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主要负责人、安全生产管理人员经考核合格，持证上岗，详见</w:t>
            </w:r>
            <w:r>
              <w:rPr>
                <w:rFonts w:hint="eastAsia" w:ascii="宋体" w:hAnsi="宋体" w:cs="宋体"/>
                <w:sz w:val="21"/>
                <w:szCs w:val="21"/>
                <w:lang w:val="en-US" w:eastAsia="zh-CN"/>
              </w:rPr>
              <w:t>报告F</w:t>
            </w:r>
            <w:r>
              <w:rPr>
                <w:rFonts w:hint="eastAsia" w:ascii="宋体" w:hAnsi="宋体" w:cs="宋体"/>
                <w:color w:val="000000" w:themeColor="text1"/>
                <w:sz w:val="21"/>
                <w:szCs w:val="21"/>
              </w:rPr>
              <w:t>6.</w:t>
            </w:r>
            <w:r>
              <w:rPr>
                <w:rFonts w:hint="eastAsia" w:ascii="宋体" w:hAnsi="宋体" w:cs="宋体"/>
                <w:color w:val="000000" w:themeColor="text1"/>
                <w:sz w:val="21"/>
                <w:szCs w:val="21"/>
                <w:lang w:val="en-US" w:eastAsia="zh-CN"/>
              </w:rPr>
              <w:t>10、6.11</w:t>
            </w:r>
            <w:r>
              <w:rPr>
                <w:rFonts w:hint="eastAsia" w:ascii="宋体" w:hAnsi="宋体" w:cs="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bCs/>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特种作业人员未持证上岗。</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特种作业人员持证上岗，详见</w:t>
            </w:r>
            <w:r>
              <w:rPr>
                <w:rFonts w:hint="eastAsia" w:ascii="宋体" w:hAnsi="宋体" w:cs="宋体"/>
                <w:sz w:val="21"/>
                <w:szCs w:val="21"/>
                <w:lang w:val="en-US" w:eastAsia="zh-CN"/>
              </w:rPr>
              <w:t>报告F</w:t>
            </w:r>
            <w:r>
              <w:rPr>
                <w:rFonts w:hint="eastAsia" w:ascii="宋体" w:hAnsi="宋体" w:cs="宋体"/>
                <w:color w:val="000000" w:themeColor="text1"/>
                <w:sz w:val="21"/>
                <w:szCs w:val="21"/>
              </w:rPr>
              <w:t>6.</w:t>
            </w:r>
            <w:r>
              <w:rPr>
                <w:rFonts w:hint="eastAsia" w:ascii="宋体" w:hAnsi="宋体" w:cs="宋体"/>
                <w:color w:val="000000" w:themeColor="text1"/>
                <w:sz w:val="21"/>
                <w:szCs w:val="21"/>
                <w:lang w:val="en-US" w:eastAsia="zh-CN"/>
              </w:rPr>
              <w:t>12</w:t>
            </w:r>
            <w:r>
              <w:rPr>
                <w:rFonts w:hint="eastAsia" w:ascii="宋体" w:hAnsi="宋体" w:cs="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涉及“两重点一重大”的生产装置、储存设施外部安全防护距离不符合国家标准要求。</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auto"/>
                <w:sz w:val="21"/>
                <w:szCs w:val="21"/>
              </w:rPr>
              <w:t>根据《危险化学品生产装置和储存设施外部安全防护距离确定方法》（GB/T37243-2019）检查</w:t>
            </w:r>
            <w:r>
              <w:rPr>
                <w:rFonts w:hint="eastAsia" w:ascii="宋体" w:hAnsi="宋体" w:cs="宋体"/>
                <w:color w:val="000000" w:themeColor="text1"/>
                <w:sz w:val="21"/>
                <w:szCs w:val="21"/>
              </w:rPr>
              <w:t>防护距离符合国家标准要求。</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涉及重点监管危险化工工艺的装置未实现自动化控制，系统未实现紧急停车功能，装备的自动化控制系统、紧急停车系统未投入使用。</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根据报告</w:t>
            </w:r>
            <w:r>
              <w:rPr>
                <w:rFonts w:hint="eastAsia" w:ascii="宋体" w:hAnsi="宋体" w:cs="宋体"/>
                <w:color w:val="000000" w:themeColor="text1"/>
                <w:sz w:val="21"/>
                <w:szCs w:val="21"/>
                <w:lang w:eastAsia="zh-CN"/>
              </w:rPr>
              <w:t>F</w:t>
            </w:r>
            <w:r>
              <w:rPr>
                <w:rFonts w:hint="eastAsia" w:ascii="宋体" w:hAnsi="宋体" w:cs="宋体"/>
                <w:color w:val="000000" w:themeColor="text1"/>
                <w:sz w:val="21"/>
                <w:szCs w:val="21"/>
              </w:rPr>
              <w:t>2.10辩识跃进化工不涉及重点监管危险化工工艺</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构成一级、二级重大危险源的危险化学品罐区未实现紧急切断功能；涉及毒性气体、液化气体、剧毒液体的一级、二级重大危险源的危险化学品罐区未配备独立的安全仪表系统。</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根据报告</w:t>
            </w:r>
            <w:r>
              <w:rPr>
                <w:rFonts w:hint="eastAsia" w:ascii="宋体" w:hAnsi="宋体" w:cs="宋体"/>
                <w:color w:val="000000" w:themeColor="text1"/>
                <w:sz w:val="21"/>
                <w:szCs w:val="21"/>
                <w:lang w:eastAsia="zh-CN"/>
              </w:rPr>
              <w:t>F</w:t>
            </w:r>
            <w:r>
              <w:rPr>
                <w:rFonts w:hint="eastAsia" w:ascii="宋体" w:hAnsi="宋体" w:cs="宋体"/>
                <w:color w:val="000000" w:themeColor="text1"/>
                <w:sz w:val="21"/>
                <w:szCs w:val="21"/>
              </w:rPr>
              <w:t>2.7辩识跃进化工不构成重大危险源</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kern w:val="0"/>
                <w:sz w:val="21"/>
                <w:szCs w:val="21"/>
              </w:rPr>
              <w:t>全压力式液化烃储罐未按国家标准设置注水措施。 </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不涉及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全压力式液化烃储罐未按国家标准设置注水措施。 </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不涉及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光气、氯气等剧毒气体及硫化氢气体管道穿越除厂区(包括化工园区、工业园区）外的公共区域。</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不涉及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地区架空电力线路穿越生产区且不符合国家标准要求。</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跃进化工生产区无架空电力线路跨越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在役化工装置未经正规设计且未进行安全设计诊断。</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hint="default" w:ascii="宋体" w:hAnsi="宋体" w:eastAsia="宋体" w:cs="宋体"/>
                <w:color w:val="000000" w:themeColor="text1"/>
                <w:sz w:val="21"/>
                <w:szCs w:val="21"/>
                <w:lang w:val="en-US" w:eastAsia="zh-CN"/>
              </w:rPr>
            </w:pPr>
            <w:r>
              <w:rPr>
                <w:rFonts w:hint="eastAsia" w:ascii="宋体" w:hAnsi="宋体" w:cs="宋体"/>
                <w:color w:val="000000" w:themeColor="text1"/>
                <w:sz w:val="21"/>
                <w:szCs w:val="21"/>
                <w:lang w:val="en-US" w:eastAsia="zh-CN"/>
              </w:rPr>
              <w:t>已进行安全设计诊断，详见报告F6.37。</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使用淘汰落后安全技术工艺、设备目录列出的工艺、设备。</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kern w:val="0"/>
                <w:sz w:val="21"/>
                <w:szCs w:val="21"/>
              </w:rPr>
              <w:t>跃进化工所使用的工艺、设备为国内常规的成熟工艺及设备，不属于淘汰落后工艺、设备。</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涉及可燃和有毒有害气体泄漏的场所未按国家标准设置检测报警装置，爆炸危险场所未按国家标准安装使用防爆电气设备。</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hint="default" w:ascii="宋体" w:hAnsi="宋体" w:eastAsia="宋体" w:cs="宋体"/>
                <w:color w:val="000000" w:themeColor="text1"/>
                <w:sz w:val="21"/>
                <w:szCs w:val="21"/>
                <w:lang w:val="en-US" w:eastAsia="zh-CN"/>
              </w:rPr>
            </w:pPr>
            <w:r>
              <w:rPr>
                <w:rFonts w:hint="eastAsia" w:ascii="宋体" w:hAnsi="宋体" w:cs="宋体"/>
                <w:color w:val="000000" w:themeColor="text1"/>
                <w:sz w:val="21"/>
                <w:szCs w:val="21"/>
                <w:lang w:val="en-US" w:eastAsia="zh-CN"/>
              </w:rPr>
              <w:t>已</w:t>
            </w:r>
            <w:r>
              <w:rPr>
                <w:rFonts w:hint="eastAsia" w:ascii="宋体" w:hAnsi="宋体" w:cs="宋体"/>
                <w:color w:val="000000" w:themeColor="text1"/>
                <w:sz w:val="21"/>
                <w:szCs w:val="21"/>
              </w:rPr>
              <w:t>设置有毒有害气体</w:t>
            </w:r>
            <w:r>
              <w:rPr>
                <w:rFonts w:hint="eastAsia" w:ascii="宋体" w:hAnsi="宋体" w:cs="宋体"/>
                <w:color w:val="000000" w:themeColor="text1"/>
                <w:sz w:val="21"/>
                <w:szCs w:val="21"/>
                <w:lang w:val="en-US" w:eastAsia="zh-CN"/>
              </w:rPr>
              <w:t>检测报警装置。</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控制室或机柜间面向具有火灾、爆炸危险性装置一侧不满足国家标准关于防火防爆的要求。</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跃进化工未设置控制室</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化工生产装置未按国家标准要求设置双重电源供电，自动化控制系统未设置不间断电源。</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不涉及</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安全阀、爆破片等安全附件未正常投用。</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安全阀正常使用，并定期检验，详见</w:t>
            </w:r>
            <w:r>
              <w:rPr>
                <w:rFonts w:hint="eastAsia" w:ascii="宋体" w:hAnsi="宋体" w:cs="宋体"/>
                <w:sz w:val="21"/>
                <w:szCs w:val="21"/>
                <w:lang w:val="en-US" w:eastAsia="zh-CN"/>
              </w:rPr>
              <w:t>报告</w:t>
            </w:r>
            <w:r>
              <w:rPr>
                <w:rFonts w:hint="eastAsia" w:ascii="宋体" w:hAnsi="宋体" w:cs="宋体"/>
                <w:sz w:val="21"/>
                <w:szCs w:val="21"/>
                <w:lang w:eastAsia="zh-CN"/>
              </w:rPr>
              <w:t>F</w:t>
            </w:r>
            <w:r>
              <w:rPr>
                <w:rFonts w:hint="eastAsia" w:ascii="宋体" w:hAnsi="宋体" w:cs="宋体"/>
                <w:color w:val="000000" w:themeColor="text1"/>
                <w:sz w:val="21"/>
                <w:szCs w:val="21"/>
              </w:rPr>
              <w:t>6.2</w:t>
            </w:r>
            <w:r>
              <w:rPr>
                <w:rFonts w:hint="eastAsia" w:ascii="宋体" w:hAnsi="宋体" w:cs="宋体"/>
                <w:color w:val="000000" w:themeColor="text1"/>
                <w:sz w:val="21"/>
                <w:szCs w:val="21"/>
                <w:lang w:val="en-US" w:eastAsia="zh-CN"/>
              </w:rPr>
              <w:t>8</w:t>
            </w:r>
            <w:r>
              <w:rPr>
                <w:rFonts w:hint="eastAsia" w:ascii="宋体" w:hAnsi="宋体" w:cs="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未建立与岗位相匹配的全员安全生产责任制或者未制定实施生产安全事故隐患排查治理制度。</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制定有较为完善的安全生产责任制详见</w:t>
            </w:r>
            <w:r>
              <w:rPr>
                <w:rFonts w:hint="eastAsia" w:ascii="宋体" w:hAnsi="宋体" w:cs="宋体"/>
                <w:sz w:val="21"/>
                <w:szCs w:val="21"/>
                <w:lang w:val="en-US" w:eastAsia="zh-CN"/>
              </w:rPr>
              <w:t>报告</w:t>
            </w:r>
            <w:r>
              <w:rPr>
                <w:rFonts w:hint="eastAsia" w:ascii="宋体" w:hAnsi="宋体" w:cs="宋体"/>
                <w:sz w:val="21"/>
                <w:szCs w:val="21"/>
                <w:lang w:eastAsia="zh-CN"/>
              </w:rPr>
              <w:t>F</w:t>
            </w:r>
            <w:r>
              <w:rPr>
                <w:rFonts w:hint="eastAsia" w:ascii="宋体" w:hAnsi="宋体" w:cs="宋体"/>
                <w:color w:val="000000" w:themeColor="text1"/>
                <w:sz w:val="21"/>
                <w:szCs w:val="21"/>
              </w:rPr>
              <w:t>6.</w:t>
            </w:r>
            <w:r>
              <w:rPr>
                <w:rFonts w:hint="eastAsia" w:ascii="宋体" w:hAnsi="宋体" w:cs="宋体"/>
                <w:color w:val="000000" w:themeColor="text1"/>
                <w:sz w:val="21"/>
                <w:szCs w:val="21"/>
                <w:lang w:val="en-US" w:eastAsia="zh-CN"/>
              </w:rPr>
              <w:t>26</w:t>
            </w:r>
            <w:r>
              <w:rPr>
                <w:rFonts w:hint="eastAsia" w:ascii="宋体" w:hAnsi="宋体" w:cs="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未制定操作规程和工艺控制指标。</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制定有相应操作规程和工艺控制指标详见</w:t>
            </w:r>
            <w:r>
              <w:rPr>
                <w:rFonts w:hint="eastAsia" w:ascii="宋体" w:hAnsi="宋体" w:cs="宋体"/>
                <w:sz w:val="21"/>
                <w:szCs w:val="21"/>
                <w:lang w:val="en-US" w:eastAsia="zh-CN"/>
              </w:rPr>
              <w:t>报告</w:t>
            </w:r>
            <w:r>
              <w:rPr>
                <w:rFonts w:hint="eastAsia" w:ascii="宋体" w:hAnsi="宋体" w:cs="宋体"/>
                <w:sz w:val="21"/>
                <w:szCs w:val="21"/>
                <w:lang w:eastAsia="zh-CN"/>
              </w:rPr>
              <w:t>F</w:t>
            </w:r>
            <w:r>
              <w:rPr>
                <w:rFonts w:hint="eastAsia" w:ascii="宋体" w:hAnsi="宋体" w:cs="宋体"/>
                <w:color w:val="000000" w:themeColor="text1"/>
                <w:sz w:val="21"/>
                <w:szCs w:val="21"/>
              </w:rPr>
              <w:t>6.</w:t>
            </w:r>
            <w:r>
              <w:rPr>
                <w:rFonts w:hint="eastAsia" w:ascii="宋体" w:hAnsi="宋体" w:cs="宋体"/>
                <w:color w:val="000000" w:themeColor="text1"/>
                <w:sz w:val="21"/>
                <w:szCs w:val="21"/>
                <w:lang w:val="en-US" w:eastAsia="zh-CN"/>
              </w:rPr>
              <w:t>27</w:t>
            </w:r>
            <w:r>
              <w:rPr>
                <w:rFonts w:hint="eastAsia" w:ascii="宋体" w:hAnsi="宋体" w:cs="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未按照国家标准制定动火、进入受限空间等特殊作业管理制度，或者制度未有效执行。</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制定有《安全作业管理制度》。</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spacing w:line="240" w:lineRule="auto"/>
              <w:ind w:firstLine="210" w:firstLineChars="100"/>
              <w:jc w:val="left"/>
              <w:rPr>
                <w:rFonts w:ascii="宋体" w:hAnsi="宋体" w:cs="宋体"/>
                <w:kern w:val="0"/>
                <w:sz w:val="21"/>
                <w:szCs w:val="21"/>
              </w:rPr>
            </w:pPr>
            <w:r>
              <w:rPr>
                <w:rFonts w:hint="eastAsia" w:ascii="宋体" w:hAnsi="宋体" w:cs="宋体"/>
                <w:kern w:val="0"/>
                <w:sz w:val="21"/>
                <w:szCs w:val="21"/>
              </w:rPr>
              <w:t>项目生产工艺为国内外常规的成熟工艺，不是国内首次使用的工艺。</w:t>
            </w:r>
          </w:p>
          <w:p>
            <w:pPr>
              <w:topLinePunct/>
              <w:spacing w:line="240" w:lineRule="auto"/>
              <w:ind w:firstLine="210" w:firstLineChars="100"/>
              <w:jc w:val="left"/>
              <w:rPr>
                <w:rFonts w:ascii="宋体" w:hAnsi="宋体" w:cs="宋体"/>
                <w:bCs/>
                <w:color w:val="000000" w:themeColor="text1"/>
                <w:sz w:val="21"/>
                <w:szCs w:val="21"/>
              </w:rPr>
            </w:pP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1" w:type="dxa"/>
            <w:vAlign w:val="center"/>
          </w:tcPr>
          <w:p>
            <w:pPr>
              <w:pStyle w:val="36"/>
              <w:numPr>
                <w:ilvl w:val="0"/>
                <w:numId w:val="1"/>
              </w:numPr>
              <w:topLinePunct/>
              <w:spacing w:line="240" w:lineRule="auto"/>
              <w:ind w:left="0" w:firstLine="0" w:firstLineChars="0"/>
              <w:jc w:val="center"/>
              <w:rPr>
                <w:rFonts w:ascii="宋体" w:hAnsi="宋体" w:cs="宋体"/>
                <w:bCs/>
                <w:color w:val="000000" w:themeColor="text1"/>
                <w:sz w:val="21"/>
                <w:szCs w:val="21"/>
              </w:rPr>
            </w:pPr>
          </w:p>
        </w:tc>
        <w:tc>
          <w:tcPr>
            <w:tcW w:w="4158"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未按国家标准分区分类储存危险化学品，超量、超品种储存危险化学品，相互禁配物质混放混存。</w:t>
            </w:r>
          </w:p>
        </w:tc>
        <w:tc>
          <w:tcPr>
            <w:tcW w:w="1367" w:type="dxa"/>
            <w:vMerge w:val="continue"/>
            <w:vAlign w:val="center"/>
          </w:tcPr>
          <w:p>
            <w:pPr>
              <w:topLinePunct/>
              <w:spacing w:line="240" w:lineRule="auto"/>
              <w:ind w:firstLine="210" w:firstLineChars="100"/>
              <w:jc w:val="left"/>
              <w:rPr>
                <w:rFonts w:ascii="宋体" w:hAnsi="宋体" w:cs="宋体"/>
                <w:color w:val="000000" w:themeColor="text1"/>
                <w:sz w:val="21"/>
                <w:szCs w:val="21"/>
              </w:rPr>
            </w:pPr>
          </w:p>
        </w:tc>
        <w:tc>
          <w:tcPr>
            <w:tcW w:w="2359" w:type="dxa"/>
            <w:vAlign w:val="center"/>
          </w:tcPr>
          <w:p>
            <w:pPr>
              <w:topLinePunct/>
              <w:spacing w:line="240" w:lineRule="auto"/>
              <w:ind w:firstLine="210" w:firstLineChars="100"/>
              <w:jc w:val="left"/>
              <w:rPr>
                <w:rFonts w:ascii="宋体" w:hAnsi="宋体" w:cs="宋体"/>
                <w:bCs/>
                <w:color w:val="000000" w:themeColor="text1"/>
                <w:sz w:val="21"/>
                <w:szCs w:val="21"/>
              </w:rPr>
            </w:pPr>
            <w:r>
              <w:rPr>
                <w:rFonts w:hint="eastAsia" w:ascii="宋体" w:hAnsi="宋体" w:cs="宋体"/>
                <w:color w:val="000000" w:themeColor="text1"/>
                <w:sz w:val="21"/>
                <w:szCs w:val="21"/>
              </w:rPr>
              <w:t>跃进化工设置储存库。未超量、超品种储存</w:t>
            </w:r>
          </w:p>
        </w:tc>
        <w:tc>
          <w:tcPr>
            <w:tcW w:w="707" w:type="dxa"/>
            <w:vAlign w:val="center"/>
          </w:tcPr>
          <w:p>
            <w:pPr>
              <w:topLinePunct/>
              <w:spacing w:line="240" w:lineRule="auto"/>
              <w:ind w:firstLine="0" w:firstLineChars="0"/>
              <w:jc w:val="center"/>
              <w:rPr>
                <w:rFonts w:ascii="宋体" w:hAnsi="宋体" w:cs="宋体"/>
                <w:bCs/>
                <w:color w:val="000000" w:themeColor="text1"/>
                <w:sz w:val="21"/>
                <w:szCs w:val="21"/>
              </w:rPr>
            </w:pPr>
            <w:r>
              <w:rPr>
                <w:rFonts w:hint="eastAsia" w:ascii="宋体" w:hAnsi="宋体" w:cs="宋体"/>
                <w:color w:val="000000" w:themeColor="text1"/>
                <w:sz w:val="21"/>
                <w:szCs w:val="21"/>
              </w:rPr>
              <w:t>符合要求</w:t>
            </w:r>
          </w:p>
        </w:tc>
      </w:tr>
    </w:tbl>
    <w:p>
      <w:pPr>
        <w:ind w:firstLine="560"/>
        <w:rPr>
          <w:color w:val="000000" w:themeColor="text1"/>
        </w:rPr>
      </w:pPr>
    </w:p>
    <w:p>
      <w:pPr>
        <w:ind w:firstLine="560"/>
        <w:rPr>
          <w:color w:val="000000" w:themeColor="text1"/>
          <w:spacing w:val="-6"/>
        </w:rPr>
      </w:pPr>
      <w:r>
        <w:rPr>
          <w:rFonts w:hint="eastAsia"/>
          <w:color w:val="000000" w:themeColor="text1"/>
          <w:spacing w:val="-6"/>
          <w:sz w:val="28"/>
        </w:rPr>
        <w:t>通过检查表评价可知：</w:t>
      </w:r>
      <w:r>
        <w:rPr>
          <w:rFonts w:hint="eastAsia"/>
          <w:color w:val="000000" w:themeColor="text1"/>
          <w:spacing w:val="-6"/>
          <w:sz w:val="28"/>
          <w:lang w:eastAsia="zh-CN"/>
        </w:rPr>
        <w:t>漾濞县跃进化工有限责任公司</w:t>
      </w:r>
      <w:r>
        <w:rPr>
          <w:rFonts w:hint="eastAsia"/>
          <w:color w:val="000000" w:themeColor="text1"/>
          <w:spacing w:val="-6"/>
          <w:sz w:val="28"/>
        </w:rPr>
        <w:t>不存在《国家安全监管总局关于印发&lt;化工和危险化学品生产经营单位重大生产安全事故隐患判定标准（试行）&gt;的通知》（安监总管三[2017]121号）规定的重大事故隐患。</w:t>
      </w:r>
      <w:bookmarkEnd w:id="4412"/>
      <w:bookmarkEnd w:id="4413"/>
      <w:bookmarkEnd w:id="4414"/>
      <w:bookmarkEnd w:id="4415"/>
      <w:bookmarkEnd w:id="4416"/>
      <w:bookmarkEnd w:id="4417"/>
      <w:bookmarkEnd w:id="4418"/>
      <w:bookmarkEnd w:id="4419"/>
      <w:bookmarkEnd w:id="4420"/>
      <w:bookmarkEnd w:id="4421"/>
      <w:bookmarkEnd w:id="4422"/>
      <w:bookmarkEnd w:id="4423"/>
      <w:bookmarkEnd w:id="4424"/>
      <w:bookmarkEnd w:id="4425"/>
      <w:bookmarkEnd w:id="4426"/>
      <w:bookmarkEnd w:id="4427"/>
      <w:bookmarkEnd w:id="4428"/>
      <w:bookmarkEnd w:id="4429"/>
      <w:bookmarkEnd w:id="4430"/>
      <w:bookmarkEnd w:id="4431"/>
      <w:bookmarkEnd w:id="4432"/>
      <w:bookmarkEnd w:id="4433"/>
      <w:bookmarkEnd w:id="4434"/>
      <w:bookmarkEnd w:id="4435"/>
      <w:bookmarkEnd w:id="4436"/>
      <w:bookmarkEnd w:id="4437"/>
      <w:bookmarkEnd w:id="4438"/>
      <w:bookmarkEnd w:id="4439"/>
      <w:bookmarkEnd w:id="4440"/>
      <w:bookmarkEnd w:id="4441"/>
      <w:bookmarkEnd w:id="4442"/>
      <w:bookmarkEnd w:id="4443"/>
      <w:bookmarkEnd w:id="4444"/>
      <w:bookmarkStart w:id="4515" w:name="_Toc62219381"/>
      <w:bookmarkStart w:id="4516" w:name="_Toc128056546"/>
      <w:bookmarkStart w:id="4517" w:name="_Toc62740981"/>
    </w:p>
    <w:p>
      <w:pPr>
        <w:pStyle w:val="3"/>
        <w:ind w:firstLine="562"/>
        <w:rPr>
          <w:rFonts w:ascii="黑体" w:hAnsi="黑体" w:eastAsia="黑体" w:cs="黑体"/>
          <w:color w:val="000000" w:themeColor="text1"/>
        </w:rPr>
      </w:pPr>
      <w:bookmarkStart w:id="4518" w:name="_Toc14032"/>
      <w:bookmarkStart w:id="4519" w:name="_Toc10020"/>
      <w:bookmarkStart w:id="4520" w:name="_Toc9532"/>
      <w:bookmarkStart w:id="4521" w:name="_Toc27752"/>
      <w:bookmarkStart w:id="4522" w:name="_Toc18253"/>
      <w:bookmarkStart w:id="4523" w:name="_Toc9215"/>
      <w:bookmarkStart w:id="4524" w:name="_Toc18728"/>
      <w:bookmarkStart w:id="4525" w:name="_Toc31032"/>
      <w:bookmarkStart w:id="4526" w:name="_Toc5392"/>
      <w:bookmarkStart w:id="4527" w:name="_Toc17733"/>
      <w:bookmarkStart w:id="4528" w:name="_Toc7112"/>
      <w:bookmarkStart w:id="4529" w:name="_Toc5368"/>
      <w:bookmarkStart w:id="4530" w:name="_Toc19064"/>
      <w:bookmarkStart w:id="4531" w:name="_Toc19456"/>
      <w:bookmarkStart w:id="4532" w:name="_Toc6779"/>
      <w:bookmarkStart w:id="4533" w:name="_Toc24016"/>
      <w:bookmarkStart w:id="4534" w:name="_Toc9464"/>
      <w:bookmarkStart w:id="4535" w:name="_Toc10610"/>
      <w:bookmarkStart w:id="4536" w:name="_Toc31438"/>
      <w:bookmarkStart w:id="4537" w:name="_Toc3165"/>
      <w:bookmarkStart w:id="4538" w:name="_Toc30527"/>
      <w:bookmarkStart w:id="4539" w:name="_Toc13212"/>
      <w:bookmarkStart w:id="4540" w:name="_Toc28295"/>
      <w:bookmarkStart w:id="4541" w:name="_Toc30678"/>
      <w:bookmarkStart w:id="4542" w:name="_Toc6849"/>
      <w:bookmarkStart w:id="4543" w:name="_Toc24161"/>
      <w:bookmarkStart w:id="4544" w:name="_Toc10202"/>
      <w:bookmarkStart w:id="4545" w:name="_Toc10495"/>
      <w:bookmarkStart w:id="4546" w:name="_Toc10853"/>
      <w:bookmarkStart w:id="4547" w:name="_Toc16611"/>
      <w:bookmarkStart w:id="4548" w:name="_Toc17050"/>
      <w:bookmarkStart w:id="4549" w:name="_Toc4299"/>
      <w:bookmarkStart w:id="4550" w:name="_Toc23267"/>
      <w:bookmarkStart w:id="4551" w:name="_Toc2205"/>
      <w:bookmarkStart w:id="4552" w:name="_Toc12120"/>
      <w:r>
        <w:rPr>
          <w:rFonts w:hint="eastAsia" w:ascii="黑体" w:hAnsi="黑体" w:eastAsia="黑体" w:cs="黑体"/>
          <w:color w:val="000000" w:themeColor="text1"/>
        </w:rPr>
        <w:t>F4.</w:t>
      </w:r>
      <w:r>
        <w:rPr>
          <w:rFonts w:hint="eastAsia" w:ascii="黑体" w:hAnsi="黑体" w:eastAsia="黑体" w:cs="黑体"/>
          <w:color w:val="000000" w:themeColor="text1"/>
          <w:lang w:val="en-US" w:eastAsia="zh-CN"/>
        </w:rPr>
        <w:t>6</w:t>
      </w:r>
      <w:r>
        <w:rPr>
          <w:rFonts w:hint="eastAsia" w:ascii="黑体" w:hAnsi="黑体" w:eastAsia="黑体" w:cs="黑体"/>
          <w:color w:val="000000" w:themeColor="text1"/>
        </w:rPr>
        <w:t xml:space="preserve"> 危险化学品生产单位申请换证条件单元评价</w:t>
      </w:r>
      <w:bookmarkEnd w:id="4515"/>
      <w:bookmarkEnd w:id="4516"/>
      <w:bookmarkEnd w:id="4517"/>
      <w:bookmarkEnd w:id="4518"/>
      <w:bookmarkEnd w:id="4519"/>
      <w:bookmarkEnd w:id="4520"/>
      <w:bookmarkEnd w:id="4521"/>
      <w:bookmarkEnd w:id="4522"/>
      <w:bookmarkEnd w:id="4523"/>
      <w:bookmarkEnd w:id="4524"/>
      <w:bookmarkEnd w:id="4525"/>
      <w:bookmarkEnd w:id="4526"/>
      <w:bookmarkEnd w:id="4527"/>
      <w:bookmarkEnd w:id="4528"/>
      <w:bookmarkEnd w:id="4529"/>
      <w:bookmarkEnd w:id="4530"/>
      <w:bookmarkEnd w:id="4531"/>
      <w:bookmarkEnd w:id="4532"/>
      <w:bookmarkEnd w:id="4533"/>
      <w:bookmarkEnd w:id="4534"/>
      <w:bookmarkEnd w:id="4535"/>
      <w:bookmarkEnd w:id="4536"/>
      <w:bookmarkEnd w:id="4537"/>
      <w:bookmarkEnd w:id="4538"/>
      <w:bookmarkEnd w:id="4539"/>
      <w:bookmarkEnd w:id="4540"/>
      <w:bookmarkEnd w:id="4541"/>
      <w:bookmarkEnd w:id="4542"/>
      <w:bookmarkEnd w:id="4543"/>
      <w:bookmarkEnd w:id="4544"/>
      <w:bookmarkEnd w:id="4545"/>
      <w:bookmarkEnd w:id="4546"/>
      <w:bookmarkEnd w:id="4547"/>
      <w:bookmarkEnd w:id="4548"/>
      <w:bookmarkEnd w:id="4549"/>
      <w:bookmarkEnd w:id="4550"/>
      <w:bookmarkEnd w:id="4551"/>
      <w:bookmarkEnd w:id="4552"/>
    </w:p>
    <w:p>
      <w:pPr>
        <w:pStyle w:val="4"/>
        <w:keepNext w:val="0"/>
        <w:keepLines w:val="0"/>
        <w:ind w:firstLine="562"/>
      </w:pPr>
      <w:bookmarkStart w:id="4553" w:name="_Toc5315"/>
      <w:bookmarkStart w:id="4554" w:name="_Toc25577"/>
      <w:bookmarkStart w:id="4555" w:name="_Toc24272"/>
      <w:bookmarkStart w:id="4556" w:name="_Toc15520"/>
      <w:bookmarkStart w:id="4557" w:name="_Toc17210"/>
      <w:bookmarkStart w:id="4558" w:name="_Toc9558"/>
      <w:bookmarkStart w:id="4559" w:name="_Toc19367"/>
      <w:bookmarkStart w:id="4560" w:name="_Toc18280"/>
      <w:bookmarkStart w:id="4561" w:name="_Toc10438"/>
      <w:bookmarkStart w:id="4562" w:name="_Toc1169"/>
      <w:bookmarkStart w:id="4563" w:name="_Toc7464"/>
      <w:bookmarkStart w:id="4564" w:name="_Toc28332"/>
      <w:bookmarkStart w:id="4565" w:name="_Toc14962"/>
      <w:bookmarkStart w:id="4566" w:name="_Toc880"/>
      <w:bookmarkStart w:id="4567" w:name="_Toc6041"/>
      <w:bookmarkStart w:id="4568" w:name="_Toc2255"/>
      <w:bookmarkStart w:id="4569" w:name="_Toc580"/>
      <w:bookmarkStart w:id="4570" w:name="_Toc8650"/>
      <w:bookmarkStart w:id="4571" w:name="_Toc4723"/>
      <w:bookmarkStart w:id="4572" w:name="_Toc30718"/>
      <w:bookmarkStart w:id="4573" w:name="_Toc23264"/>
      <w:bookmarkStart w:id="4574" w:name="_Toc14639"/>
      <w:bookmarkStart w:id="4575" w:name="_Toc21699"/>
      <w:bookmarkStart w:id="4576" w:name="_Toc17926"/>
      <w:bookmarkStart w:id="4577" w:name="_Toc128056547"/>
      <w:bookmarkStart w:id="4578" w:name="_Toc23958"/>
      <w:r>
        <w:rPr>
          <w:rFonts w:hint="eastAsia"/>
        </w:rPr>
        <w:t>F4.</w:t>
      </w:r>
      <w:r>
        <w:rPr>
          <w:rFonts w:hint="eastAsia"/>
          <w:lang w:val="en-US" w:eastAsia="zh-CN"/>
        </w:rPr>
        <w:t>6</w:t>
      </w:r>
      <w:r>
        <w:rPr>
          <w:rFonts w:hint="eastAsia"/>
        </w:rPr>
        <w:t>.1 危险化学品生产单位申请换证条件安全评价</w:t>
      </w:r>
      <w:bookmarkEnd w:id="4553"/>
      <w:bookmarkEnd w:id="4554"/>
      <w:bookmarkEnd w:id="4555"/>
      <w:bookmarkEnd w:id="4556"/>
      <w:bookmarkEnd w:id="4557"/>
      <w:bookmarkEnd w:id="4558"/>
      <w:bookmarkEnd w:id="4559"/>
      <w:bookmarkEnd w:id="4560"/>
      <w:bookmarkEnd w:id="4561"/>
      <w:bookmarkEnd w:id="4562"/>
      <w:bookmarkEnd w:id="4563"/>
      <w:bookmarkEnd w:id="4564"/>
      <w:bookmarkEnd w:id="4565"/>
      <w:bookmarkEnd w:id="4566"/>
      <w:bookmarkEnd w:id="4567"/>
      <w:bookmarkEnd w:id="4568"/>
      <w:bookmarkEnd w:id="4569"/>
      <w:bookmarkEnd w:id="4570"/>
      <w:bookmarkEnd w:id="4571"/>
      <w:bookmarkEnd w:id="4572"/>
      <w:bookmarkEnd w:id="4573"/>
      <w:bookmarkEnd w:id="4574"/>
      <w:bookmarkEnd w:id="4575"/>
      <w:bookmarkEnd w:id="4576"/>
      <w:bookmarkEnd w:id="4577"/>
      <w:bookmarkEnd w:id="4578"/>
    </w:p>
    <w:p>
      <w:pPr>
        <w:topLinePunct/>
        <w:ind w:firstLine="560"/>
        <w:rPr>
          <w:rFonts w:ascii="宋体" w:hAnsi="宋体"/>
          <w:color w:val="000000" w:themeColor="text1"/>
        </w:rPr>
      </w:pPr>
      <w:r>
        <w:rPr>
          <w:rFonts w:hint="eastAsia" w:ascii="宋体" w:hAnsi="宋体"/>
          <w:color w:val="000000" w:themeColor="text1"/>
        </w:rPr>
        <w:t>根据《危险化学品生产企业安全生产许可证实施办法》（</w:t>
      </w:r>
      <w:r>
        <w:rPr>
          <w:color w:val="000000" w:themeColor="text1"/>
        </w:rPr>
        <w:t>国家安全生产监督管理总局令第41号，第79号第一次修正，第89号第二次修正</w:t>
      </w:r>
      <w:r>
        <w:rPr>
          <w:rFonts w:hint="eastAsia" w:ascii="宋体" w:hAnsi="宋体"/>
          <w:color w:val="000000" w:themeColor="text1"/>
        </w:rPr>
        <w:t>）、《安全生产许可证条例》（国务院397号令发布，国务院令第653号修正）进行检查，检查过程见F表4.</w:t>
      </w:r>
      <w:r>
        <w:rPr>
          <w:rFonts w:hint="eastAsia" w:ascii="宋体" w:hAnsi="宋体"/>
          <w:color w:val="000000" w:themeColor="text1"/>
          <w:lang w:val="en-US" w:eastAsia="zh-CN"/>
        </w:rPr>
        <w:t>6</w:t>
      </w:r>
      <w:r>
        <w:rPr>
          <w:rFonts w:hint="eastAsia" w:ascii="宋体" w:hAnsi="宋体"/>
          <w:color w:val="000000" w:themeColor="text1"/>
        </w:rPr>
        <w:t>-1：</w:t>
      </w:r>
    </w:p>
    <w:p>
      <w:pPr>
        <w:pStyle w:val="92"/>
      </w:pPr>
      <w:r>
        <w:rPr>
          <w:rFonts w:hint="eastAsia"/>
          <w:sz w:val="24"/>
          <w:szCs w:val="24"/>
        </w:rPr>
        <w:t>F</w:t>
      </w:r>
      <w:r>
        <w:rPr>
          <w:rFonts w:hint="eastAsia"/>
          <w:sz w:val="24"/>
          <w:szCs w:val="24"/>
          <w:lang w:val="zh-CN"/>
        </w:rPr>
        <w:t>表</w:t>
      </w:r>
      <w:r>
        <w:rPr>
          <w:rFonts w:hint="eastAsia"/>
          <w:sz w:val="24"/>
          <w:szCs w:val="24"/>
        </w:rPr>
        <w:t>4.</w:t>
      </w:r>
      <w:r>
        <w:rPr>
          <w:rFonts w:hint="eastAsia"/>
          <w:sz w:val="24"/>
          <w:szCs w:val="24"/>
          <w:lang w:val="en-US" w:eastAsia="zh-CN"/>
        </w:rPr>
        <w:t>6</w:t>
      </w:r>
      <w:r>
        <w:rPr>
          <w:rFonts w:hint="eastAsia"/>
          <w:sz w:val="24"/>
          <w:szCs w:val="24"/>
        </w:rPr>
        <w:t>-1 危险化学品生产单位申请换证条件检查</w:t>
      </w:r>
      <w:r>
        <w:rPr>
          <w:rFonts w:hint="eastAsia"/>
          <w:sz w:val="24"/>
          <w:szCs w:val="24"/>
          <w:lang w:val="zh-CN"/>
        </w:rPr>
        <w:t>表</w:t>
      </w:r>
    </w:p>
    <w:tbl>
      <w:tblPr>
        <w:tblStyle w:val="3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3815"/>
        <w:gridCol w:w="1559"/>
        <w:gridCol w:w="2410"/>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81"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序号</w:t>
            </w:r>
          </w:p>
        </w:tc>
        <w:tc>
          <w:tcPr>
            <w:tcW w:w="3815" w:type="dxa"/>
            <w:vAlign w:val="center"/>
          </w:tcPr>
          <w:p>
            <w:pPr>
              <w:topLinePunct/>
              <w:spacing w:line="240" w:lineRule="auto"/>
              <w:ind w:firstLine="0" w:firstLineChars="0"/>
              <w:jc w:val="center"/>
              <w:rPr>
                <w:rFonts w:ascii="宋体" w:hAnsi="宋体"/>
                <w:b/>
                <w:color w:val="000000" w:themeColor="text1"/>
                <w:sz w:val="21"/>
                <w:szCs w:val="21"/>
              </w:rPr>
            </w:pPr>
            <w:r>
              <w:rPr>
                <w:rFonts w:ascii="宋体" w:hAnsi="宋体"/>
                <w:b/>
                <w:color w:val="000000" w:themeColor="text1"/>
                <w:sz w:val="21"/>
                <w:szCs w:val="21"/>
              </w:rPr>
              <w:t>检</w:t>
            </w:r>
            <w:r>
              <w:rPr>
                <w:rFonts w:hint="eastAsia" w:ascii="宋体" w:hAnsi="宋体"/>
                <w:b/>
                <w:color w:val="000000" w:themeColor="text1"/>
                <w:sz w:val="21"/>
                <w:szCs w:val="21"/>
              </w:rPr>
              <w:t xml:space="preserve">  </w:t>
            </w:r>
            <w:r>
              <w:rPr>
                <w:rFonts w:ascii="宋体" w:hAnsi="宋体"/>
                <w:b/>
                <w:color w:val="000000" w:themeColor="text1"/>
                <w:sz w:val="21"/>
                <w:szCs w:val="21"/>
              </w:rPr>
              <w:t>查</w:t>
            </w:r>
            <w:r>
              <w:rPr>
                <w:rFonts w:hint="eastAsia" w:ascii="宋体" w:hAnsi="宋体"/>
                <w:b/>
                <w:color w:val="000000" w:themeColor="text1"/>
                <w:sz w:val="21"/>
                <w:szCs w:val="21"/>
              </w:rPr>
              <w:t xml:space="preserve">  </w:t>
            </w:r>
            <w:r>
              <w:rPr>
                <w:rFonts w:ascii="宋体" w:hAnsi="宋体"/>
                <w:b/>
                <w:color w:val="000000" w:themeColor="text1"/>
                <w:sz w:val="21"/>
                <w:szCs w:val="21"/>
              </w:rPr>
              <w:t>内</w:t>
            </w:r>
            <w:r>
              <w:rPr>
                <w:rFonts w:hint="eastAsia" w:ascii="宋体" w:hAnsi="宋体"/>
                <w:b/>
                <w:color w:val="000000" w:themeColor="text1"/>
                <w:sz w:val="21"/>
                <w:szCs w:val="21"/>
              </w:rPr>
              <w:t xml:space="preserve">  </w:t>
            </w:r>
            <w:r>
              <w:rPr>
                <w:rFonts w:ascii="宋体" w:hAnsi="宋体"/>
                <w:b/>
                <w:color w:val="000000" w:themeColor="text1"/>
                <w:sz w:val="21"/>
                <w:szCs w:val="21"/>
              </w:rPr>
              <w:t>容</w:t>
            </w:r>
          </w:p>
        </w:tc>
        <w:tc>
          <w:tcPr>
            <w:tcW w:w="1559"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依 据 标 准</w:t>
            </w:r>
          </w:p>
        </w:tc>
        <w:tc>
          <w:tcPr>
            <w:tcW w:w="2410" w:type="dxa"/>
            <w:vAlign w:val="center"/>
          </w:tcPr>
          <w:p>
            <w:pPr>
              <w:topLinePunct/>
              <w:spacing w:line="240" w:lineRule="auto"/>
              <w:ind w:firstLine="0" w:firstLineChars="0"/>
              <w:jc w:val="center"/>
              <w:rPr>
                <w:rFonts w:ascii="宋体" w:hAnsi="宋体"/>
                <w:b/>
                <w:bCs/>
                <w:color w:val="000000" w:themeColor="text1"/>
                <w:sz w:val="21"/>
                <w:szCs w:val="21"/>
              </w:rPr>
            </w:pPr>
            <w:r>
              <w:rPr>
                <w:rFonts w:ascii="宋体" w:hAnsi="宋体"/>
                <w:b/>
                <w:bCs/>
                <w:color w:val="000000" w:themeColor="text1"/>
                <w:sz w:val="21"/>
                <w:szCs w:val="21"/>
              </w:rPr>
              <w:t>检</w:t>
            </w:r>
            <w:r>
              <w:rPr>
                <w:rFonts w:hint="eastAsia" w:ascii="宋体" w:hAnsi="宋体"/>
                <w:b/>
                <w:bCs/>
                <w:color w:val="000000" w:themeColor="text1"/>
                <w:sz w:val="21"/>
                <w:szCs w:val="21"/>
              </w:rPr>
              <w:t xml:space="preserve"> </w:t>
            </w:r>
            <w:r>
              <w:rPr>
                <w:rFonts w:ascii="宋体" w:hAnsi="宋体"/>
                <w:b/>
                <w:bCs/>
                <w:color w:val="000000" w:themeColor="text1"/>
                <w:sz w:val="21"/>
                <w:szCs w:val="21"/>
              </w:rPr>
              <w:t>查</w:t>
            </w:r>
            <w:r>
              <w:rPr>
                <w:rFonts w:hint="eastAsia" w:ascii="宋体" w:hAnsi="宋体"/>
                <w:b/>
                <w:bCs/>
                <w:color w:val="000000" w:themeColor="text1"/>
                <w:sz w:val="21"/>
                <w:szCs w:val="21"/>
              </w:rPr>
              <w:t xml:space="preserve"> 情 况</w:t>
            </w:r>
          </w:p>
        </w:tc>
        <w:tc>
          <w:tcPr>
            <w:tcW w:w="707" w:type="dxa"/>
            <w:vAlign w:val="center"/>
          </w:tcPr>
          <w:p>
            <w:pPr>
              <w:topLinePunct/>
              <w:spacing w:line="240" w:lineRule="auto"/>
              <w:ind w:firstLine="0" w:firstLineChars="0"/>
              <w:jc w:val="center"/>
              <w:rPr>
                <w:rFonts w:ascii="宋体" w:hAnsi="宋体"/>
                <w:b/>
                <w:color w:val="000000" w:themeColor="text1"/>
                <w:sz w:val="21"/>
                <w:szCs w:val="21"/>
              </w:rPr>
            </w:pPr>
            <w:r>
              <w:rPr>
                <w:rFonts w:hint="eastAsia" w:ascii="宋体" w:hAnsi="宋体"/>
                <w:b/>
                <w:color w:val="000000" w:themeColor="text1"/>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企业选址布局、规划设计以及与重要场所、设施、区域的距离应当符合下列要求：</w:t>
            </w:r>
          </w:p>
          <w:p>
            <w:pPr>
              <w:topLinePunct/>
              <w:spacing w:line="240" w:lineRule="auto"/>
              <w:ind w:firstLine="0" w:firstLineChars="0"/>
              <w:jc w:val="left"/>
              <w:rPr>
                <w:rFonts w:ascii="宋体" w:hAnsi="宋体"/>
                <w:color w:val="000000" w:themeColor="text1"/>
                <w:sz w:val="21"/>
                <w:szCs w:val="21"/>
              </w:rPr>
            </w:pPr>
            <w:r>
              <w:rPr>
                <w:rFonts w:hint="eastAsia" w:ascii="宋体" w:hAnsi="宋体"/>
                <w:color w:val="000000" w:themeColor="text1"/>
                <w:sz w:val="21"/>
                <w:szCs w:val="21"/>
              </w:rPr>
              <w:t>①国家产业政策；当地县级以上（含县级）人民政府的规划和布局；新设立企业建在地方人民政府规划的专门用于危险化学品生产、储存的区域内；</w:t>
            </w:r>
          </w:p>
          <w:p>
            <w:pPr>
              <w:topLinePunct/>
              <w:spacing w:line="240" w:lineRule="auto"/>
              <w:ind w:firstLine="0" w:firstLineChars="0"/>
              <w:jc w:val="left"/>
              <w:rPr>
                <w:rFonts w:ascii="宋体" w:hAnsi="宋体"/>
                <w:color w:val="000000" w:themeColor="text1"/>
                <w:sz w:val="21"/>
                <w:szCs w:val="21"/>
              </w:rPr>
            </w:pPr>
            <w:r>
              <w:rPr>
                <w:rFonts w:hint="eastAsia" w:ascii="宋体" w:hAnsi="宋体"/>
                <w:color w:val="000000" w:themeColor="text1"/>
                <w:sz w:val="21"/>
                <w:szCs w:val="21"/>
              </w:rPr>
              <w:t>②危险化学品生产装置或者储存危险化学品数量构成重大危险源的储存设施，与《危险化学品安全管理条例》第十九条第一款规定的八类场所、设施、区域的距离符合有关法律、法规、规章和国家标准或者行业标准的规定；</w:t>
            </w:r>
          </w:p>
          <w:p>
            <w:pPr>
              <w:topLinePunct/>
              <w:spacing w:line="240" w:lineRule="auto"/>
              <w:ind w:firstLine="0" w:firstLineChars="0"/>
              <w:jc w:val="left"/>
              <w:rPr>
                <w:rFonts w:ascii="宋体" w:hAnsi="宋体"/>
                <w:color w:val="000000" w:themeColor="text1"/>
                <w:sz w:val="21"/>
                <w:szCs w:val="21"/>
              </w:rPr>
            </w:pPr>
            <w:r>
              <w:rPr>
                <w:rFonts w:hint="eastAsia" w:ascii="宋体" w:hAnsi="宋体"/>
                <w:color w:val="000000" w:themeColor="text1"/>
                <w:sz w:val="21"/>
                <w:szCs w:val="21"/>
              </w:rPr>
              <w:t>③总体布局符合《化工企业总图运输设计规范》（GB50489）、《工业企业总平面设计规范》（GB50187）、《建筑设计防火规范</w:t>
            </w:r>
            <w:r>
              <w:rPr>
                <w:rFonts w:hint="eastAsia" w:ascii="宋体" w:cs="宋体"/>
                <w:color w:val="000000" w:themeColor="text1"/>
                <w:sz w:val="21"/>
                <w:szCs w:val="21"/>
              </w:rPr>
              <w:t>（2018年版）</w:t>
            </w:r>
            <w:r>
              <w:rPr>
                <w:rFonts w:hint="eastAsia" w:ascii="宋体" w:hAnsi="宋体"/>
                <w:color w:val="000000" w:themeColor="text1"/>
                <w:sz w:val="21"/>
                <w:szCs w:val="21"/>
              </w:rPr>
              <w:t>》（GB50016）等标准的要求。</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w:t>
            </w:r>
            <w:r>
              <w:rPr>
                <w:rFonts w:ascii="宋体" w:hAnsi="宋体"/>
                <w:color w:val="000000" w:themeColor="text1"/>
                <w:sz w:val="21"/>
                <w:szCs w:val="21"/>
              </w:rPr>
              <w:t>第</w:t>
            </w:r>
            <w:r>
              <w:rPr>
                <w:rFonts w:hint="eastAsia" w:ascii="宋体" w:hAnsi="宋体"/>
                <w:color w:val="000000" w:themeColor="text1"/>
                <w:sz w:val="21"/>
                <w:szCs w:val="21"/>
              </w:rPr>
              <w:t>八条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跃进化工符合国家规划布局；</w:t>
            </w:r>
          </w:p>
          <w:p>
            <w:pPr>
              <w:spacing w:line="240" w:lineRule="auto"/>
              <w:ind w:firstLine="210" w:firstLineChars="100"/>
              <w:jc w:val="left"/>
              <w:rPr>
                <w:color w:val="000000" w:themeColor="text1"/>
                <w:sz w:val="21"/>
                <w:szCs w:val="21"/>
              </w:rPr>
            </w:pPr>
            <w:r>
              <w:rPr>
                <w:rFonts w:hint="eastAsia" w:ascii="宋体" w:hAnsi="宋体"/>
                <w:color w:val="000000" w:themeColor="text1"/>
                <w:sz w:val="21"/>
                <w:szCs w:val="21"/>
              </w:rPr>
              <w:t>跃进化工不构成危险化学品重大危险源，总平面布置</w:t>
            </w:r>
            <w:r>
              <w:rPr>
                <w:color w:val="000000" w:themeColor="text1"/>
                <w:sz w:val="21"/>
                <w:szCs w:val="21"/>
              </w:rPr>
              <w:t>符合《工业企业总平面设计规范》(GB50187-2012)</w:t>
            </w:r>
            <w:r>
              <w:rPr>
                <w:rFonts w:hint="eastAsia"/>
                <w:color w:val="000000" w:themeColor="text1"/>
                <w:sz w:val="21"/>
                <w:szCs w:val="21"/>
              </w:rPr>
              <w:t>、</w:t>
            </w:r>
            <w:r>
              <w:rPr>
                <w:color w:val="000000" w:themeColor="text1"/>
                <w:sz w:val="21"/>
                <w:szCs w:val="21"/>
              </w:rPr>
              <w:t>《化工企业安全卫生设计规范》(HG20571-2014)、《建筑设计防火规范</w:t>
            </w:r>
            <w:r>
              <w:rPr>
                <w:rFonts w:hint="eastAsia"/>
                <w:color w:val="000000" w:themeColor="text1"/>
                <w:sz w:val="21"/>
                <w:szCs w:val="21"/>
              </w:rPr>
              <w:t>（</w:t>
            </w:r>
            <w:r>
              <w:rPr>
                <w:color w:val="000000" w:themeColor="text1"/>
                <w:sz w:val="21"/>
                <w:szCs w:val="21"/>
              </w:rPr>
              <w:t>2018年版</w:t>
            </w:r>
            <w:r>
              <w:rPr>
                <w:rFonts w:hint="eastAsia"/>
                <w:color w:val="000000" w:themeColor="text1"/>
                <w:sz w:val="21"/>
                <w:szCs w:val="21"/>
              </w:rPr>
              <w:t>）》</w:t>
            </w:r>
            <w:r>
              <w:rPr>
                <w:color w:val="000000" w:themeColor="text1"/>
                <w:sz w:val="21"/>
                <w:szCs w:val="21"/>
              </w:rPr>
              <w:t>(GB50016-2014)等标准、规范的要求。</w:t>
            </w:r>
          </w:p>
          <w:p>
            <w:pPr>
              <w:topLinePunct/>
              <w:spacing w:line="240" w:lineRule="auto"/>
              <w:ind w:firstLine="210" w:firstLineChars="100"/>
              <w:jc w:val="left"/>
              <w:rPr>
                <w:rFonts w:ascii="宋体" w:hAnsi="宋体"/>
                <w:color w:val="000000" w:themeColor="text1"/>
                <w:sz w:val="21"/>
                <w:szCs w:val="21"/>
              </w:rPr>
            </w:pP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2</w:t>
            </w:r>
          </w:p>
        </w:tc>
        <w:tc>
          <w:tcPr>
            <w:tcW w:w="3815" w:type="dxa"/>
            <w:vAlign w:val="center"/>
          </w:tcPr>
          <w:p>
            <w:pPr>
              <w:topLinePunct/>
              <w:spacing w:line="240" w:lineRule="auto"/>
              <w:ind w:firstLine="198" w:firstLineChars="100"/>
              <w:jc w:val="left"/>
              <w:rPr>
                <w:rFonts w:ascii="宋体" w:hAnsi="宋体"/>
                <w:color w:val="000000" w:themeColor="text1"/>
                <w:spacing w:val="-6"/>
                <w:sz w:val="21"/>
                <w:szCs w:val="21"/>
              </w:rPr>
            </w:pPr>
            <w:r>
              <w:rPr>
                <w:rFonts w:hint="eastAsia" w:ascii="宋体" w:hAnsi="宋体"/>
                <w:color w:val="000000" w:themeColor="text1"/>
                <w:spacing w:val="-6"/>
                <w:sz w:val="21"/>
                <w:szCs w:val="21"/>
              </w:rPr>
              <w:t>企业的厂房、作业场所、储存设施和安全设施、设备、工艺应当符合下列要求：</w:t>
            </w:r>
          </w:p>
          <w:p>
            <w:pPr>
              <w:topLinePunct/>
              <w:spacing w:line="240" w:lineRule="auto"/>
              <w:ind w:firstLine="0" w:firstLineChars="0"/>
              <w:jc w:val="left"/>
              <w:rPr>
                <w:rFonts w:ascii="宋体" w:hAnsi="宋体"/>
                <w:color w:val="000000" w:themeColor="text1"/>
                <w:sz w:val="21"/>
                <w:szCs w:val="21"/>
              </w:rPr>
            </w:pPr>
            <w:r>
              <w:rPr>
                <w:rFonts w:hint="eastAsia" w:ascii="宋体" w:hAnsi="宋体"/>
                <w:color w:val="000000" w:themeColor="text1"/>
                <w:sz w:val="21"/>
                <w:szCs w:val="21"/>
              </w:rPr>
              <w:t>①新建、改建、扩建建设项目经具备国家规定资质的单位设计、制造和施工建设；涉及危险化工工艺、重点监管危险化学品的装置，由具有综合甲级资质或者化工石化专业甲级设计资质的化工石化设计单位设计；</w:t>
            </w:r>
          </w:p>
          <w:p>
            <w:pPr>
              <w:topLinePunct/>
              <w:spacing w:line="240" w:lineRule="auto"/>
              <w:ind w:firstLine="0" w:firstLineChars="0"/>
              <w:jc w:val="left"/>
              <w:rPr>
                <w:rFonts w:ascii="宋体" w:hAnsi="宋体"/>
                <w:color w:val="000000" w:themeColor="text1"/>
                <w:sz w:val="21"/>
                <w:szCs w:val="21"/>
              </w:rPr>
            </w:pPr>
            <w:r>
              <w:rPr>
                <w:rFonts w:hint="eastAsia" w:ascii="宋体" w:hAnsi="宋体"/>
                <w:color w:val="000000" w:themeColor="text1"/>
                <w:sz w:val="21"/>
                <w:szCs w:val="21"/>
              </w:rPr>
              <w:t>②不得采用国家明令淘汰、禁止使用和危及安全生产的工艺、设备；新开发的危险化学品生产工艺必须在小试、中试、工业化试验的基础上逐步放大到工业化生产；国内首次使用的化工工艺，必须经过省级人民政府有关部门组织的安全可靠性论证；</w:t>
            </w:r>
          </w:p>
          <w:p>
            <w:pPr>
              <w:topLinePunct/>
              <w:spacing w:line="240" w:lineRule="auto"/>
              <w:ind w:firstLine="0" w:firstLineChars="0"/>
              <w:jc w:val="left"/>
              <w:rPr>
                <w:rFonts w:ascii="宋体" w:hAnsi="宋体"/>
                <w:color w:val="000000" w:themeColor="text1"/>
                <w:sz w:val="21"/>
                <w:szCs w:val="21"/>
              </w:rPr>
            </w:pPr>
            <w:r>
              <w:rPr>
                <w:rFonts w:hint="eastAsia" w:ascii="宋体" w:hAnsi="宋体"/>
                <w:color w:val="000000" w:themeColor="text1"/>
                <w:sz w:val="21"/>
                <w:szCs w:val="21"/>
              </w:rPr>
              <w:t>③涉及危险化工工艺、重点监管危险化学品的装置装设自动化控制系统；涉及危险化工工艺的大型化工装置装设紧急停车系统；涉及易燃易爆、有毒有害气体化学品的场所装设易燃易爆、有毒有害介质泄漏报警等安全设施；</w:t>
            </w:r>
          </w:p>
          <w:p>
            <w:pPr>
              <w:topLinePunct/>
              <w:spacing w:line="240" w:lineRule="auto"/>
              <w:ind w:firstLine="0" w:firstLineChars="0"/>
              <w:jc w:val="left"/>
              <w:rPr>
                <w:rFonts w:ascii="宋体" w:hAnsi="宋体"/>
                <w:color w:val="000000" w:themeColor="text1"/>
                <w:sz w:val="21"/>
                <w:szCs w:val="21"/>
              </w:rPr>
            </w:pPr>
            <w:r>
              <w:rPr>
                <w:rFonts w:hint="eastAsia" w:ascii="宋体" w:hAnsi="宋体"/>
                <w:color w:val="000000" w:themeColor="text1"/>
                <w:sz w:val="21"/>
                <w:szCs w:val="21"/>
              </w:rPr>
              <w:t>④生产区与非生产区分开设置，并符合国家标准或者行业标准规定的距离；</w:t>
            </w:r>
          </w:p>
          <w:p>
            <w:pPr>
              <w:topLinePunct/>
              <w:spacing w:line="240" w:lineRule="auto"/>
              <w:ind w:firstLine="0" w:firstLineChars="0"/>
              <w:jc w:val="left"/>
              <w:rPr>
                <w:rFonts w:ascii="宋体" w:hAnsi="宋体"/>
                <w:color w:val="000000" w:themeColor="text1"/>
                <w:sz w:val="21"/>
                <w:szCs w:val="21"/>
              </w:rPr>
            </w:pPr>
            <w:r>
              <w:rPr>
                <w:rFonts w:hint="eastAsia" w:ascii="宋体" w:hAnsi="宋体"/>
                <w:color w:val="000000" w:themeColor="text1"/>
                <w:sz w:val="21"/>
                <w:szCs w:val="21"/>
              </w:rPr>
              <w:t>⑤危险化学品生产装置和储存设施之间及其与建（构）筑物之间的距离符合有关标准规范的规定。</w:t>
            </w:r>
            <w:r>
              <w:rPr>
                <w:rFonts w:ascii="Arial" w:hAnsi="Arial" w:cs="Arial"/>
                <w:color w:val="333333"/>
                <w:sz w:val="21"/>
                <w:szCs w:val="21"/>
                <w:shd w:val="clear" w:color="auto" w:fill="FFFFFF"/>
              </w:rPr>
              <w:t>同一厂区内的设备、设施及建（构）筑物的布置必须适用同一标准的规定。</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w:t>
            </w:r>
            <w:r>
              <w:rPr>
                <w:rFonts w:ascii="宋体" w:hAnsi="宋体"/>
                <w:color w:val="000000" w:themeColor="text1"/>
                <w:sz w:val="21"/>
                <w:szCs w:val="21"/>
              </w:rPr>
              <w:t>第</w:t>
            </w:r>
            <w:r>
              <w:rPr>
                <w:rFonts w:hint="eastAsia" w:ascii="宋体" w:hAnsi="宋体"/>
                <w:color w:val="000000" w:themeColor="text1"/>
                <w:sz w:val="21"/>
                <w:szCs w:val="21"/>
              </w:rPr>
              <w:t>九条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经检查：跃进化工换证生产装置与周边距离符合要求；</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生产工艺不属于国家明令淘汰、禁止使用和危及安全生产的工艺、设备；</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不涉及条文所列装置和系统；</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生产区与非生产区分开设置，并符合国家标准或者行业标准规定的距离；</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生产装置和储存设施之间及其与建（构）筑物之间的距离符合</w:t>
            </w:r>
            <w:r>
              <w:rPr>
                <w:rFonts w:hint="eastAsia"/>
                <w:color w:val="000000" w:themeColor="text1"/>
                <w:sz w:val="21"/>
                <w:szCs w:val="21"/>
              </w:rPr>
              <w:t>《建筑设计防火规范（2018年版）》（GB50016-2014）</w:t>
            </w:r>
            <w:r>
              <w:rPr>
                <w:color w:val="000000" w:themeColor="text1"/>
                <w:sz w:val="21"/>
                <w:szCs w:val="21"/>
              </w:rPr>
              <w:t>的要求</w:t>
            </w:r>
            <w:r>
              <w:rPr>
                <w:rFonts w:hint="eastAsia" w:ascii="宋体" w:hAnsi="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3</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企业应当有相应的职业危害防护设施，并为从业人员配备符合国家标准或者行业标准的劳动防护用品</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pacing w:val="-6"/>
                <w:sz w:val="21"/>
                <w:szCs w:val="21"/>
              </w:rPr>
              <w:t>《危险化学品生产企业安全生产许可证实施办法》（国家安全生产监督管理总局令第41号）</w:t>
            </w:r>
            <w:r>
              <w:rPr>
                <w:rFonts w:ascii="宋体" w:hAnsi="宋体"/>
                <w:color w:val="000000" w:themeColor="text1"/>
                <w:spacing w:val="-6"/>
                <w:sz w:val="21"/>
                <w:szCs w:val="21"/>
              </w:rPr>
              <w:t>第</w:t>
            </w:r>
            <w:r>
              <w:rPr>
                <w:rFonts w:hint="eastAsia" w:ascii="宋体" w:hAnsi="宋体"/>
                <w:color w:val="000000" w:themeColor="text1"/>
                <w:spacing w:val="-6"/>
                <w:sz w:val="21"/>
                <w:szCs w:val="21"/>
              </w:rPr>
              <w:t>十条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企业已为从业人员配备符合国家标准或者行业标准的劳动防护用品。</w:t>
            </w:r>
            <w:r>
              <w:rPr>
                <w:rFonts w:hint="eastAsia" w:ascii="宋体" w:hAnsi="宋体" w:cs="宋体"/>
                <w:color w:val="000000" w:themeColor="text1"/>
                <w:sz w:val="21"/>
                <w:szCs w:val="21"/>
              </w:rPr>
              <w:t>详见</w:t>
            </w:r>
            <w:r>
              <w:rPr>
                <w:rFonts w:hint="eastAsia" w:ascii="宋体" w:hAnsi="宋体" w:cs="宋体"/>
                <w:sz w:val="21"/>
                <w:szCs w:val="21"/>
              </w:rPr>
              <w:t>报告F</w:t>
            </w:r>
            <w:r>
              <w:rPr>
                <w:rFonts w:hint="eastAsia" w:ascii="宋体" w:hAnsi="宋体" w:cs="宋体"/>
                <w:color w:val="000000" w:themeColor="text1"/>
                <w:sz w:val="21"/>
                <w:szCs w:val="21"/>
              </w:rPr>
              <w:t>6.41。</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4</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企业应当依据《危险化学品重大危险源辨识》（GB18218），对本企业的生产、储存和使用装置、设施或者场所进行重大危险源辨识。</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对已确定为重大危险源的生产和储存设施，应当执行《危险化学品重大危险源监督管理暂行规定》。</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w:t>
            </w:r>
            <w:r>
              <w:rPr>
                <w:rFonts w:ascii="宋体" w:hAnsi="宋体"/>
                <w:color w:val="000000" w:themeColor="text1"/>
                <w:sz w:val="21"/>
                <w:szCs w:val="21"/>
              </w:rPr>
              <w:t>第</w:t>
            </w:r>
            <w:r>
              <w:rPr>
                <w:rFonts w:hint="eastAsia" w:ascii="宋体" w:hAnsi="宋体"/>
                <w:color w:val="000000" w:themeColor="text1"/>
                <w:sz w:val="21"/>
                <w:szCs w:val="21"/>
              </w:rPr>
              <w:t>十一条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根据报告F2.7分析跃进化工不构成危险化学品重大危险源。</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5</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企业应当依法设置安全生产管理机构，配备专职安全生产管理人员。配备的专职安全生产管理人员必须能够满足安全生产的需要。</w:t>
            </w:r>
          </w:p>
        </w:tc>
        <w:tc>
          <w:tcPr>
            <w:tcW w:w="1559" w:type="dxa"/>
            <w:vAlign w:val="center"/>
          </w:tcPr>
          <w:p>
            <w:pPr>
              <w:topLinePunct/>
              <w:spacing w:line="240" w:lineRule="auto"/>
              <w:ind w:firstLine="0" w:firstLineChars="0"/>
              <w:jc w:val="center"/>
              <w:rPr>
                <w:rFonts w:ascii="宋体" w:hAnsi="宋体"/>
                <w:color w:val="000000" w:themeColor="text1"/>
                <w:spacing w:val="-6"/>
                <w:sz w:val="21"/>
                <w:szCs w:val="21"/>
              </w:rPr>
            </w:pPr>
            <w:r>
              <w:rPr>
                <w:rFonts w:hint="eastAsia" w:ascii="宋体" w:hAnsi="宋体"/>
                <w:color w:val="000000" w:themeColor="text1"/>
                <w:spacing w:val="-6"/>
                <w:sz w:val="21"/>
                <w:szCs w:val="21"/>
              </w:rPr>
              <w:t>《危险化学品生产企业安全生产许可证实施办法》（国家安全生产监督管理总局令第41号）</w:t>
            </w:r>
            <w:r>
              <w:rPr>
                <w:rFonts w:ascii="宋体" w:hAnsi="宋体"/>
                <w:color w:val="000000" w:themeColor="text1"/>
                <w:spacing w:val="-6"/>
                <w:sz w:val="21"/>
                <w:szCs w:val="21"/>
              </w:rPr>
              <w:t>第</w:t>
            </w:r>
            <w:r>
              <w:rPr>
                <w:rFonts w:hint="eastAsia" w:ascii="宋体" w:hAnsi="宋体"/>
                <w:color w:val="000000" w:themeColor="text1"/>
                <w:spacing w:val="-6"/>
                <w:sz w:val="21"/>
                <w:szCs w:val="21"/>
              </w:rPr>
              <w:t>十二</w:t>
            </w:r>
            <w:r>
              <w:rPr>
                <w:rFonts w:ascii="宋体" w:hAnsi="宋体"/>
                <w:color w:val="000000" w:themeColor="text1"/>
                <w:spacing w:val="-6"/>
                <w:sz w:val="21"/>
                <w:szCs w:val="21"/>
              </w:rPr>
              <w:t>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企业设置了安全生产管理机构，配备专职安全生产管理人员。见</w:t>
            </w:r>
            <w:r>
              <w:rPr>
                <w:rFonts w:hint="eastAsia" w:ascii="宋体" w:hAnsi="宋体" w:cs="宋体"/>
                <w:color w:val="000000" w:themeColor="text1"/>
                <w:sz w:val="21"/>
                <w:szCs w:val="21"/>
              </w:rPr>
              <w:t>详见</w:t>
            </w:r>
            <w:r>
              <w:rPr>
                <w:rFonts w:hint="eastAsia" w:ascii="宋体" w:hAnsi="宋体" w:cs="宋体"/>
                <w:sz w:val="21"/>
                <w:szCs w:val="21"/>
              </w:rPr>
              <w:t>报告F</w:t>
            </w:r>
            <w:r>
              <w:rPr>
                <w:rFonts w:hint="eastAsia" w:ascii="宋体" w:hAnsi="宋体" w:cs="宋体"/>
                <w:color w:val="000000" w:themeColor="text1"/>
                <w:sz w:val="21"/>
                <w:szCs w:val="21"/>
              </w:rPr>
              <w:t>6.15</w:t>
            </w:r>
            <w:r>
              <w:rPr>
                <w:rFonts w:hint="eastAsia" w:ascii="宋体" w:hAnsi="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6</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企业应当建立全员安全生产责任制，保证每位从业人员的安全生产责任与职务、岗位相匹配</w:t>
            </w:r>
          </w:p>
        </w:tc>
        <w:tc>
          <w:tcPr>
            <w:tcW w:w="1559" w:type="dxa"/>
            <w:vAlign w:val="center"/>
          </w:tcPr>
          <w:p>
            <w:pPr>
              <w:topLinePunct/>
              <w:spacing w:line="240" w:lineRule="auto"/>
              <w:ind w:firstLine="0" w:firstLineChars="0"/>
              <w:jc w:val="center"/>
              <w:rPr>
                <w:rFonts w:ascii="宋体" w:hAnsi="宋体"/>
                <w:color w:val="000000" w:themeColor="text1"/>
                <w:spacing w:val="-6"/>
                <w:sz w:val="21"/>
                <w:szCs w:val="21"/>
              </w:rPr>
            </w:pPr>
            <w:r>
              <w:rPr>
                <w:rFonts w:hint="eastAsia" w:ascii="宋体" w:hAnsi="宋体"/>
                <w:color w:val="000000" w:themeColor="text1"/>
                <w:spacing w:val="-6"/>
                <w:sz w:val="21"/>
                <w:szCs w:val="21"/>
              </w:rPr>
              <w:t>《危险化学品生产企业安全生产许可证实施办法》（国家安全生产监督管理总局令第41号）第十三条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企业建立了与职务、岗位相匹配的全员安全生产责任制。</w:t>
            </w:r>
            <w:r>
              <w:rPr>
                <w:rFonts w:hint="eastAsia" w:ascii="宋体" w:hAnsi="宋体" w:cs="宋体"/>
                <w:color w:val="000000" w:themeColor="text1"/>
                <w:sz w:val="21"/>
                <w:szCs w:val="21"/>
              </w:rPr>
              <w:t>详见</w:t>
            </w:r>
            <w:r>
              <w:rPr>
                <w:rFonts w:hint="eastAsia" w:ascii="宋体" w:hAnsi="宋体" w:cs="宋体"/>
                <w:sz w:val="21"/>
                <w:szCs w:val="21"/>
              </w:rPr>
              <w:t>报告F</w:t>
            </w:r>
            <w:r>
              <w:rPr>
                <w:rFonts w:hint="eastAsia" w:ascii="宋体" w:hAnsi="宋体" w:cs="宋体"/>
                <w:color w:val="000000" w:themeColor="text1"/>
                <w:sz w:val="21"/>
                <w:szCs w:val="21"/>
              </w:rPr>
              <w:t>6.26</w:t>
            </w:r>
            <w:r>
              <w:rPr>
                <w:rFonts w:hint="eastAsia" w:ascii="宋体" w:hAnsi="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7</w:t>
            </w:r>
          </w:p>
        </w:tc>
        <w:tc>
          <w:tcPr>
            <w:tcW w:w="3815" w:type="dxa"/>
            <w:vAlign w:val="center"/>
          </w:tcPr>
          <w:p>
            <w:pPr>
              <w:topLinePunct/>
              <w:spacing w:line="240" w:lineRule="auto"/>
              <w:ind w:firstLine="210" w:firstLineChars="100"/>
              <w:jc w:val="left"/>
              <w:rPr>
                <w:rFonts w:ascii="宋体" w:hAnsi="宋体" w:cs="宋体"/>
                <w:color w:val="000000" w:themeColor="text1"/>
                <w:sz w:val="21"/>
                <w:szCs w:val="21"/>
              </w:rPr>
            </w:pPr>
            <w:r>
              <w:rPr>
                <w:rFonts w:hint="eastAsia" w:ascii="宋体" w:hAnsi="宋体" w:cs="宋体"/>
                <w:color w:val="000000" w:themeColor="text1"/>
                <w:sz w:val="21"/>
                <w:szCs w:val="21"/>
              </w:rPr>
              <w:t>企业应当根据化工工艺、装置、设施等实际情况，制定完善下列主要安全生产规章制度：</w:t>
            </w:r>
          </w:p>
          <w:p>
            <w:pPr>
              <w:topLinePunct/>
              <w:spacing w:line="240" w:lineRule="exact"/>
              <w:ind w:firstLine="210" w:firstLineChars="100"/>
              <w:jc w:val="left"/>
              <w:rPr>
                <w:rFonts w:ascii="宋体" w:hAnsi="宋体"/>
                <w:color w:val="000000" w:themeColor="text1"/>
                <w:sz w:val="21"/>
                <w:szCs w:val="21"/>
              </w:rPr>
            </w:pPr>
            <w:r>
              <w:rPr>
                <w:rFonts w:hint="eastAsia" w:ascii="宋体" w:hAnsi="宋体" w:cs="宋体"/>
                <w:color w:val="000000" w:themeColor="text1"/>
                <w:sz w:val="21"/>
                <w:szCs w:val="21"/>
              </w:rPr>
              <w:t>①安全生产例会等安全生产会议制度；②安全投入保障制度；③安全生产奖惩制度；④安全培训教育制度；⑤领导干部轮流现场带班制度；⑥特种作业人员管理制度；⑦安全检查和隐患排查治理制度；⑧重大危险源评估和安全管理制度；⑨变更管理制度；⑩应急管理制度；⑪生产安全事故或者重大事件管理制度；⑫防火、防爆、防中毒、防泄漏管理制度；⑬工艺、设备、电气仪表、公用工程安全管理制度；⑭动火、进入受限空间、吊装、高处、盲板抽堵、动土、断路、设备检维修等作业安全管理制度；⑮危险化学品安全管理制度；⑯职业健康相关管理制度；⑰劳动防护用品使用维护管理制度；⑱承包商管理制度；⑲安全管理制度及操作规程定期修订制度。</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《危险化学品生产企业安全生产许可证实施办法》（国家安全生产监督管理总局令第41号）第十四条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公司已根据化工工艺、装置、设施等实际情况，制定了包括《安全生产会议制度》、《安全生产奖惩制度》等在内的安全生产规章制度。</w:t>
            </w:r>
            <w:r>
              <w:rPr>
                <w:rFonts w:hint="eastAsia" w:ascii="宋体" w:hAnsi="宋体" w:cs="宋体"/>
                <w:color w:val="000000" w:themeColor="text1"/>
                <w:sz w:val="21"/>
                <w:szCs w:val="21"/>
              </w:rPr>
              <w:t>详见</w:t>
            </w:r>
            <w:r>
              <w:rPr>
                <w:rFonts w:hint="eastAsia" w:ascii="宋体" w:hAnsi="宋体" w:cs="宋体"/>
                <w:sz w:val="21"/>
                <w:szCs w:val="21"/>
              </w:rPr>
              <w:t>报告F</w:t>
            </w:r>
            <w:r>
              <w:rPr>
                <w:rFonts w:hint="eastAsia" w:ascii="宋体" w:hAnsi="宋体" w:cs="宋体"/>
                <w:color w:val="000000" w:themeColor="text1"/>
                <w:sz w:val="21"/>
                <w:szCs w:val="21"/>
              </w:rPr>
              <w:t>6.25</w:t>
            </w:r>
            <w:r>
              <w:rPr>
                <w:rFonts w:hint="eastAsia" w:ascii="宋体" w:hAnsi="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8</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企业应当根据危险化学品的生产工艺、技术、设备特点和原辅料、产品的危险性编制岗位操作安全规程。</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pacing w:val="-6"/>
                <w:sz w:val="21"/>
                <w:szCs w:val="21"/>
              </w:rPr>
              <w:t>《危险化学品生产企业安全生产许可证实施办法》（国家安全生产监督管理总局令第41号）第十五条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检查公司已根据生产特点编制岗位操作安全规程。</w:t>
            </w:r>
            <w:r>
              <w:rPr>
                <w:rFonts w:hint="eastAsia" w:ascii="宋体" w:hAnsi="宋体" w:cs="宋体"/>
                <w:color w:val="000000" w:themeColor="text1"/>
                <w:sz w:val="21"/>
                <w:szCs w:val="21"/>
              </w:rPr>
              <w:t>详见</w:t>
            </w:r>
            <w:r>
              <w:rPr>
                <w:rFonts w:hint="eastAsia" w:ascii="宋体" w:hAnsi="宋体" w:cs="宋体"/>
                <w:sz w:val="21"/>
                <w:szCs w:val="21"/>
              </w:rPr>
              <w:t>报告F</w:t>
            </w:r>
            <w:r>
              <w:rPr>
                <w:rFonts w:hint="eastAsia" w:ascii="宋体" w:hAnsi="宋体" w:cs="宋体"/>
                <w:color w:val="000000" w:themeColor="text1"/>
                <w:sz w:val="21"/>
                <w:szCs w:val="21"/>
              </w:rPr>
              <w:t>6.27</w:t>
            </w:r>
            <w:r>
              <w:rPr>
                <w:rFonts w:hint="eastAsia" w:ascii="宋体" w:hAnsi="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9</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主要负责人、分管安全负责人和安全生产管理人员必须具备与其从事的生产经营活动相适应的安全生产知识和管理能力，依法参加安全生产培训，并经考核合格，取得安全资格证书。企业分管安全负责人、分管生产负责人、分管技术负责人应当具有一定的化工专业知识或者相应的专业学历，专职安全生产管理人员应当具备国民教育化工化学类（或安全工程）中等职业教育以上学历或者化工化学类中级以上专业技术职称。企业应当有危险物品安全类注册安全工程师从事安全生产管理工作。特种作业人员应当依照《特种作业人员安全技术培训考核管理规定》，经专门的安全技术培训并考核合格，取得特种作业操作证书。本条第一、二、四款规定以外的其他从业人员应当按照国家有关规定，经安全教育培训合格。</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《危险化学品生产企业安全生产许可证实施办法》（国家安全生产监督管理总局令第41号）第十六条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经检查：企业主要负责人、安全生产管理人员均取得安全生产知识和管理能力考核合格证书；特种作业人员经专门的安全技术培训并考核合格，取得特种作业操作证书。</w:t>
            </w:r>
            <w:r>
              <w:rPr>
                <w:rFonts w:hint="eastAsia" w:ascii="宋体" w:hAnsi="宋体" w:cs="宋体"/>
                <w:color w:val="000000" w:themeColor="text1"/>
                <w:sz w:val="21"/>
                <w:szCs w:val="21"/>
              </w:rPr>
              <w:t>详见</w:t>
            </w:r>
            <w:r>
              <w:rPr>
                <w:rFonts w:hint="eastAsia" w:ascii="宋体" w:hAnsi="宋体" w:cs="宋体"/>
                <w:sz w:val="21"/>
                <w:szCs w:val="21"/>
              </w:rPr>
              <w:t>报告F</w:t>
            </w:r>
            <w:r>
              <w:rPr>
                <w:rFonts w:hint="eastAsia" w:ascii="宋体" w:hAnsi="宋体" w:cs="宋体"/>
                <w:color w:val="000000" w:themeColor="text1"/>
                <w:sz w:val="21"/>
                <w:szCs w:val="21"/>
              </w:rPr>
              <w:t>6.10、6.11、6.12</w:t>
            </w:r>
            <w:r>
              <w:rPr>
                <w:rFonts w:hint="eastAsia" w:ascii="宋体" w:hAnsi="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10</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企业应当按照国家规定提取与安全生产有关的费用，并保证安全生产所必须的资金投入</w:t>
            </w:r>
          </w:p>
        </w:tc>
        <w:tc>
          <w:tcPr>
            <w:tcW w:w="1559" w:type="dxa"/>
            <w:vAlign w:val="center"/>
          </w:tcPr>
          <w:p>
            <w:pPr>
              <w:topLinePunct/>
              <w:spacing w:line="240" w:lineRule="auto"/>
              <w:ind w:firstLine="0" w:firstLineChars="0"/>
              <w:jc w:val="center"/>
              <w:rPr>
                <w:rFonts w:ascii="宋体" w:hAnsi="宋体"/>
                <w:color w:val="000000" w:themeColor="text1"/>
                <w:spacing w:val="-6"/>
                <w:sz w:val="21"/>
                <w:szCs w:val="21"/>
              </w:rPr>
            </w:pPr>
            <w:r>
              <w:rPr>
                <w:rFonts w:hint="eastAsia" w:ascii="宋体" w:hAnsi="宋体"/>
                <w:color w:val="000000" w:themeColor="text1"/>
                <w:spacing w:val="-6"/>
                <w:sz w:val="21"/>
                <w:szCs w:val="21"/>
              </w:rPr>
              <w:t>《危险化学品生产企业安全生产许可证实施办法》（国家安全生产监督管理总局令第41号）第十七条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经检查企业2021至2023年三年已按规定提取安全费用，并保证资金投入。见</w:t>
            </w:r>
            <w:r>
              <w:rPr>
                <w:rFonts w:hint="eastAsia" w:ascii="宋体" w:hAnsi="宋体" w:cs="宋体"/>
                <w:color w:val="000000" w:themeColor="text1"/>
                <w:sz w:val="21"/>
                <w:szCs w:val="21"/>
              </w:rPr>
              <w:t>详见</w:t>
            </w:r>
            <w:r>
              <w:rPr>
                <w:rFonts w:hint="eastAsia" w:ascii="宋体" w:hAnsi="宋体" w:cs="宋体"/>
                <w:sz w:val="21"/>
                <w:szCs w:val="21"/>
              </w:rPr>
              <w:t>报告F</w:t>
            </w:r>
            <w:r>
              <w:rPr>
                <w:rFonts w:hint="eastAsia" w:ascii="宋体" w:hAnsi="宋体" w:cs="宋体"/>
                <w:color w:val="000000" w:themeColor="text1"/>
                <w:sz w:val="21"/>
                <w:szCs w:val="21"/>
              </w:rPr>
              <w:t>6.36</w:t>
            </w:r>
            <w:r>
              <w:rPr>
                <w:rFonts w:hint="eastAsia" w:ascii="宋体" w:hAnsi="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11</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企业应当依法参加工伤保险，为从业人员缴纳保险费。</w:t>
            </w:r>
          </w:p>
        </w:tc>
        <w:tc>
          <w:tcPr>
            <w:tcW w:w="1559" w:type="dxa"/>
            <w:vAlign w:val="center"/>
          </w:tcPr>
          <w:p>
            <w:pPr>
              <w:topLinePunct/>
              <w:spacing w:line="240" w:lineRule="auto"/>
              <w:ind w:firstLine="0" w:firstLineChars="0"/>
              <w:jc w:val="center"/>
              <w:rPr>
                <w:rFonts w:ascii="宋体" w:hAnsi="宋体"/>
                <w:color w:val="000000" w:themeColor="text1"/>
                <w:spacing w:val="-6"/>
                <w:sz w:val="21"/>
                <w:szCs w:val="21"/>
              </w:rPr>
            </w:pPr>
            <w:r>
              <w:rPr>
                <w:rFonts w:hint="eastAsia" w:ascii="宋体" w:hAnsi="宋体"/>
                <w:color w:val="000000" w:themeColor="text1"/>
                <w:spacing w:val="-6"/>
                <w:sz w:val="21"/>
                <w:szCs w:val="21"/>
              </w:rPr>
              <w:t>《危险化学品生产企业安全生产许可证实施办法》（国家安全生产监督管理总局令第41号）第十八条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经现场检查，企业已依法参加工伤保险，为员工缴纳了工伤保险费。</w:t>
            </w:r>
            <w:r>
              <w:rPr>
                <w:rFonts w:hint="eastAsia" w:ascii="宋体" w:hAnsi="宋体" w:cs="宋体"/>
                <w:color w:val="000000" w:themeColor="text1"/>
                <w:sz w:val="21"/>
                <w:szCs w:val="21"/>
              </w:rPr>
              <w:t>详见</w:t>
            </w:r>
            <w:r>
              <w:rPr>
                <w:rFonts w:hint="eastAsia" w:ascii="宋体" w:hAnsi="宋体" w:cs="宋体"/>
                <w:sz w:val="21"/>
                <w:szCs w:val="21"/>
              </w:rPr>
              <w:t>报告F</w:t>
            </w:r>
            <w:r>
              <w:rPr>
                <w:rFonts w:hint="eastAsia" w:ascii="宋体" w:hAnsi="宋体" w:cs="宋体"/>
                <w:color w:val="000000" w:themeColor="text1"/>
                <w:sz w:val="21"/>
                <w:szCs w:val="21"/>
              </w:rPr>
              <w:t>6.16</w:t>
            </w:r>
            <w:r>
              <w:rPr>
                <w:rFonts w:hint="eastAsia" w:ascii="宋体" w:hAnsi="宋体"/>
                <w:color w:val="000000" w:themeColor="text1"/>
                <w:sz w:val="21"/>
                <w:szCs w:val="21"/>
              </w:rPr>
              <w:t>。</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12</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企业应当依法委托具备国家规定资质的安全评价机构进行安全评价，并按照安全评价报告的意见对存在的安全生产问题进行整改。</w:t>
            </w:r>
          </w:p>
        </w:tc>
        <w:tc>
          <w:tcPr>
            <w:tcW w:w="1559" w:type="dxa"/>
            <w:vAlign w:val="center"/>
          </w:tcPr>
          <w:p>
            <w:pPr>
              <w:topLinePunct/>
              <w:spacing w:line="240" w:lineRule="auto"/>
              <w:ind w:firstLine="0" w:firstLineChars="0"/>
              <w:jc w:val="center"/>
              <w:rPr>
                <w:rFonts w:ascii="宋体" w:hAnsi="宋体"/>
                <w:color w:val="000000" w:themeColor="text1"/>
                <w:spacing w:val="-6"/>
                <w:sz w:val="21"/>
                <w:szCs w:val="21"/>
              </w:rPr>
            </w:pPr>
            <w:r>
              <w:rPr>
                <w:rFonts w:hint="eastAsia" w:ascii="宋体" w:hAnsi="宋体"/>
                <w:color w:val="000000" w:themeColor="text1"/>
                <w:spacing w:val="-6"/>
                <w:sz w:val="21"/>
                <w:szCs w:val="21"/>
              </w:rPr>
              <w:t>《危险化学品生产企业安全生产许可证实施办法》（国家安全生产监督管理总局令第41号）第十九条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企业委托的评价机构资质符合要求，已根据评价报告提出意见进行了整改</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13</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企业应当依法进行危险化学品登记，为用户提供化学品安全技术说明书，并在危险化学品包装（包括外包装件）上粘贴或者拴挂与包装内危险化学品相符的化学品安全标签。</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pacing w:val="-6"/>
                <w:sz w:val="21"/>
                <w:szCs w:val="21"/>
              </w:rPr>
              <w:t>《危险化学品生产企业安全生产许可证实施办法》（国家安全生产监督管理总局令第41号）第二十条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检查企业已依法进行危险化学品登记，并为用户提供化学品安全技术说明书和安全标签。</w:t>
            </w:r>
            <w:r>
              <w:rPr>
                <w:rFonts w:hint="eastAsia" w:ascii="宋体" w:hAnsi="宋体" w:cs="宋体"/>
                <w:color w:val="000000" w:themeColor="text1"/>
                <w:sz w:val="21"/>
                <w:szCs w:val="21"/>
              </w:rPr>
              <w:t>详见</w:t>
            </w:r>
            <w:r>
              <w:rPr>
                <w:rFonts w:hint="eastAsia" w:ascii="宋体" w:hAnsi="宋体" w:cs="宋体"/>
                <w:sz w:val="21"/>
                <w:szCs w:val="21"/>
              </w:rPr>
              <w:t>报告F</w:t>
            </w:r>
            <w:r>
              <w:rPr>
                <w:rFonts w:hint="eastAsia" w:ascii="宋体" w:hAnsi="宋体" w:cs="宋体"/>
                <w:color w:val="000000" w:themeColor="text1"/>
                <w:sz w:val="21"/>
                <w:szCs w:val="21"/>
              </w:rPr>
              <w:t>6.5、</w:t>
            </w:r>
            <w:r>
              <w:rPr>
                <w:rFonts w:hint="eastAsia" w:ascii="宋体" w:hAnsi="宋体"/>
                <w:color w:val="000000" w:themeColor="text1"/>
                <w:sz w:val="21"/>
                <w:szCs w:val="21"/>
              </w:rPr>
              <w:t>6.20.</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14</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企业应当符合下列应急管理要求：</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①按照国家有关规定编制危险化学品事故应急预案并报有关部门备案；</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②建立应急救援组织，规模较小的企业可以不建立应急救援组织，但应指定兼职的应急救援人员；</w:t>
            </w:r>
          </w:p>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③配备必要的应急救援器材、设备和物资，并进行经常性维护、保养，保证正常运转。生产、储存和使用氯气、氨气、光气、硫化氢等吸入性有毒有害气体的企业，除符合本条第一款的规定外，还应当配备至少两套以上全封闭防化服；构成重大危险源的，还应当设立气体防护站（组）。</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《危险化学品生产企业安全生产许可证实施办法》（国家安全生产监督管理总局令第41号）第二十一条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企业编制了危险化学品事故应急预案并报漾濞彝族自治县应急管理局备案；</w:t>
            </w:r>
            <w:r>
              <w:rPr>
                <w:rFonts w:hint="eastAsia" w:ascii="宋体" w:hAnsi="宋体" w:cs="宋体"/>
                <w:color w:val="000000" w:themeColor="text1"/>
                <w:sz w:val="21"/>
                <w:szCs w:val="21"/>
              </w:rPr>
              <w:t>详见</w:t>
            </w:r>
            <w:r>
              <w:rPr>
                <w:rFonts w:hint="eastAsia" w:ascii="宋体" w:hAnsi="宋体" w:cs="宋体"/>
                <w:sz w:val="21"/>
                <w:szCs w:val="21"/>
              </w:rPr>
              <w:t>报告F</w:t>
            </w:r>
            <w:r>
              <w:rPr>
                <w:rFonts w:hint="eastAsia" w:ascii="宋体" w:hAnsi="宋体" w:cs="宋体"/>
                <w:color w:val="000000" w:themeColor="text1"/>
                <w:sz w:val="21"/>
                <w:szCs w:val="21"/>
              </w:rPr>
              <w:t>6.13</w:t>
            </w:r>
          </w:p>
          <w:p>
            <w:pPr>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企业设有应急救援组织配备了必要的应急救援器材、设备和物资；详见报告</w:t>
            </w:r>
            <w:r>
              <w:rPr>
                <w:rFonts w:hint="eastAsia" w:ascii="宋体" w:hAnsi="宋体"/>
                <w:color w:val="auto"/>
                <w:sz w:val="21"/>
                <w:szCs w:val="21"/>
              </w:rPr>
              <w:t>F</w:t>
            </w:r>
            <w:r>
              <w:rPr>
                <w:rFonts w:hint="eastAsia" w:ascii="宋体" w:hAnsi="宋体"/>
                <w:color w:val="000000" w:themeColor="text1"/>
                <w:sz w:val="21"/>
                <w:szCs w:val="21"/>
              </w:rPr>
              <w:t>1</w:t>
            </w:r>
            <w:r>
              <w:rPr>
                <w:rFonts w:hint="eastAsia" w:hAnsi="宋体"/>
                <w:color w:val="000000" w:themeColor="text1"/>
                <w:kern w:val="0"/>
                <w:sz w:val="21"/>
                <w:szCs w:val="21"/>
              </w:rPr>
              <w:t>.1</w:t>
            </w:r>
            <w:r>
              <w:rPr>
                <w:rFonts w:hint="eastAsia" w:ascii="宋体" w:hAnsi="宋体" w:cs="宋体"/>
                <w:color w:val="000000" w:themeColor="text1"/>
                <w:sz w:val="21"/>
                <w:szCs w:val="21"/>
              </w:rPr>
              <w:t>安全设施清单。</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1"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15</w:t>
            </w:r>
          </w:p>
        </w:tc>
        <w:tc>
          <w:tcPr>
            <w:tcW w:w="3815"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企业除符合本章规定的安全生产条件，还应当符合有关法律、行政法规和国家标准或者行业标准规定的其他安全生产条件。</w:t>
            </w:r>
          </w:p>
        </w:tc>
        <w:tc>
          <w:tcPr>
            <w:tcW w:w="1559"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pacing w:val="-6"/>
                <w:sz w:val="21"/>
                <w:szCs w:val="21"/>
              </w:rPr>
              <w:t>《危险化学品生产企业安全生产许可证实施办法》（国家安全生产监督管理总局令第41号）第二十二条</w:t>
            </w:r>
          </w:p>
        </w:tc>
        <w:tc>
          <w:tcPr>
            <w:tcW w:w="2410" w:type="dxa"/>
            <w:vAlign w:val="center"/>
          </w:tcPr>
          <w:p>
            <w:pPr>
              <w:topLinePunct/>
              <w:spacing w:line="240" w:lineRule="auto"/>
              <w:ind w:firstLine="210" w:firstLineChars="100"/>
              <w:jc w:val="left"/>
              <w:rPr>
                <w:rFonts w:ascii="宋体" w:hAnsi="宋体"/>
                <w:color w:val="000000" w:themeColor="text1"/>
                <w:sz w:val="21"/>
                <w:szCs w:val="21"/>
              </w:rPr>
            </w:pPr>
            <w:r>
              <w:rPr>
                <w:rFonts w:hint="eastAsia" w:ascii="宋体" w:hAnsi="宋体"/>
                <w:color w:val="000000" w:themeColor="text1"/>
                <w:sz w:val="21"/>
                <w:szCs w:val="21"/>
              </w:rPr>
              <w:t>企业符合有关法律、行政法规和国家标准或者行业标准规定的其他安全生产条件</w:t>
            </w:r>
          </w:p>
        </w:tc>
        <w:tc>
          <w:tcPr>
            <w:tcW w:w="707" w:type="dxa"/>
            <w:vAlign w:val="center"/>
          </w:tcPr>
          <w:p>
            <w:pPr>
              <w:topLinePunct/>
              <w:spacing w:line="240" w:lineRule="auto"/>
              <w:ind w:firstLine="0" w:firstLineChars="0"/>
              <w:jc w:val="center"/>
              <w:rPr>
                <w:rFonts w:ascii="宋体" w:hAnsi="宋体"/>
                <w:color w:val="000000" w:themeColor="text1"/>
                <w:sz w:val="21"/>
                <w:szCs w:val="21"/>
              </w:rPr>
            </w:pPr>
            <w:r>
              <w:rPr>
                <w:rFonts w:hint="eastAsia" w:ascii="宋体" w:hAnsi="宋体"/>
                <w:color w:val="000000" w:themeColor="text1"/>
                <w:sz w:val="21"/>
                <w:szCs w:val="21"/>
              </w:rPr>
              <w:t>符合要求</w:t>
            </w:r>
          </w:p>
        </w:tc>
      </w:tr>
    </w:tbl>
    <w:p>
      <w:pPr>
        <w:pStyle w:val="16"/>
        <w:ind w:firstLine="560"/>
      </w:pPr>
      <w:bookmarkStart w:id="4579" w:name="_Toc965"/>
      <w:bookmarkStart w:id="4580" w:name="_Toc30324"/>
      <w:bookmarkStart w:id="4581" w:name="_Toc25618"/>
      <w:bookmarkStart w:id="4582" w:name="_Toc2073"/>
      <w:bookmarkStart w:id="4583" w:name="_Toc13882"/>
      <w:bookmarkStart w:id="4584" w:name="_Toc2653"/>
      <w:bookmarkStart w:id="4585" w:name="_Toc10492"/>
      <w:bookmarkStart w:id="4586" w:name="_Toc128056548"/>
      <w:bookmarkStart w:id="4587" w:name="_Toc21209"/>
      <w:bookmarkStart w:id="4588" w:name="_Toc22489"/>
    </w:p>
    <w:p>
      <w:pPr>
        <w:pStyle w:val="4"/>
        <w:ind w:firstLine="562"/>
      </w:pPr>
      <w:bookmarkStart w:id="4589" w:name="_Toc11709"/>
      <w:bookmarkStart w:id="4590" w:name="_Toc2583"/>
      <w:bookmarkStart w:id="4591" w:name="_Toc14752"/>
      <w:bookmarkStart w:id="4592" w:name="_Toc14603"/>
      <w:bookmarkStart w:id="4593" w:name="_Toc8045"/>
      <w:bookmarkStart w:id="4594" w:name="_Toc2449"/>
      <w:bookmarkStart w:id="4595" w:name="_Toc7318"/>
      <w:bookmarkStart w:id="4596" w:name="_Toc21553"/>
      <w:bookmarkStart w:id="4597" w:name="_Toc16658"/>
      <w:bookmarkStart w:id="4598" w:name="_Toc15441"/>
      <w:bookmarkStart w:id="4599" w:name="_Toc27199"/>
      <w:bookmarkStart w:id="4600" w:name="_Toc10790"/>
      <w:bookmarkStart w:id="4601" w:name="_Toc4639"/>
      <w:bookmarkStart w:id="4602" w:name="_Toc6131"/>
      <w:bookmarkStart w:id="4603" w:name="_Toc29472"/>
      <w:bookmarkStart w:id="4604" w:name="_Toc21074"/>
      <w:r>
        <w:rPr>
          <w:rFonts w:hint="eastAsia"/>
        </w:rPr>
        <w:t>F4.</w:t>
      </w:r>
      <w:r>
        <w:rPr>
          <w:rFonts w:hint="eastAsia"/>
          <w:lang w:val="en-US" w:eastAsia="zh-CN"/>
        </w:rPr>
        <w:t>6</w:t>
      </w:r>
      <w:r>
        <w:rPr>
          <w:rFonts w:hint="eastAsia"/>
        </w:rPr>
        <w:t>.2 单元小结</w:t>
      </w:r>
      <w:bookmarkEnd w:id="4579"/>
      <w:bookmarkEnd w:id="4580"/>
      <w:bookmarkEnd w:id="4581"/>
      <w:bookmarkEnd w:id="4582"/>
      <w:bookmarkEnd w:id="4583"/>
      <w:bookmarkEnd w:id="4584"/>
      <w:bookmarkEnd w:id="4585"/>
      <w:bookmarkEnd w:id="4586"/>
      <w:bookmarkEnd w:id="4587"/>
      <w:bookmarkEnd w:id="4588"/>
      <w:bookmarkEnd w:id="4589"/>
      <w:bookmarkEnd w:id="4590"/>
      <w:bookmarkEnd w:id="4591"/>
      <w:bookmarkEnd w:id="4592"/>
      <w:bookmarkEnd w:id="4593"/>
      <w:bookmarkEnd w:id="4594"/>
      <w:bookmarkEnd w:id="4595"/>
      <w:bookmarkEnd w:id="4596"/>
      <w:bookmarkEnd w:id="4597"/>
      <w:bookmarkEnd w:id="4598"/>
      <w:bookmarkEnd w:id="4599"/>
      <w:bookmarkEnd w:id="4600"/>
      <w:bookmarkEnd w:id="4601"/>
      <w:bookmarkEnd w:id="4602"/>
      <w:bookmarkEnd w:id="4603"/>
      <w:bookmarkEnd w:id="4604"/>
    </w:p>
    <w:p>
      <w:pPr>
        <w:ind w:firstLine="560"/>
        <w:rPr>
          <w:color w:val="000000" w:themeColor="text1"/>
        </w:rPr>
      </w:pPr>
      <w:bookmarkStart w:id="4605" w:name="_Toc62740982"/>
      <w:r>
        <w:rPr>
          <w:rFonts w:hint="eastAsia"/>
          <w:color w:val="000000" w:themeColor="text1"/>
        </w:rPr>
        <w:t>通过检查表检查可知，项目安全生产条件符合《危险化学品生产企业安全生产许可证实施办法》(国家安全生产监督管理总局令第41号，根据79号令、89号令修改)的相关要求。</w:t>
      </w:r>
    </w:p>
    <w:p>
      <w:pPr>
        <w:pStyle w:val="2"/>
        <w:rPr>
          <w:rFonts w:ascii="楷体" w:hAnsi="楷体" w:eastAsia="楷体" w:cs="楷体"/>
          <w:b/>
          <w:bCs w:val="0"/>
          <w:color w:val="000000" w:themeColor="text1"/>
        </w:rPr>
      </w:pPr>
      <w:bookmarkStart w:id="4606" w:name="_Toc396"/>
      <w:bookmarkStart w:id="4607" w:name="_Toc22466"/>
      <w:bookmarkStart w:id="4608" w:name="_Toc12071"/>
      <w:bookmarkStart w:id="4609" w:name="_Toc26314"/>
      <w:bookmarkStart w:id="4610" w:name="_Toc27002"/>
      <w:bookmarkStart w:id="4611" w:name="_Toc3474"/>
      <w:bookmarkStart w:id="4612" w:name="_Toc4752"/>
      <w:bookmarkStart w:id="4613" w:name="_Toc20179"/>
      <w:bookmarkStart w:id="4614" w:name="_Toc8920"/>
      <w:bookmarkStart w:id="4615" w:name="_Toc17957"/>
      <w:bookmarkStart w:id="4616" w:name="_Toc27816"/>
      <w:bookmarkStart w:id="4617" w:name="_Toc14984"/>
      <w:bookmarkStart w:id="4618" w:name="_Toc21576"/>
      <w:bookmarkStart w:id="4619" w:name="_Toc26720"/>
      <w:bookmarkStart w:id="4620" w:name="_Toc31308"/>
      <w:bookmarkStart w:id="4621" w:name="_Toc5276"/>
      <w:bookmarkStart w:id="4622" w:name="_Toc3741"/>
      <w:bookmarkStart w:id="4623" w:name="_Toc17702"/>
      <w:bookmarkStart w:id="4624" w:name="_Toc11508"/>
      <w:bookmarkStart w:id="4625" w:name="_Toc9964"/>
      <w:bookmarkStart w:id="4626" w:name="_Toc23985"/>
      <w:bookmarkStart w:id="4627" w:name="_Toc1830"/>
      <w:bookmarkStart w:id="4628" w:name="_Toc12172"/>
      <w:bookmarkStart w:id="4629" w:name="_Toc22472"/>
      <w:bookmarkStart w:id="4630" w:name="_Toc1223"/>
      <w:bookmarkStart w:id="4631" w:name="_Toc199"/>
      <w:bookmarkStart w:id="4632" w:name="_Toc7797"/>
      <w:bookmarkStart w:id="4633" w:name="_Toc29632"/>
      <w:bookmarkStart w:id="4634" w:name="_Toc643"/>
      <w:bookmarkStart w:id="4635" w:name="_Toc311"/>
      <w:bookmarkStart w:id="4636" w:name="_Toc32488"/>
      <w:bookmarkStart w:id="4637" w:name="_Toc12618"/>
      <w:bookmarkStart w:id="4638" w:name="_Toc5625"/>
      <w:bookmarkStart w:id="4639" w:name="_Toc23850"/>
      <w:bookmarkStart w:id="4640" w:name="_Toc128056549"/>
      <w:bookmarkStart w:id="4641" w:name="_Toc32577"/>
      <w:r>
        <w:rPr>
          <w:rFonts w:hint="eastAsia" w:ascii="楷体" w:hAnsi="楷体" w:eastAsia="楷体" w:cs="楷体"/>
          <w:b/>
          <w:bCs w:val="0"/>
          <w:color w:val="000000" w:themeColor="text1"/>
        </w:rPr>
        <w:t>F5  评价依据</w:t>
      </w:r>
      <w:bookmarkEnd w:id="4605"/>
      <w:bookmarkEnd w:id="4606"/>
      <w:bookmarkEnd w:id="4607"/>
      <w:bookmarkEnd w:id="4608"/>
      <w:bookmarkEnd w:id="4609"/>
      <w:bookmarkEnd w:id="4610"/>
      <w:bookmarkEnd w:id="4611"/>
      <w:bookmarkEnd w:id="4612"/>
      <w:bookmarkEnd w:id="4613"/>
      <w:bookmarkEnd w:id="4614"/>
      <w:bookmarkEnd w:id="4615"/>
      <w:bookmarkEnd w:id="4616"/>
      <w:bookmarkEnd w:id="4617"/>
      <w:bookmarkEnd w:id="4618"/>
      <w:bookmarkEnd w:id="4619"/>
      <w:bookmarkEnd w:id="4620"/>
      <w:bookmarkEnd w:id="4621"/>
      <w:bookmarkEnd w:id="4622"/>
      <w:bookmarkEnd w:id="4623"/>
      <w:bookmarkEnd w:id="4624"/>
      <w:bookmarkEnd w:id="4625"/>
      <w:bookmarkEnd w:id="4626"/>
      <w:bookmarkEnd w:id="4627"/>
      <w:bookmarkEnd w:id="4628"/>
      <w:bookmarkEnd w:id="4629"/>
      <w:bookmarkEnd w:id="4630"/>
      <w:bookmarkEnd w:id="4631"/>
      <w:bookmarkEnd w:id="4632"/>
      <w:bookmarkEnd w:id="4633"/>
      <w:bookmarkEnd w:id="4634"/>
      <w:bookmarkEnd w:id="4635"/>
      <w:bookmarkEnd w:id="4636"/>
      <w:bookmarkEnd w:id="4637"/>
      <w:bookmarkEnd w:id="4638"/>
      <w:bookmarkEnd w:id="4639"/>
      <w:bookmarkEnd w:id="4640"/>
      <w:bookmarkEnd w:id="4641"/>
    </w:p>
    <w:p>
      <w:pPr>
        <w:ind w:firstLine="0" w:firstLineChars="0"/>
        <w:rPr>
          <w:color w:val="000000" w:themeColor="text1"/>
        </w:rPr>
      </w:pPr>
    </w:p>
    <w:p>
      <w:pPr>
        <w:pStyle w:val="3"/>
        <w:ind w:firstLine="562"/>
        <w:rPr>
          <w:rFonts w:ascii="黑体" w:hAnsi="黑体" w:eastAsia="黑体" w:cs="黑体"/>
          <w:color w:val="000000" w:themeColor="text1"/>
        </w:rPr>
      </w:pPr>
      <w:bookmarkStart w:id="4642" w:name="_Toc128056550"/>
      <w:bookmarkStart w:id="4643" w:name="_Toc30054"/>
      <w:bookmarkStart w:id="4644" w:name="_Toc7095"/>
      <w:bookmarkStart w:id="4645" w:name="_Toc32396"/>
      <w:bookmarkStart w:id="4646" w:name="_Toc21961"/>
      <w:bookmarkStart w:id="4647" w:name="_Toc3787_WPSOffice_Level2"/>
      <w:bookmarkStart w:id="4648" w:name="_Toc22334"/>
      <w:bookmarkStart w:id="4649" w:name="_Toc13891_WPSOffice_Level2"/>
      <w:bookmarkStart w:id="4650" w:name="_Toc62740983"/>
      <w:bookmarkStart w:id="4651" w:name="_Toc317766303"/>
      <w:bookmarkStart w:id="4652" w:name="_Toc18578"/>
      <w:bookmarkStart w:id="4653" w:name="_Toc31039"/>
      <w:bookmarkStart w:id="4654" w:name="_Toc11041"/>
      <w:bookmarkStart w:id="4655" w:name="_Toc2752"/>
      <w:bookmarkStart w:id="4656" w:name="_Toc3448"/>
      <w:bookmarkStart w:id="4657" w:name="_Toc28093"/>
      <w:bookmarkStart w:id="4658" w:name="_Toc7117"/>
      <w:bookmarkStart w:id="4659" w:name="_Toc30416"/>
      <w:bookmarkStart w:id="4660" w:name="_Toc3610"/>
      <w:bookmarkStart w:id="4661" w:name="_Toc29677"/>
      <w:bookmarkStart w:id="4662" w:name="_Toc20375"/>
      <w:bookmarkStart w:id="4663" w:name="_Toc257"/>
      <w:bookmarkStart w:id="4664" w:name="_Toc10940"/>
      <w:bookmarkStart w:id="4665" w:name="_Toc24583"/>
      <w:bookmarkStart w:id="4666" w:name="_Toc32231"/>
      <w:bookmarkStart w:id="4667" w:name="_Toc21149"/>
      <w:bookmarkStart w:id="4668" w:name="_Toc24482"/>
      <w:bookmarkStart w:id="4669" w:name="_Toc19426"/>
      <w:bookmarkStart w:id="4670" w:name="_Toc14945"/>
      <w:bookmarkStart w:id="4671" w:name="_Toc13647"/>
      <w:bookmarkStart w:id="4672" w:name="_Toc14373"/>
      <w:bookmarkStart w:id="4673" w:name="_Toc14570"/>
      <w:bookmarkStart w:id="4674" w:name="_Toc6550"/>
      <w:bookmarkStart w:id="4675" w:name="_Toc12126"/>
      <w:bookmarkStart w:id="4676" w:name="_Toc21197"/>
      <w:bookmarkStart w:id="4677" w:name="_Toc6109"/>
      <w:bookmarkStart w:id="4678" w:name="_Toc25551"/>
      <w:bookmarkStart w:id="4679" w:name="_Toc24056"/>
      <w:bookmarkStart w:id="4680" w:name="_Toc8955"/>
      <w:bookmarkStart w:id="4681" w:name="_Toc28973"/>
      <w:bookmarkStart w:id="4682" w:name="_Toc24979"/>
      <w:r>
        <w:rPr>
          <w:rFonts w:hint="eastAsia" w:ascii="黑体" w:hAnsi="黑体" w:eastAsia="黑体" w:cs="黑体"/>
          <w:color w:val="000000" w:themeColor="text1"/>
        </w:rPr>
        <w:t>F5.1</w:t>
      </w:r>
      <w:bookmarkEnd w:id="4642"/>
      <w:bookmarkEnd w:id="4643"/>
      <w:bookmarkEnd w:id="4644"/>
      <w:bookmarkEnd w:id="4645"/>
      <w:bookmarkEnd w:id="4646"/>
      <w:bookmarkEnd w:id="4647"/>
      <w:bookmarkEnd w:id="4648"/>
      <w:bookmarkEnd w:id="4649"/>
      <w:bookmarkEnd w:id="4650"/>
      <w:bookmarkEnd w:id="4651"/>
      <w:bookmarkStart w:id="4683" w:name="_Toc338949231"/>
      <w:bookmarkStart w:id="4684" w:name="_Toc392234465"/>
      <w:bookmarkStart w:id="4685" w:name="_Toc316585028"/>
      <w:bookmarkStart w:id="4686" w:name="_Toc424062630"/>
      <w:bookmarkStart w:id="4687" w:name="_Toc314084032"/>
      <w:bookmarkStart w:id="4688" w:name="_Toc325135703"/>
      <w:bookmarkStart w:id="4689" w:name="_Toc24191"/>
      <w:bookmarkStart w:id="4690" w:name="_Toc339727423"/>
      <w:bookmarkStart w:id="4691" w:name="_Toc413331908"/>
      <w:bookmarkStart w:id="4692" w:name="_Toc342479341"/>
      <w:bookmarkStart w:id="4693" w:name="_Toc316585290"/>
      <w:bookmarkStart w:id="4694" w:name="_Toc128056551"/>
      <w:bookmarkStart w:id="4695" w:name="_Toc14704"/>
      <w:bookmarkStart w:id="4696" w:name="_Toc6060"/>
      <w:bookmarkStart w:id="4697" w:name="_Toc30275"/>
      <w:bookmarkStart w:id="4698" w:name="_Toc81"/>
      <w:r>
        <w:rPr>
          <w:rFonts w:hint="eastAsia" w:ascii="黑体" w:hAnsi="黑体" w:eastAsia="黑体" w:cs="黑体"/>
          <w:color w:val="000000" w:themeColor="text1"/>
        </w:rPr>
        <w:t xml:space="preserve"> 法律</w:t>
      </w:r>
      <w:bookmarkEnd w:id="4683"/>
      <w:bookmarkEnd w:id="4684"/>
      <w:bookmarkEnd w:id="4685"/>
      <w:bookmarkEnd w:id="4686"/>
      <w:bookmarkEnd w:id="4687"/>
      <w:bookmarkEnd w:id="4688"/>
      <w:bookmarkEnd w:id="4689"/>
      <w:bookmarkEnd w:id="4690"/>
      <w:bookmarkEnd w:id="4691"/>
      <w:bookmarkEnd w:id="4692"/>
      <w:bookmarkEnd w:id="4693"/>
      <w:bookmarkStart w:id="4699" w:name="_Toc200880692"/>
      <w:bookmarkStart w:id="4700" w:name="_Toc171873134"/>
      <w:bookmarkStart w:id="4701" w:name="_Toc510448386"/>
      <w:bookmarkStart w:id="4702" w:name="_Toc295810566"/>
      <w:bookmarkStart w:id="4703" w:name="_Toc525367176"/>
      <w:r>
        <w:rPr>
          <w:rFonts w:hint="eastAsia" w:ascii="黑体" w:hAnsi="黑体" w:eastAsia="黑体" w:cs="黑体"/>
          <w:color w:val="000000" w:themeColor="text1"/>
        </w:rPr>
        <w:t>、法规</w:t>
      </w:r>
      <w:bookmarkEnd w:id="4652"/>
      <w:bookmarkEnd w:id="4653"/>
      <w:bookmarkEnd w:id="4654"/>
      <w:bookmarkEnd w:id="4655"/>
      <w:bookmarkEnd w:id="4656"/>
      <w:bookmarkEnd w:id="4657"/>
      <w:bookmarkEnd w:id="4658"/>
      <w:bookmarkEnd w:id="4659"/>
      <w:bookmarkEnd w:id="4660"/>
      <w:bookmarkEnd w:id="4661"/>
      <w:bookmarkEnd w:id="4662"/>
      <w:bookmarkEnd w:id="4663"/>
      <w:bookmarkEnd w:id="4664"/>
      <w:bookmarkEnd w:id="4665"/>
      <w:bookmarkEnd w:id="4666"/>
      <w:bookmarkEnd w:id="4667"/>
      <w:bookmarkEnd w:id="4668"/>
      <w:bookmarkEnd w:id="4669"/>
      <w:bookmarkEnd w:id="4670"/>
      <w:bookmarkEnd w:id="4671"/>
      <w:bookmarkEnd w:id="4672"/>
      <w:bookmarkEnd w:id="4673"/>
      <w:bookmarkEnd w:id="4674"/>
      <w:bookmarkEnd w:id="4675"/>
      <w:bookmarkEnd w:id="4676"/>
      <w:bookmarkEnd w:id="4677"/>
      <w:bookmarkEnd w:id="4678"/>
      <w:bookmarkEnd w:id="4679"/>
      <w:bookmarkEnd w:id="4680"/>
      <w:bookmarkEnd w:id="4681"/>
      <w:bookmarkEnd w:id="4682"/>
      <w:bookmarkEnd w:id="4694"/>
      <w:bookmarkEnd w:id="4695"/>
      <w:bookmarkEnd w:id="4696"/>
      <w:bookmarkEnd w:id="4697"/>
      <w:bookmarkEnd w:id="4698"/>
      <w:bookmarkEnd w:id="4699"/>
      <w:bookmarkEnd w:id="4700"/>
      <w:bookmarkEnd w:id="4701"/>
      <w:bookmarkEnd w:id="4702"/>
      <w:bookmarkEnd w:id="4703"/>
    </w:p>
    <w:p>
      <w:pPr>
        <w:tabs>
          <w:tab w:val="left" w:pos="851"/>
        </w:tabs>
        <w:ind w:firstLine="560"/>
        <w:rPr>
          <w:rFonts w:ascii="宋体" w:hAnsi="宋体" w:cs="宋体"/>
          <w:color w:val="000000" w:themeColor="text1"/>
        </w:rPr>
      </w:pPr>
      <w:bookmarkStart w:id="4704" w:name="_Toc295810567"/>
      <w:bookmarkStart w:id="4705" w:name="_Toc525367177"/>
      <w:bookmarkStart w:id="4706" w:name="_Toc128056552"/>
      <w:bookmarkStart w:id="4707" w:name="_Toc510448387"/>
      <w:bookmarkStart w:id="4708" w:name="_Toc200880693"/>
      <w:bookmarkStart w:id="4709" w:name="_Toc171873135"/>
      <w:r>
        <w:rPr>
          <w:rFonts w:hint="eastAsia" w:ascii="宋体" w:hAnsi="宋体" w:cs="宋体"/>
        </w:rPr>
        <w:t>（1）</w:t>
      </w:r>
      <w:r>
        <w:rPr>
          <w:rFonts w:hint="eastAsia" w:ascii="宋体" w:hAnsi="宋体" w:cs="宋体"/>
          <w:color w:val="000000" w:themeColor="text1"/>
        </w:rPr>
        <w:t>《中华人民共和国安全生产法》（中华人民共和国主席令第88号，2021年9月1日起实施）；</w:t>
      </w:r>
    </w:p>
    <w:p>
      <w:pPr>
        <w:tabs>
          <w:tab w:val="left" w:pos="851"/>
        </w:tabs>
        <w:ind w:firstLine="560"/>
        <w:rPr>
          <w:rFonts w:ascii="宋体" w:hAnsi="宋体" w:cs="宋体"/>
          <w:color w:val="000000" w:themeColor="text1"/>
        </w:rPr>
      </w:pPr>
      <w:r>
        <w:rPr>
          <w:rFonts w:hint="eastAsia" w:ascii="宋体" w:hAnsi="宋体" w:cs="宋体"/>
        </w:rPr>
        <w:t>（2）</w:t>
      </w:r>
      <w:r>
        <w:rPr>
          <w:rFonts w:hint="eastAsia" w:ascii="宋体" w:hAnsi="宋体" w:cs="宋体"/>
          <w:color w:val="000000" w:themeColor="text1"/>
        </w:rPr>
        <w:t>《中华人民共和国消防法》（中华人民共和国主席令第81号，2021年4月29日起施行）；</w:t>
      </w:r>
    </w:p>
    <w:p>
      <w:pPr>
        <w:tabs>
          <w:tab w:val="left" w:pos="851"/>
        </w:tabs>
        <w:ind w:firstLine="560"/>
        <w:rPr>
          <w:rFonts w:ascii="宋体" w:hAnsi="宋体" w:cs="宋体"/>
          <w:color w:val="000000" w:themeColor="text1"/>
        </w:rPr>
      </w:pPr>
      <w:r>
        <w:rPr>
          <w:rFonts w:hint="eastAsia" w:ascii="宋体" w:hAnsi="宋体" w:cs="宋体"/>
        </w:rPr>
        <w:t>（3）</w:t>
      </w:r>
      <w:r>
        <w:rPr>
          <w:rFonts w:hint="eastAsia" w:ascii="宋体" w:hAnsi="宋体" w:cs="宋体"/>
          <w:color w:val="000000" w:themeColor="text1"/>
        </w:rPr>
        <w:t>《中华人民共和国职业病防治法》（中华人民共和国主席令第24号，2018年12月29日起施行）；</w:t>
      </w:r>
    </w:p>
    <w:p>
      <w:pPr>
        <w:tabs>
          <w:tab w:val="left" w:pos="851"/>
        </w:tabs>
        <w:ind w:firstLine="560"/>
        <w:rPr>
          <w:rFonts w:ascii="宋体" w:hAnsi="宋体" w:cs="宋体"/>
          <w:color w:val="000000" w:themeColor="text1"/>
        </w:rPr>
      </w:pPr>
      <w:r>
        <w:rPr>
          <w:rFonts w:hint="eastAsia" w:ascii="宋体" w:hAnsi="宋体" w:cs="宋体"/>
        </w:rPr>
        <w:t>（4）</w:t>
      </w:r>
      <w:r>
        <w:rPr>
          <w:rFonts w:hint="eastAsia" w:ascii="宋体" w:hAnsi="宋体" w:cs="宋体"/>
          <w:color w:val="000000" w:themeColor="text1"/>
        </w:rPr>
        <w:t>《中华人民共和国气象法》（中华人民共和国主席令第57号，2016年11月07日起施行）；</w:t>
      </w:r>
    </w:p>
    <w:p>
      <w:pPr>
        <w:tabs>
          <w:tab w:val="left" w:pos="851"/>
        </w:tabs>
        <w:ind w:firstLine="560"/>
        <w:rPr>
          <w:rFonts w:ascii="宋体" w:hAnsi="宋体" w:cs="宋体"/>
          <w:color w:val="000000" w:themeColor="text1"/>
        </w:rPr>
      </w:pPr>
      <w:r>
        <w:rPr>
          <w:rFonts w:hint="eastAsia" w:ascii="宋体" w:hAnsi="宋体" w:cs="宋体"/>
        </w:rPr>
        <w:t>（5）</w:t>
      </w:r>
      <w:r>
        <w:rPr>
          <w:rFonts w:hint="eastAsia" w:ascii="宋体" w:hAnsi="宋体" w:cs="宋体"/>
          <w:color w:val="000000" w:themeColor="text1"/>
        </w:rPr>
        <w:t>《中华人民共和国劳动法》（中华人民共和国主席令第24号，2018年12月29日起施行）；</w:t>
      </w:r>
    </w:p>
    <w:p>
      <w:pPr>
        <w:tabs>
          <w:tab w:val="left" w:pos="851"/>
        </w:tabs>
        <w:ind w:firstLine="560"/>
        <w:rPr>
          <w:rFonts w:ascii="宋体" w:hAnsi="宋体" w:cs="宋体"/>
          <w:color w:val="000000" w:themeColor="text1"/>
        </w:rPr>
      </w:pPr>
      <w:r>
        <w:rPr>
          <w:rFonts w:hint="eastAsia" w:ascii="宋体" w:hAnsi="宋体" w:cs="宋体"/>
        </w:rPr>
        <w:t>（6）</w:t>
      </w:r>
      <w:r>
        <w:rPr>
          <w:rFonts w:hint="eastAsia" w:ascii="宋体" w:hAnsi="宋体" w:cs="宋体"/>
          <w:color w:val="000000" w:themeColor="text1"/>
        </w:rPr>
        <w:t>《中华人民共和国劳动合同法》（中华人民共和国主席令第65号，2013年7月1日施行）；</w:t>
      </w:r>
    </w:p>
    <w:p>
      <w:pPr>
        <w:tabs>
          <w:tab w:val="left" w:pos="851"/>
        </w:tabs>
        <w:ind w:firstLine="560"/>
        <w:rPr>
          <w:rFonts w:ascii="宋体" w:hAnsi="宋体" w:cs="宋体"/>
          <w:color w:val="000000" w:themeColor="text1"/>
        </w:rPr>
      </w:pPr>
      <w:r>
        <w:rPr>
          <w:rFonts w:hint="eastAsia" w:ascii="宋体" w:hAnsi="宋体" w:cs="宋体"/>
        </w:rPr>
        <w:t>（7）</w:t>
      </w:r>
      <w:r>
        <w:rPr>
          <w:rFonts w:hint="eastAsia" w:ascii="宋体" w:hAnsi="宋体" w:cs="宋体"/>
          <w:color w:val="000000" w:themeColor="text1"/>
        </w:rPr>
        <w:t>《中华人民共和国突发事件应对法》（中华人民共和国主席令第69号，2007年11月1日施行）；</w:t>
      </w:r>
    </w:p>
    <w:p>
      <w:pPr>
        <w:tabs>
          <w:tab w:val="left" w:pos="851"/>
        </w:tabs>
        <w:ind w:firstLine="560"/>
        <w:rPr>
          <w:rFonts w:ascii="宋体" w:hAnsi="宋体" w:cs="宋体"/>
          <w:color w:val="000000" w:themeColor="text1"/>
        </w:rPr>
      </w:pPr>
      <w:r>
        <w:rPr>
          <w:rFonts w:hint="eastAsia" w:ascii="宋体" w:hAnsi="宋体" w:cs="宋体"/>
        </w:rPr>
        <w:t>（8）</w:t>
      </w:r>
      <w:r>
        <w:rPr>
          <w:rFonts w:hint="eastAsia" w:ascii="宋体" w:hAnsi="宋体" w:cs="宋体"/>
          <w:color w:val="000000" w:themeColor="text1"/>
        </w:rPr>
        <w:t>《中华人民共和国环境保护法》（中华人民共和国主席令第9号，2015年1月1日施行）；</w:t>
      </w:r>
    </w:p>
    <w:p>
      <w:pPr>
        <w:tabs>
          <w:tab w:val="left" w:pos="851"/>
        </w:tabs>
        <w:ind w:firstLine="560"/>
        <w:rPr>
          <w:rFonts w:ascii="宋体" w:hAnsi="宋体" w:cs="宋体"/>
          <w:color w:val="000000" w:themeColor="text1"/>
        </w:rPr>
      </w:pPr>
      <w:r>
        <w:rPr>
          <w:rFonts w:hint="eastAsia" w:ascii="宋体" w:hAnsi="宋体" w:cs="宋体"/>
        </w:rPr>
        <w:t>（9）</w:t>
      </w:r>
      <w:r>
        <w:rPr>
          <w:rFonts w:hint="eastAsia" w:ascii="宋体" w:hAnsi="宋体" w:cs="宋体"/>
          <w:color w:val="000000" w:themeColor="text1"/>
        </w:rPr>
        <w:t>《中华人民共和国特种设备安全法》（中华人民共和国主席令第4号，2014年1月1日施行）；</w:t>
      </w:r>
    </w:p>
    <w:p>
      <w:pPr>
        <w:tabs>
          <w:tab w:val="left" w:pos="851"/>
        </w:tabs>
        <w:ind w:firstLine="560"/>
        <w:rPr>
          <w:rFonts w:ascii="宋体" w:hAnsi="宋体" w:cs="宋体"/>
          <w:color w:val="000000" w:themeColor="text1"/>
        </w:rPr>
      </w:pPr>
      <w:r>
        <w:rPr>
          <w:rFonts w:hint="eastAsia" w:ascii="宋体" w:hAnsi="宋体" w:cs="宋体"/>
        </w:rPr>
        <w:t>（10）</w:t>
      </w:r>
      <w:r>
        <w:rPr>
          <w:rFonts w:hint="eastAsia" w:ascii="宋体" w:hAnsi="宋体" w:cs="宋体"/>
          <w:color w:val="000000" w:themeColor="text1"/>
        </w:rPr>
        <w:t>《中华人民共和国反恐怖主义法》（中华人民共和国主席令第36号，2016年1月1日起施行）；</w:t>
      </w:r>
    </w:p>
    <w:p>
      <w:pPr>
        <w:tabs>
          <w:tab w:val="left" w:pos="851"/>
        </w:tabs>
        <w:ind w:firstLine="560"/>
        <w:rPr>
          <w:rFonts w:ascii="宋体" w:hAnsi="宋体" w:cs="宋体"/>
          <w:color w:val="000000" w:themeColor="text1"/>
        </w:rPr>
      </w:pPr>
      <w:r>
        <w:rPr>
          <w:rFonts w:hint="eastAsia" w:ascii="宋体" w:hAnsi="宋体" w:cs="宋体"/>
        </w:rPr>
        <w:t>（11）</w:t>
      </w:r>
      <w:r>
        <w:rPr>
          <w:rFonts w:hint="eastAsia" w:ascii="宋体" w:hAnsi="宋体" w:cs="宋体"/>
          <w:color w:val="000000" w:themeColor="text1"/>
        </w:rPr>
        <w:t>《危险化学品安全管理条例》（国务院令第344号公布，第591号第一次修正，第645号第二次修正）；</w:t>
      </w:r>
    </w:p>
    <w:p>
      <w:pPr>
        <w:tabs>
          <w:tab w:val="left" w:pos="851"/>
        </w:tabs>
        <w:ind w:firstLine="560"/>
        <w:rPr>
          <w:rFonts w:ascii="宋体" w:hAnsi="宋体" w:cs="宋体"/>
          <w:color w:val="000000" w:themeColor="text1"/>
        </w:rPr>
      </w:pPr>
      <w:r>
        <w:rPr>
          <w:rFonts w:hint="eastAsia" w:ascii="宋体" w:hAnsi="宋体" w:cs="宋体"/>
        </w:rPr>
        <w:t>（12）</w:t>
      </w:r>
      <w:r>
        <w:rPr>
          <w:rFonts w:hint="eastAsia" w:ascii="宋体" w:hAnsi="宋体" w:cs="宋体"/>
          <w:color w:val="000000" w:themeColor="text1"/>
        </w:rPr>
        <w:t>《工伤保险条例》（中华人民共和国国务院令第586号，2011年1月1日施行）；</w:t>
      </w:r>
    </w:p>
    <w:p>
      <w:pPr>
        <w:tabs>
          <w:tab w:val="left" w:pos="851"/>
        </w:tabs>
        <w:ind w:firstLine="560"/>
        <w:rPr>
          <w:rFonts w:ascii="宋体" w:hAnsi="宋体" w:cs="宋体"/>
          <w:color w:val="000000" w:themeColor="text1"/>
        </w:rPr>
      </w:pPr>
      <w:r>
        <w:rPr>
          <w:rFonts w:hint="eastAsia" w:ascii="宋体" w:hAnsi="宋体" w:cs="宋体"/>
        </w:rPr>
        <w:t>（13）</w:t>
      </w:r>
      <w:r>
        <w:rPr>
          <w:rFonts w:hint="eastAsia" w:ascii="宋体" w:hAnsi="宋体" w:cs="宋体"/>
          <w:color w:val="000000" w:themeColor="text1"/>
        </w:rPr>
        <w:t>《生产安全事故报告和调查处理条例》（中华人民共和国国务院令第493号，2007年6月1日起施行）；</w:t>
      </w:r>
    </w:p>
    <w:p>
      <w:pPr>
        <w:tabs>
          <w:tab w:val="left" w:pos="851"/>
        </w:tabs>
        <w:ind w:firstLine="560"/>
        <w:rPr>
          <w:rFonts w:ascii="宋体" w:hAnsi="宋体" w:cs="宋体"/>
          <w:color w:val="000000" w:themeColor="text1"/>
        </w:rPr>
      </w:pPr>
      <w:r>
        <w:rPr>
          <w:rFonts w:hint="eastAsia" w:ascii="宋体" w:hAnsi="宋体" w:cs="宋体"/>
        </w:rPr>
        <w:t>（14）</w:t>
      </w:r>
      <w:r>
        <w:rPr>
          <w:rFonts w:hint="eastAsia" w:ascii="宋体" w:hAnsi="宋体" w:cs="宋体"/>
          <w:color w:val="000000" w:themeColor="text1"/>
        </w:rPr>
        <w:t>《中华人民共和国监控化学品管理条例》（中华人民共和国国务院令第190号，根据2011年1月8日《国务院关于废止和修改部分行政法规的决定》修订）；</w:t>
      </w:r>
    </w:p>
    <w:p>
      <w:pPr>
        <w:tabs>
          <w:tab w:val="left" w:pos="851"/>
        </w:tabs>
        <w:ind w:firstLine="560"/>
        <w:rPr>
          <w:rFonts w:ascii="宋体" w:hAnsi="宋体" w:cs="宋体"/>
          <w:color w:val="000000" w:themeColor="text1"/>
        </w:rPr>
      </w:pPr>
      <w:r>
        <w:rPr>
          <w:rFonts w:hint="eastAsia" w:ascii="宋体" w:hAnsi="宋体" w:cs="宋体"/>
        </w:rPr>
        <w:t>（15）</w:t>
      </w:r>
      <w:r>
        <w:rPr>
          <w:rFonts w:hint="eastAsia" w:ascii="宋体" w:hAnsi="宋体" w:cs="宋体"/>
          <w:color w:val="000000" w:themeColor="text1"/>
        </w:rPr>
        <w:t>《易制毒化学品管理条例》（中华人民共和国国务院令第445号，根据中华人民共和国国务院令第653号、第666号修订）；</w:t>
      </w:r>
    </w:p>
    <w:p>
      <w:pPr>
        <w:tabs>
          <w:tab w:val="left" w:pos="851"/>
        </w:tabs>
        <w:ind w:firstLine="560"/>
        <w:rPr>
          <w:rFonts w:ascii="宋体" w:hAnsi="宋体" w:cs="宋体"/>
          <w:color w:val="000000" w:themeColor="text1"/>
        </w:rPr>
      </w:pPr>
      <w:r>
        <w:rPr>
          <w:rFonts w:hint="eastAsia" w:ascii="宋体" w:hAnsi="宋体" w:cs="宋体"/>
        </w:rPr>
        <w:t>（16）</w:t>
      </w:r>
      <w:r>
        <w:rPr>
          <w:rFonts w:hint="eastAsia" w:ascii="宋体" w:hAnsi="宋体" w:cs="宋体"/>
          <w:color w:val="000000" w:themeColor="text1"/>
        </w:rPr>
        <w:t>《使用有毒物品作业场所劳动保护条例》（中华人民共和国国务院令第352号，2002年5月12日施行）；</w:t>
      </w:r>
    </w:p>
    <w:p>
      <w:pPr>
        <w:tabs>
          <w:tab w:val="left" w:pos="851"/>
        </w:tabs>
        <w:ind w:firstLine="560"/>
        <w:rPr>
          <w:rFonts w:ascii="宋体" w:hAnsi="宋体" w:cs="宋体"/>
          <w:color w:val="000000" w:themeColor="text1"/>
        </w:rPr>
      </w:pPr>
      <w:r>
        <w:rPr>
          <w:rFonts w:hint="eastAsia" w:ascii="宋体" w:hAnsi="宋体" w:cs="宋体"/>
        </w:rPr>
        <w:t>（17）</w:t>
      </w:r>
      <w:r>
        <w:rPr>
          <w:rFonts w:hint="eastAsia" w:ascii="宋体" w:hAnsi="宋体" w:cs="宋体"/>
          <w:color w:val="000000" w:themeColor="text1"/>
        </w:rPr>
        <w:t>《国务院关于进一步加强企业安全生产工作的通知》（国发[2010]23号）；</w:t>
      </w:r>
    </w:p>
    <w:p>
      <w:pPr>
        <w:tabs>
          <w:tab w:val="left" w:pos="851"/>
        </w:tabs>
        <w:ind w:firstLine="560"/>
        <w:rPr>
          <w:rFonts w:ascii="宋体" w:hAnsi="宋体" w:cs="宋体"/>
          <w:color w:val="000000" w:themeColor="text1"/>
        </w:rPr>
      </w:pPr>
      <w:r>
        <w:rPr>
          <w:rFonts w:hint="eastAsia" w:ascii="宋体" w:hAnsi="宋体" w:cs="宋体"/>
        </w:rPr>
        <w:t>（18）</w:t>
      </w:r>
      <w:r>
        <w:rPr>
          <w:rFonts w:hint="eastAsia" w:ascii="宋体" w:hAnsi="宋体" w:cs="宋体"/>
          <w:color w:val="000000" w:themeColor="text1"/>
        </w:rPr>
        <w:t>《生产安全事故应急条例》（中华人民共和国国务院第708号令，2019年4月1日施行）；</w:t>
      </w:r>
    </w:p>
    <w:p>
      <w:pPr>
        <w:tabs>
          <w:tab w:val="left" w:pos="851"/>
        </w:tabs>
        <w:ind w:firstLine="560"/>
        <w:rPr>
          <w:rFonts w:ascii="宋体" w:hAnsi="宋体" w:cs="宋体"/>
          <w:color w:val="000000" w:themeColor="text1"/>
        </w:rPr>
      </w:pPr>
      <w:r>
        <w:rPr>
          <w:rFonts w:hint="eastAsia" w:ascii="宋体" w:hAnsi="宋体" w:cs="宋体"/>
        </w:rPr>
        <w:t>（19）</w:t>
      </w:r>
      <w:r>
        <w:rPr>
          <w:rFonts w:hint="eastAsia" w:ascii="宋体" w:hAnsi="宋体" w:cs="宋体"/>
          <w:color w:val="000000" w:themeColor="text1"/>
        </w:rPr>
        <w:t>《特种设备安全监察条例》（中华人民共和国国务院令第373号，2009年1月14日国务院第46次常务会议通过，自2009年5月1日起施行）；</w:t>
      </w:r>
    </w:p>
    <w:p>
      <w:pPr>
        <w:tabs>
          <w:tab w:val="left" w:pos="851"/>
        </w:tabs>
        <w:ind w:firstLine="560"/>
        <w:rPr>
          <w:rFonts w:ascii="宋体" w:hAnsi="宋体" w:cs="宋体"/>
          <w:color w:val="000000" w:themeColor="text1"/>
        </w:rPr>
      </w:pPr>
      <w:r>
        <w:rPr>
          <w:rFonts w:hint="eastAsia" w:ascii="宋体" w:hAnsi="宋体" w:cs="宋体"/>
        </w:rPr>
        <w:t>（20）</w:t>
      </w:r>
      <w:r>
        <w:rPr>
          <w:rFonts w:hint="eastAsia" w:ascii="宋体" w:hAnsi="宋体" w:cs="宋体"/>
          <w:color w:val="000000" w:themeColor="text1"/>
        </w:rPr>
        <w:t>《安全生产许可证条例》（2004年1月13日中华人民共和国国务院令第397号公布，自公布之日起施行。根据2013年7月18日《国务院关于废止和修改部分行政法规的决定》第一次修订。根据2014年7月29日《国务院关于修改部分行政法规的决定》第二次修订）。</w:t>
      </w:r>
    </w:p>
    <w:p>
      <w:pPr>
        <w:pStyle w:val="3"/>
        <w:ind w:firstLine="562"/>
        <w:rPr>
          <w:rFonts w:ascii="黑体" w:hAnsi="黑体" w:eastAsia="黑体" w:cs="黑体"/>
          <w:color w:val="000000" w:themeColor="text1"/>
        </w:rPr>
      </w:pPr>
      <w:bookmarkStart w:id="4710" w:name="_Toc31987"/>
      <w:bookmarkStart w:id="4711" w:name="_Toc16430"/>
      <w:bookmarkStart w:id="4712" w:name="_Toc1251"/>
      <w:bookmarkStart w:id="4713" w:name="_Toc9180"/>
      <w:bookmarkStart w:id="4714" w:name="_Toc16711"/>
      <w:bookmarkStart w:id="4715" w:name="_Toc24530"/>
      <w:bookmarkStart w:id="4716" w:name="_Toc6021"/>
      <w:bookmarkStart w:id="4717" w:name="_Toc9115"/>
      <w:bookmarkStart w:id="4718" w:name="_Toc18690"/>
      <w:bookmarkStart w:id="4719" w:name="_Toc3548"/>
      <w:bookmarkStart w:id="4720" w:name="_Toc3687"/>
      <w:bookmarkStart w:id="4721" w:name="_Toc412"/>
      <w:bookmarkStart w:id="4722" w:name="_Toc32732"/>
      <w:bookmarkStart w:id="4723" w:name="_Toc5838"/>
      <w:bookmarkStart w:id="4724" w:name="_Toc2476"/>
      <w:bookmarkStart w:id="4725" w:name="_Toc20358"/>
      <w:bookmarkStart w:id="4726" w:name="_Toc32171"/>
      <w:bookmarkStart w:id="4727" w:name="_Toc22880"/>
      <w:bookmarkStart w:id="4728" w:name="_Toc16448"/>
      <w:bookmarkStart w:id="4729" w:name="_Toc27860"/>
      <w:bookmarkStart w:id="4730" w:name="_Toc31327"/>
      <w:bookmarkStart w:id="4731" w:name="_Toc26537"/>
      <w:bookmarkStart w:id="4732" w:name="_Toc17404"/>
      <w:bookmarkStart w:id="4733" w:name="_Toc8910"/>
      <w:bookmarkStart w:id="4734" w:name="_Toc6714"/>
      <w:bookmarkStart w:id="4735" w:name="_Toc1290"/>
      <w:bookmarkStart w:id="4736" w:name="_Toc24688"/>
      <w:bookmarkStart w:id="4737" w:name="_Toc32358"/>
      <w:bookmarkStart w:id="4738" w:name="_Toc4688"/>
      <w:bookmarkStart w:id="4739" w:name="_Toc22527"/>
      <w:bookmarkStart w:id="4740" w:name="_Toc13590"/>
      <w:bookmarkStart w:id="4741" w:name="_Toc20766"/>
      <w:bookmarkStart w:id="4742" w:name="_Toc7159"/>
      <w:bookmarkStart w:id="4743" w:name="_Toc31638"/>
      <w:bookmarkStart w:id="4744" w:name="_Toc23597"/>
      <w:r>
        <w:rPr>
          <w:rFonts w:hint="eastAsia" w:ascii="黑体" w:hAnsi="黑体" w:eastAsia="黑体" w:cs="黑体"/>
          <w:color w:val="000000" w:themeColor="text1"/>
        </w:rPr>
        <w:t>F5.2 部门规章</w:t>
      </w:r>
      <w:bookmarkEnd w:id="4704"/>
      <w:r>
        <w:rPr>
          <w:rFonts w:hint="eastAsia" w:ascii="黑体" w:hAnsi="黑体" w:eastAsia="黑体" w:cs="黑体"/>
          <w:color w:val="000000" w:themeColor="text1"/>
        </w:rPr>
        <w:t>及规范性文件</w:t>
      </w:r>
      <w:bookmarkEnd w:id="4705"/>
      <w:bookmarkEnd w:id="4706"/>
      <w:bookmarkEnd w:id="4707"/>
      <w:bookmarkEnd w:id="4710"/>
      <w:bookmarkEnd w:id="4711"/>
      <w:bookmarkEnd w:id="4712"/>
      <w:bookmarkEnd w:id="4713"/>
      <w:bookmarkEnd w:id="4714"/>
      <w:bookmarkEnd w:id="4715"/>
      <w:bookmarkEnd w:id="4716"/>
      <w:bookmarkEnd w:id="4717"/>
      <w:bookmarkEnd w:id="4718"/>
      <w:bookmarkEnd w:id="4719"/>
      <w:bookmarkEnd w:id="4720"/>
      <w:bookmarkEnd w:id="4721"/>
      <w:bookmarkEnd w:id="4722"/>
      <w:bookmarkEnd w:id="4723"/>
      <w:bookmarkEnd w:id="4724"/>
      <w:bookmarkEnd w:id="4725"/>
      <w:bookmarkEnd w:id="4726"/>
      <w:bookmarkEnd w:id="4727"/>
      <w:bookmarkEnd w:id="4728"/>
      <w:bookmarkEnd w:id="4729"/>
      <w:bookmarkEnd w:id="4730"/>
      <w:bookmarkEnd w:id="4731"/>
      <w:bookmarkEnd w:id="4732"/>
      <w:bookmarkEnd w:id="4733"/>
      <w:bookmarkEnd w:id="4734"/>
      <w:bookmarkEnd w:id="4735"/>
      <w:bookmarkEnd w:id="4736"/>
      <w:bookmarkEnd w:id="4737"/>
      <w:bookmarkEnd w:id="4738"/>
      <w:bookmarkEnd w:id="4739"/>
      <w:bookmarkEnd w:id="4740"/>
      <w:bookmarkEnd w:id="4741"/>
      <w:bookmarkEnd w:id="4742"/>
      <w:bookmarkEnd w:id="4743"/>
      <w:bookmarkEnd w:id="4744"/>
    </w:p>
    <w:p>
      <w:pPr>
        <w:tabs>
          <w:tab w:val="left" w:pos="0"/>
        </w:tabs>
        <w:ind w:firstLine="560"/>
        <w:rPr>
          <w:rFonts w:ascii="宋体" w:hAnsi="宋体" w:cs="宋体"/>
          <w:color w:val="000000" w:themeColor="text1"/>
        </w:rPr>
      </w:pPr>
      <w:bookmarkStart w:id="4745" w:name="_Toc295810568"/>
      <w:r>
        <w:rPr>
          <w:rFonts w:hint="eastAsia" w:ascii="宋体" w:hAnsi="宋体" w:cs="宋体"/>
        </w:rPr>
        <w:t>（1）</w:t>
      </w:r>
      <w:r>
        <w:rPr>
          <w:rFonts w:hint="eastAsia" w:ascii="宋体" w:hAnsi="宋体" w:cs="宋体"/>
          <w:color w:val="000000" w:themeColor="text1"/>
        </w:rPr>
        <w:t>《危险化学品生产企业安全生产许可证实施办法》（国家安全生产监督管理总局令第41号，第79号第一次修正，第89号第二次修正）；</w:t>
      </w:r>
    </w:p>
    <w:p>
      <w:pPr>
        <w:tabs>
          <w:tab w:val="left" w:pos="0"/>
        </w:tabs>
        <w:ind w:firstLine="560"/>
        <w:rPr>
          <w:rFonts w:ascii="宋体" w:hAnsi="宋体" w:cs="宋体"/>
          <w:color w:val="000000" w:themeColor="text1"/>
        </w:rPr>
      </w:pPr>
      <w:r>
        <w:rPr>
          <w:rFonts w:hint="eastAsia" w:ascii="宋体" w:hAnsi="宋体" w:cs="宋体"/>
        </w:rPr>
        <w:t>（2）</w:t>
      </w:r>
      <w:r>
        <w:rPr>
          <w:rFonts w:hint="eastAsia" w:ascii="宋体" w:hAnsi="宋体" w:cs="宋体"/>
          <w:color w:val="000000" w:themeColor="text1"/>
        </w:rPr>
        <w:t>《生产经营单位安全培训规定》（国家安全生产监督管理总局令第3号，2006年3月1日施行。国家安全生产监督管理总局令第63号和第80号令修改）；</w:t>
      </w:r>
    </w:p>
    <w:p>
      <w:pPr>
        <w:tabs>
          <w:tab w:val="left" w:pos="0"/>
        </w:tabs>
        <w:ind w:firstLine="560"/>
        <w:rPr>
          <w:rFonts w:ascii="宋体" w:hAnsi="宋体" w:cs="宋体"/>
          <w:color w:val="000000" w:themeColor="text1"/>
        </w:rPr>
      </w:pPr>
      <w:r>
        <w:rPr>
          <w:rFonts w:hint="eastAsia" w:ascii="宋体" w:hAnsi="宋体" w:cs="宋体"/>
        </w:rPr>
        <w:t>（3）</w:t>
      </w:r>
      <w:r>
        <w:rPr>
          <w:rFonts w:hint="eastAsia" w:ascii="宋体" w:hAnsi="宋体" w:cs="宋体"/>
          <w:color w:val="000000" w:themeColor="text1"/>
        </w:rPr>
        <w:t>《生产安全事故应急预案管理办法》（国家安全生产监督管理总局令第88号，根据2019年7月11日《应急管理部关于修改&lt;生产安全事故应急预案管理办法&gt;的决定》修正，2019年9月1日施行）；</w:t>
      </w:r>
    </w:p>
    <w:p>
      <w:pPr>
        <w:tabs>
          <w:tab w:val="left" w:pos="0"/>
        </w:tabs>
        <w:ind w:firstLine="560"/>
        <w:rPr>
          <w:rFonts w:ascii="宋体" w:hAnsi="宋体" w:cs="宋体"/>
          <w:color w:val="000000" w:themeColor="text1"/>
        </w:rPr>
      </w:pPr>
      <w:r>
        <w:rPr>
          <w:rFonts w:hint="eastAsia" w:ascii="宋体" w:hAnsi="宋体" w:cs="宋体"/>
        </w:rPr>
        <w:t>（4）</w:t>
      </w:r>
      <w:r>
        <w:rPr>
          <w:rFonts w:hint="eastAsia" w:ascii="宋体" w:hAnsi="宋体" w:cs="宋体"/>
          <w:color w:val="000000" w:themeColor="text1"/>
        </w:rPr>
        <w:t>《特种作业人员安全技术培训考核管理规定》（国家安全生产监督管理总局令第30号，2010年7月1日施行，国家安全生产监督管理总局令第80号修改）；</w:t>
      </w:r>
    </w:p>
    <w:p>
      <w:pPr>
        <w:tabs>
          <w:tab w:val="left" w:pos="0"/>
        </w:tabs>
        <w:ind w:firstLine="560"/>
        <w:rPr>
          <w:rFonts w:ascii="宋体" w:hAnsi="宋体" w:cs="宋体"/>
          <w:color w:val="000000" w:themeColor="text1"/>
        </w:rPr>
      </w:pPr>
      <w:r>
        <w:rPr>
          <w:rFonts w:hint="eastAsia" w:ascii="宋体" w:hAnsi="宋体" w:cs="宋体"/>
        </w:rPr>
        <w:t>（5）</w:t>
      </w:r>
      <w:r>
        <w:rPr>
          <w:rFonts w:hint="eastAsia" w:ascii="宋体" w:hAnsi="宋体" w:cs="宋体"/>
          <w:color w:val="000000" w:themeColor="text1"/>
        </w:rPr>
        <w:t>《危险化学品重大危险源监督管理暂行规定》（国家安全生产监督管理总局令第40号，2011年12月1日施行，国家安全生产监督管理总局令第79号修改）；</w:t>
      </w:r>
    </w:p>
    <w:p>
      <w:pPr>
        <w:tabs>
          <w:tab w:val="left" w:pos="0"/>
        </w:tabs>
        <w:ind w:firstLine="560"/>
        <w:rPr>
          <w:rFonts w:ascii="宋体" w:hAnsi="宋体" w:cs="宋体"/>
          <w:color w:val="000000" w:themeColor="text1"/>
        </w:rPr>
      </w:pPr>
      <w:r>
        <w:rPr>
          <w:rFonts w:hint="eastAsia" w:ascii="宋体" w:hAnsi="宋体" w:cs="宋体"/>
        </w:rPr>
        <w:t>（6）</w:t>
      </w:r>
      <w:r>
        <w:rPr>
          <w:rFonts w:hint="eastAsia" w:ascii="宋体" w:hAnsi="宋体" w:cs="宋体"/>
          <w:color w:val="000000" w:themeColor="text1"/>
        </w:rPr>
        <w:t>《安全生产培训管理办法》（国家安全生产监督管理总局令第44号，2012年3月1日施行，国家安全生产监督管理总局令第63号和第80号令修改）；</w:t>
      </w:r>
    </w:p>
    <w:p>
      <w:pPr>
        <w:tabs>
          <w:tab w:val="left" w:pos="0"/>
        </w:tabs>
        <w:ind w:firstLine="560"/>
        <w:rPr>
          <w:rFonts w:ascii="宋体" w:hAnsi="宋体" w:cs="宋体"/>
          <w:color w:val="000000" w:themeColor="text1"/>
        </w:rPr>
      </w:pPr>
      <w:r>
        <w:rPr>
          <w:rFonts w:hint="eastAsia" w:ascii="宋体" w:hAnsi="宋体" w:cs="宋体"/>
        </w:rPr>
        <w:t>（7）</w:t>
      </w:r>
      <w:r>
        <w:rPr>
          <w:rFonts w:hint="eastAsia" w:ascii="宋体" w:hAnsi="宋体" w:cs="宋体"/>
          <w:color w:val="000000" w:themeColor="text1"/>
        </w:rPr>
        <w:t>《危险化学品目录》（2022调整版）（应急管理部等10部门公告2022年第8号）；</w:t>
      </w:r>
    </w:p>
    <w:p>
      <w:pPr>
        <w:tabs>
          <w:tab w:val="left" w:pos="0"/>
        </w:tabs>
        <w:ind w:firstLine="560"/>
        <w:rPr>
          <w:rFonts w:ascii="宋体" w:hAnsi="宋体" w:cs="宋体"/>
          <w:color w:val="000000" w:themeColor="text1"/>
        </w:rPr>
      </w:pPr>
      <w:r>
        <w:rPr>
          <w:rFonts w:hint="eastAsia" w:ascii="宋体" w:hAnsi="宋体" w:cs="宋体"/>
        </w:rPr>
        <w:t>（8）</w:t>
      </w:r>
      <w:r>
        <w:rPr>
          <w:rFonts w:hint="eastAsia" w:ascii="宋体" w:hAnsi="宋体" w:cs="宋体"/>
          <w:color w:val="000000" w:themeColor="text1"/>
        </w:rPr>
        <w:t>《国家安全监管总局关于公布首批重点监管的危险化学品名录的通知》（安监总管三[2011]95号，2011年6月21日）；</w:t>
      </w:r>
    </w:p>
    <w:p>
      <w:pPr>
        <w:tabs>
          <w:tab w:val="left" w:pos="0"/>
        </w:tabs>
        <w:ind w:firstLine="560"/>
        <w:rPr>
          <w:rFonts w:ascii="宋体" w:hAnsi="宋体" w:cs="宋体"/>
          <w:color w:val="000000" w:themeColor="text1"/>
        </w:rPr>
      </w:pPr>
      <w:r>
        <w:rPr>
          <w:rFonts w:hint="eastAsia" w:ascii="宋体" w:hAnsi="宋体" w:cs="宋体"/>
        </w:rPr>
        <w:t>（9）</w:t>
      </w:r>
      <w:r>
        <w:rPr>
          <w:rFonts w:hint="eastAsia" w:ascii="宋体" w:hAnsi="宋体" w:cs="宋体"/>
          <w:color w:val="000000" w:themeColor="text1"/>
        </w:rPr>
        <w:t>《国家安全监管总局办公厅关于印发首批重点监管的危险化学品安全措施和应急处置原则的通知》（安监总厅管三[2011]142号，2011年7月1日）；</w:t>
      </w:r>
    </w:p>
    <w:p>
      <w:pPr>
        <w:tabs>
          <w:tab w:val="left" w:pos="0"/>
        </w:tabs>
        <w:ind w:firstLine="560"/>
        <w:rPr>
          <w:rFonts w:ascii="宋体" w:hAnsi="宋体" w:cs="宋体"/>
          <w:color w:val="000000" w:themeColor="text1"/>
        </w:rPr>
      </w:pPr>
      <w:r>
        <w:rPr>
          <w:rFonts w:hint="eastAsia" w:ascii="宋体" w:hAnsi="宋体" w:cs="宋体"/>
        </w:rPr>
        <w:t>（10）</w:t>
      </w:r>
      <w:r>
        <w:rPr>
          <w:rFonts w:hint="eastAsia" w:ascii="宋体" w:hAnsi="宋体" w:cs="宋体"/>
          <w:color w:val="000000" w:themeColor="text1"/>
        </w:rPr>
        <w:t>《国家安全监管总局关于公布第二批重点监管危险化学品名录的通知》（安监总管三[2013]12号）；</w:t>
      </w:r>
    </w:p>
    <w:p>
      <w:pPr>
        <w:tabs>
          <w:tab w:val="left" w:pos="0"/>
        </w:tabs>
        <w:ind w:firstLine="560"/>
        <w:rPr>
          <w:rFonts w:ascii="宋体" w:hAnsi="宋体" w:cs="宋体"/>
          <w:color w:val="000000" w:themeColor="text1"/>
        </w:rPr>
      </w:pPr>
      <w:r>
        <w:rPr>
          <w:rFonts w:hint="eastAsia" w:ascii="宋体" w:hAnsi="宋体" w:cs="宋体"/>
        </w:rPr>
        <w:t>（11）</w:t>
      </w:r>
      <w:r>
        <w:rPr>
          <w:rFonts w:hint="eastAsia" w:ascii="宋体" w:hAnsi="宋体" w:cs="宋体"/>
          <w:color w:val="000000" w:themeColor="text1"/>
        </w:rPr>
        <w:t>《易制爆危险化学品名录》（2017年版）（中华人民共和国公安部，2017年05月11日实施）；</w:t>
      </w:r>
    </w:p>
    <w:p>
      <w:pPr>
        <w:tabs>
          <w:tab w:val="left" w:pos="0"/>
        </w:tabs>
        <w:ind w:firstLine="560"/>
        <w:rPr>
          <w:rFonts w:ascii="宋体" w:hAnsi="宋体" w:cs="宋体"/>
          <w:color w:val="000000" w:themeColor="text1"/>
        </w:rPr>
      </w:pPr>
      <w:r>
        <w:rPr>
          <w:rFonts w:hint="eastAsia" w:ascii="宋体" w:hAnsi="宋体" w:cs="宋体"/>
        </w:rPr>
        <w:t>（12）</w:t>
      </w:r>
      <w:r>
        <w:rPr>
          <w:rFonts w:hint="eastAsia" w:ascii="宋体" w:hAnsi="宋体" w:cs="宋体"/>
          <w:color w:val="000000" w:themeColor="text1"/>
        </w:rPr>
        <w:t>《化工和危险化学品生产经营单位重大生产安全事故隐患判定标准（试行）》（安监总管三[2017]121号）；</w:t>
      </w:r>
    </w:p>
    <w:p>
      <w:pPr>
        <w:tabs>
          <w:tab w:val="left" w:pos="0"/>
        </w:tabs>
        <w:ind w:firstLine="560"/>
        <w:rPr>
          <w:rFonts w:ascii="宋体" w:hAnsi="宋体" w:cs="宋体"/>
          <w:color w:val="000000" w:themeColor="text1"/>
        </w:rPr>
      </w:pPr>
      <w:r>
        <w:rPr>
          <w:rFonts w:hint="eastAsia" w:ascii="宋体" w:hAnsi="宋体" w:cs="宋体"/>
        </w:rPr>
        <w:t>（13）</w:t>
      </w:r>
      <w:r>
        <w:rPr>
          <w:rFonts w:hint="eastAsia" w:ascii="宋体" w:hAnsi="宋体" w:cs="宋体"/>
          <w:color w:val="000000" w:themeColor="text1"/>
        </w:rPr>
        <w:t>《关于印发&lt;企业安全生产费用提取和使用管理办法&gt;的通知》（财资[2022]136号，2022年11月21日）；</w:t>
      </w:r>
    </w:p>
    <w:p>
      <w:pPr>
        <w:tabs>
          <w:tab w:val="left" w:pos="0"/>
        </w:tabs>
        <w:ind w:firstLine="560"/>
        <w:rPr>
          <w:rFonts w:ascii="宋体" w:hAnsi="宋体" w:cs="宋体"/>
          <w:color w:val="000000" w:themeColor="text1"/>
        </w:rPr>
      </w:pPr>
      <w:r>
        <w:rPr>
          <w:rFonts w:hint="eastAsia" w:ascii="宋体" w:hAnsi="宋体" w:cs="宋体"/>
        </w:rPr>
        <w:t>（14）</w:t>
      </w:r>
      <w:r>
        <w:rPr>
          <w:rFonts w:hint="eastAsia" w:ascii="宋体" w:hAnsi="宋体" w:cs="宋体"/>
          <w:color w:val="000000" w:themeColor="text1"/>
        </w:rPr>
        <w:t>《国家安全监管总局办公厅关于印发用人单位劳动防护用品管理规范的通知》（安监总厅安健[2018]3号）；</w:t>
      </w:r>
    </w:p>
    <w:p>
      <w:pPr>
        <w:tabs>
          <w:tab w:val="left" w:pos="0"/>
        </w:tabs>
        <w:ind w:firstLine="560"/>
        <w:rPr>
          <w:rFonts w:ascii="宋体" w:hAnsi="宋体" w:cs="宋体"/>
          <w:color w:val="000000" w:themeColor="text1"/>
        </w:rPr>
      </w:pPr>
      <w:r>
        <w:rPr>
          <w:rFonts w:hint="eastAsia" w:ascii="宋体" w:hAnsi="宋体" w:cs="宋体"/>
        </w:rPr>
        <w:t>（15）</w:t>
      </w:r>
      <w:r>
        <w:rPr>
          <w:rFonts w:hint="eastAsia" w:ascii="宋体" w:hAnsi="宋体" w:cs="宋体"/>
          <w:color w:val="000000" w:themeColor="text1"/>
        </w:rPr>
        <w:t>《特别管控危险化学品目录》（2020年5月30日，应急管理部、工业和信息化部、公安部、交通运输部第3号公告）；</w:t>
      </w:r>
    </w:p>
    <w:p>
      <w:pPr>
        <w:tabs>
          <w:tab w:val="left" w:pos="0"/>
        </w:tabs>
        <w:ind w:firstLine="560"/>
        <w:rPr>
          <w:rFonts w:ascii="宋体" w:hAnsi="宋体" w:cs="宋体"/>
          <w:color w:val="000000" w:themeColor="text1"/>
        </w:rPr>
      </w:pPr>
      <w:r>
        <w:rPr>
          <w:rFonts w:hint="eastAsia" w:ascii="宋体" w:hAnsi="宋体" w:cs="宋体"/>
        </w:rPr>
        <w:t>（16）</w:t>
      </w:r>
      <w:r>
        <w:rPr>
          <w:rFonts w:hint="eastAsia" w:ascii="宋体" w:hAnsi="宋体" w:cs="宋体"/>
          <w:color w:val="000000" w:themeColor="text1"/>
        </w:rPr>
        <w:t>《特种设备安全监督检查办法》（国家市场监督管理总局令第57号，</w:t>
      </w:r>
      <w:r>
        <w:rPr>
          <w:rFonts w:hint="eastAsia" w:ascii="宋体" w:hAnsi="宋体" w:cs="宋体"/>
          <w:color w:val="000000" w:themeColor="text1"/>
          <w:shd w:val="clear" w:color="auto" w:fill="FFFFFF"/>
        </w:rPr>
        <w:t>2022年5月10日市场监管总局第8次局务会议通过，2022年5月26日公布，自2022年7月1日起施行。</w:t>
      </w:r>
      <w:r>
        <w:rPr>
          <w:rFonts w:hint="eastAsia" w:ascii="宋体" w:hAnsi="宋体" w:cs="宋体"/>
          <w:color w:val="000000" w:themeColor="text1"/>
        </w:rPr>
        <w:t>）；</w:t>
      </w:r>
    </w:p>
    <w:p>
      <w:pPr>
        <w:tabs>
          <w:tab w:val="left" w:pos="0"/>
        </w:tabs>
        <w:ind w:firstLine="560"/>
        <w:rPr>
          <w:rFonts w:ascii="宋体" w:hAnsi="宋体" w:cs="宋体"/>
          <w:color w:val="000000" w:themeColor="text1"/>
        </w:rPr>
      </w:pPr>
      <w:r>
        <w:rPr>
          <w:rFonts w:hint="eastAsia" w:ascii="宋体" w:hAnsi="宋体" w:cs="宋体"/>
        </w:rPr>
        <w:t>（17）</w:t>
      </w:r>
      <w:r>
        <w:rPr>
          <w:rFonts w:hint="eastAsia" w:ascii="宋体" w:hAnsi="宋体" w:cs="宋体"/>
          <w:color w:val="000000" w:themeColor="text1"/>
        </w:rPr>
        <w:t>《危险化学品安全管理条例》（(2002年1月26日中华人民共和国国务院令第344号公布2011年2月16日国务院第144次常务会议修订通过根据2013年12月7日《国务院关于修改部分行政法规的决定》修订）；</w:t>
      </w:r>
    </w:p>
    <w:p>
      <w:pPr>
        <w:tabs>
          <w:tab w:val="left" w:pos="0"/>
        </w:tabs>
        <w:ind w:firstLine="560"/>
        <w:rPr>
          <w:rFonts w:ascii="宋体" w:hAnsi="宋体" w:cs="宋体"/>
          <w:color w:val="000000" w:themeColor="text1"/>
        </w:rPr>
      </w:pPr>
      <w:r>
        <w:rPr>
          <w:rFonts w:hint="eastAsia" w:ascii="宋体" w:hAnsi="宋体" w:cs="宋体"/>
        </w:rPr>
        <w:t>（18）</w:t>
      </w:r>
      <w:r>
        <w:rPr>
          <w:rFonts w:hint="eastAsia" w:ascii="宋体" w:hAnsi="宋体" w:cs="宋体"/>
          <w:szCs w:val="28"/>
        </w:rPr>
        <w:t>《特种作业人员安全技术培训考核管理规定》（2010年5月24日原国家安全监管总局令第30号公布，根据2013年8月29日原国家安全监管总局令第63号第一次修正，根据2015年5月29 日原国家安全监管总局令第80号第二次修正）</w:t>
      </w:r>
      <w:r>
        <w:rPr>
          <w:rFonts w:hint="eastAsia" w:ascii="宋体" w:hAnsi="宋体" w:cs="宋体"/>
          <w:color w:val="000000" w:themeColor="text1"/>
        </w:rPr>
        <w:t>；</w:t>
      </w:r>
    </w:p>
    <w:p>
      <w:pPr>
        <w:tabs>
          <w:tab w:val="left" w:pos="0"/>
        </w:tabs>
        <w:ind w:firstLine="560"/>
        <w:rPr>
          <w:rFonts w:ascii="宋体" w:hAnsi="宋体" w:cs="宋体"/>
          <w:color w:val="000000" w:themeColor="text1"/>
        </w:rPr>
      </w:pPr>
      <w:r>
        <w:rPr>
          <w:rFonts w:hint="eastAsia" w:ascii="宋体" w:hAnsi="宋体" w:cs="宋体"/>
        </w:rPr>
        <w:t>（19）</w:t>
      </w:r>
      <w:r>
        <w:rPr>
          <w:rFonts w:hint="eastAsia" w:ascii="宋体" w:hAnsi="宋体" w:cs="宋体"/>
          <w:color w:val="000000" w:themeColor="text1"/>
        </w:rPr>
        <w:t>《危险化学品登记管理办法》（2012年7月1日国家安全生产监督管理总局令第53号公布，自2012年8月1日起施行）；</w:t>
      </w:r>
    </w:p>
    <w:p>
      <w:pPr>
        <w:tabs>
          <w:tab w:val="left" w:pos="0"/>
        </w:tabs>
        <w:ind w:firstLine="560"/>
        <w:rPr>
          <w:rFonts w:ascii="宋体" w:hAnsi="宋体" w:cs="宋体"/>
          <w:color w:val="000000" w:themeColor="text1"/>
        </w:rPr>
      </w:pPr>
      <w:r>
        <w:rPr>
          <w:rFonts w:hint="eastAsia" w:ascii="宋体" w:hAnsi="宋体" w:cs="宋体"/>
        </w:rPr>
        <w:t>（20）</w:t>
      </w:r>
      <w:r>
        <w:rPr>
          <w:rFonts w:hint="eastAsia" w:ascii="宋体" w:hAnsi="宋体" w:cs="宋体"/>
          <w:color w:val="000000" w:themeColor="text1"/>
        </w:rPr>
        <w:t>《国家安全监管总局关于公布首批重点监管的危险化工工艺目录的通知》（安监总管三[2009]116号）；</w:t>
      </w:r>
    </w:p>
    <w:p>
      <w:pPr>
        <w:tabs>
          <w:tab w:val="left" w:pos="0"/>
        </w:tabs>
        <w:ind w:firstLine="560"/>
        <w:rPr>
          <w:rFonts w:ascii="宋体" w:hAnsi="宋体" w:cs="宋体"/>
          <w:color w:val="000000" w:themeColor="text1"/>
        </w:rPr>
      </w:pPr>
      <w:r>
        <w:rPr>
          <w:rFonts w:hint="eastAsia" w:ascii="宋体" w:hAnsi="宋体" w:cs="宋体"/>
        </w:rPr>
        <w:t>（21）</w:t>
      </w:r>
      <w:r>
        <w:rPr>
          <w:rFonts w:hint="eastAsia" w:ascii="宋体" w:hAnsi="宋体" w:cs="宋体"/>
          <w:color w:val="000000" w:themeColor="text1"/>
        </w:rPr>
        <w:t>《国家安全监管总局关于公布第二批重点监管危险化工工艺目录和调整首批重点监管危险化工工艺中部分典型工艺的通知》（安监总管三〔2013〕3号）；</w:t>
      </w:r>
    </w:p>
    <w:p>
      <w:pPr>
        <w:tabs>
          <w:tab w:val="left" w:pos="0"/>
        </w:tabs>
        <w:ind w:firstLine="560"/>
        <w:rPr>
          <w:rFonts w:ascii="宋体" w:hAnsi="宋体" w:cs="宋体"/>
          <w:color w:val="000000" w:themeColor="text1"/>
        </w:rPr>
      </w:pPr>
      <w:r>
        <w:rPr>
          <w:rFonts w:hint="eastAsia" w:ascii="宋体" w:hAnsi="宋体" w:cs="宋体"/>
        </w:rPr>
        <w:t>（22）</w:t>
      </w:r>
      <w:r>
        <w:rPr>
          <w:rFonts w:hint="eastAsia" w:ascii="宋体" w:hAnsi="宋体" w:cs="宋体"/>
          <w:color w:val="000000" w:themeColor="text1"/>
        </w:rPr>
        <w:t>《淘汰落后危险化学品安全生产工艺技术设备目录（第一批）》（应急厅〔2020〕38号，2020年10月23日公布）；</w:t>
      </w:r>
    </w:p>
    <w:p>
      <w:pPr>
        <w:tabs>
          <w:tab w:val="left" w:pos="0"/>
        </w:tabs>
        <w:ind w:firstLine="560"/>
        <w:rPr>
          <w:rFonts w:ascii="宋体" w:hAnsi="宋体" w:cs="宋体"/>
          <w:color w:val="auto"/>
        </w:rPr>
      </w:pPr>
      <w:r>
        <w:rPr>
          <w:rFonts w:hint="eastAsia" w:ascii="宋体" w:hAnsi="宋体" w:cs="宋体"/>
          <w:color w:val="auto"/>
        </w:rPr>
        <w:t>（23）《淘汰落后危险化学品安全生产工艺技术设备目录（第二批）》（应急厅〔2024〕86号）；</w:t>
      </w:r>
    </w:p>
    <w:p>
      <w:pPr>
        <w:tabs>
          <w:tab w:val="left" w:pos="0"/>
        </w:tabs>
        <w:ind w:firstLine="560"/>
        <w:rPr>
          <w:rFonts w:ascii="宋体" w:hAnsi="宋体" w:cs="宋体"/>
          <w:color w:val="000000" w:themeColor="text1"/>
        </w:rPr>
      </w:pPr>
      <w:r>
        <w:rPr>
          <w:rFonts w:hint="eastAsia" w:ascii="宋体" w:hAnsi="宋体" w:cs="宋体"/>
        </w:rPr>
        <w:t>（24）</w:t>
      </w:r>
      <w:r>
        <w:rPr>
          <w:rFonts w:hint="eastAsia" w:ascii="宋体" w:hAnsi="宋体" w:cs="宋体"/>
          <w:color w:val="000000" w:themeColor="text1"/>
        </w:rPr>
        <w:t>《特种设备作业人员监督管理办法》（2005年1月10日国家质量监督检验检疫总局令第70号公布，根据2011年5月3日国家质监总局令第140号《国家质量监督检验检疫总局关于修改＜特种设备作业人员监督管理办法＞的决定》修订）；</w:t>
      </w:r>
    </w:p>
    <w:p>
      <w:pPr>
        <w:tabs>
          <w:tab w:val="left" w:pos="0"/>
        </w:tabs>
        <w:ind w:firstLine="560"/>
        <w:rPr>
          <w:rFonts w:ascii="宋体" w:hAnsi="宋体" w:cs="宋体"/>
          <w:color w:val="000000" w:themeColor="text1"/>
        </w:rPr>
      </w:pPr>
      <w:r>
        <w:rPr>
          <w:rFonts w:hint="eastAsia" w:ascii="宋体" w:hAnsi="宋体" w:cs="宋体"/>
        </w:rPr>
        <w:t>（25）</w:t>
      </w:r>
      <w:r>
        <w:rPr>
          <w:rFonts w:hint="eastAsia" w:ascii="宋体" w:hAnsi="宋体" w:cs="宋体"/>
          <w:color w:val="000000" w:themeColor="text1"/>
        </w:rPr>
        <w:t>《特种设备目录》（质检总局关于修订《特种设备目录》的公告[2014]第114号，2014年10月30日施行)；</w:t>
      </w:r>
    </w:p>
    <w:p>
      <w:pPr>
        <w:tabs>
          <w:tab w:val="left" w:pos="0"/>
        </w:tabs>
        <w:ind w:firstLine="560"/>
        <w:rPr>
          <w:rFonts w:ascii="宋体" w:hAnsi="宋体" w:cs="宋体"/>
          <w:color w:val="000000" w:themeColor="text1"/>
        </w:rPr>
      </w:pPr>
      <w:r>
        <w:rPr>
          <w:rFonts w:hint="eastAsia" w:ascii="宋体" w:hAnsi="宋体" w:cs="宋体"/>
        </w:rPr>
        <w:t>（26）</w:t>
      </w:r>
      <w:r>
        <w:rPr>
          <w:rFonts w:hint="eastAsia" w:ascii="宋体" w:hAnsi="宋体" w:cs="宋体"/>
          <w:color w:val="000000" w:themeColor="text1"/>
        </w:rPr>
        <w:t>《产业结构调整指导目录（2024年本）》；</w:t>
      </w:r>
    </w:p>
    <w:p>
      <w:pPr>
        <w:tabs>
          <w:tab w:val="left" w:pos="0"/>
        </w:tabs>
        <w:ind w:firstLine="560"/>
        <w:rPr>
          <w:rFonts w:ascii="宋体" w:hAnsi="宋体" w:cs="宋体"/>
          <w:color w:val="000000" w:themeColor="text1"/>
        </w:rPr>
      </w:pPr>
      <w:r>
        <w:rPr>
          <w:rFonts w:hint="eastAsia" w:ascii="宋体" w:hAnsi="宋体" w:cs="宋体"/>
        </w:rPr>
        <w:t>（27）</w:t>
      </w:r>
      <w:r>
        <w:rPr>
          <w:rFonts w:hint="eastAsia" w:ascii="宋体" w:hAnsi="宋体" w:cs="宋体"/>
          <w:color w:val="000000" w:themeColor="text1"/>
        </w:rPr>
        <w:t>《安全生产责任保险实施办法》（安监总办〔2017〕140号，2018年1月1日起施行）；</w:t>
      </w:r>
    </w:p>
    <w:p>
      <w:pPr>
        <w:tabs>
          <w:tab w:val="left" w:pos="0"/>
        </w:tabs>
        <w:ind w:firstLine="560"/>
        <w:rPr>
          <w:rFonts w:ascii="宋体" w:hAnsi="宋体" w:cs="宋体"/>
          <w:color w:val="000000" w:themeColor="text1"/>
        </w:rPr>
      </w:pPr>
      <w:r>
        <w:rPr>
          <w:rFonts w:hint="eastAsia" w:ascii="宋体" w:hAnsi="宋体" w:cs="宋体"/>
        </w:rPr>
        <w:t>（28）</w:t>
      </w:r>
      <w:r>
        <w:rPr>
          <w:rFonts w:hint="eastAsia" w:ascii="宋体" w:hAnsi="宋体" w:cs="宋体"/>
          <w:color w:val="000000" w:themeColor="text1"/>
        </w:rPr>
        <w:t>《危险化学品企业安全风险隐患排查治理导则》（应急[2019]78号）；</w:t>
      </w:r>
    </w:p>
    <w:p>
      <w:pPr>
        <w:tabs>
          <w:tab w:val="left" w:pos="0"/>
        </w:tabs>
        <w:ind w:firstLine="560"/>
        <w:rPr>
          <w:rFonts w:ascii="宋体" w:hAnsi="宋体" w:cs="宋体"/>
          <w:color w:val="000000" w:themeColor="text1"/>
        </w:rPr>
      </w:pPr>
      <w:r>
        <w:rPr>
          <w:rFonts w:hint="eastAsia" w:ascii="宋体" w:hAnsi="宋体" w:cs="宋体"/>
        </w:rPr>
        <w:t>（29）</w:t>
      </w:r>
      <w:r>
        <w:rPr>
          <w:rFonts w:hint="eastAsia" w:ascii="宋体" w:hAnsi="宋体" w:cs="宋体"/>
          <w:color w:val="000000" w:themeColor="text1"/>
        </w:rPr>
        <w:t>《全国安全生产专项整治三年行动计划》（国务院安全生产委员会安委【2020】3号，2020年4月1日公布）；</w:t>
      </w:r>
    </w:p>
    <w:p>
      <w:pPr>
        <w:tabs>
          <w:tab w:val="left" w:pos="0"/>
        </w:tabs>
        <w:ind w:firstLine="560"/>
        <w:rPr>
          <w:rFonts w:ascii="宋体" w:hAnsi="宋体" w:cs="宋体"/>
          <w:color w:val="000000" w:themeColor="text1"/>
        </w:rPr>
      </w:pPr>
      <w:r>
        <w:rPr>
          <w:rFonts w:hint="eastAsia" w:ascii="宋体" w:hAnsi="宋体" w:cs="宋体"/>
        </w:rPr>
        <w:t>（30）</w:t>
      </w:r>
      <w:r>
        <w:rPr>
          <w:rFonts w:hint="eastAsia" w:ascii="宋体" w:hAnsi="宋体" w:cs="宋体"/>
          <w:color w:val="000000" w:themeColor="text1"/>
        </w:rPr>
        <w:t>《危险化学品企业安全分类整治目录（2020年）》（应急〔2020〕84号，2020年10月31日公布）；</w:t>
      </w:r>
    </w:p>
    <w:p>
      <w:pPr>
        <w:tabs>
          <w:tab w:val="left" w:pos="0"/>
        </w:tabs>
        <w:ind w:firstLine="560"/>
        <w:rPr>
          <w:rFonts w:ascii="宋体" w:hAnsi="宋体" w:cs="宋体"/>
        </w:rPr>
      </w:pPr>
      <w:r>
        <w:rPr>
          <w:rFonts w:hint="eastAsia" w:ascii="宋体" w:hAnsi="宋体" w:cs="宋体"/>
        </w:rPr>
        <w:t>（31）《使用有毒品作业场所劳动保护条例》</w:t>
      </w:r>
      <w:r>
        <w:rPr>
          <w:rFonts w:hint="eastAsia" w:ascii="宋体" w:hAnsi="宋体" w:cs="宋体"/>
          <w:szCs w:val="28"/>
        </w:rPr>
        <w:t>（</w:t>
      </w:r>
      <w:r>
        <w:rPr>
          <w:rFonts w:hint="eastAsia" w:ascii="宋体" w:hAnsi="宋体" w:cs="宋体"/>
          <w:color w:val="333333"/>
          <w:szCs w:val="28"/>
          <w:shd w:val="clear" w:color="auto" w:fill="FFFFFF"/>
        </w:rPr>
        <w:t>国务院令第352号</w:t>
      </w:r>
      <w:r>
        <w:rPr>
          <w:rFonts w:hint="eastAsia" w:ascii="宋体" w:hAnsi="宋体" w:cs="宋体"/>
          <w:szCs w:val="28"/>
        </w:rPr>
        <w:t>）；</w:t>
      </w:r>
    </w:p>
    <w:p>
      <w:pPr>
        <w:tabs>
          <w:tab w:val="left" w:pos="0"/>
        </w:tabs>
        <w:ind w:firstLine="560"/>
        <w:rPr>
          <w:rFonts w:ascii="宋体" w:hAnsi="宋体" w:cs="宋体"/>
          <w:color w:val="000000" w:themeColor="text1"/>
        </w:rPr>
      </w:pPr>
      <w:r>
        <w:rPr>
          <w:rFonts w:hint="eastAsia" w:ascii="宋体" w:hAnsi="宋体" w:cs="宋体"/>
        </w:rPr>
        <w:t>（32）</w:t>
      </w:r>
      <w:r>
        <w:rPr>
          <w:rFonts w:hint="eastAsia" w:ascii="宋体" w:hAnsi="宋体" w:cs="宋体"/>
          <w:color w:val="000000" w:themeColor="text1"/>
        </w:rPr>
        <w:t>《受限空间作业安全指导手册》（应急厅函〔2020〕299号）；</w:t>
      </w:r>
    </w:p>
    <w:p>
      <w:pPr>
        <w:tabs>
          <w:tab w:val="left" w:pos="0"/>
        </w:tabs>
        <w:ind w:firstLine="560"/>
        <w:rPr>
          <w:rFonts w:ascii="宋体" w:hAnsi="宋体" w:cs="宋体"/>
          <w:color w:val="000000" w:themeColor="text1"/>
        </w:rPr>
      </w:pPr>
      <w:r>
        <w:rPr>
          <w:rFonts w:hint="eastAsia" w:ascii="宋体" w:hAnsi="宋体" w:cs="宋体"/>
        </w:rPr>
        <w:t>（33）</w:t>
      </w:r>
      <w:r>
        <w:rPr>
          <w:rFonts w:hint="eastAsia" w:ascii="宋体" w:hAnsi="宋体" w:cs="宋体"/>
          <w:color w:val="000000" w:themeColor="text1"/>
        </w:rPr>
        <w:t>《受限空间作业事故安全施救指南》（应救协调〔2021〕5号，2021年5月11日公布）；</w:t>
      </w:r>
    </w:p>
    <w:p>
      <w:pPr>
        <w:pStyle w:val="54"/>
        <w:spacing w:line="360" w:lineRule="auto"/>
        <w:ind w:firstLine="560" w:firstLineChars="200"/>
        <w:rPr>
          <w:rFonts w:hint="default" w:ascii="宋体" w:hAnsi="宋体" w:cs="宋体"/>
          <w:sz w:val="28"/>
          <w:szCs w:val="28"/>
        </w:rPr>
      </w:pPr>
      <w:r>
        <w:rPr>
          <w:rFonts w:ascii="宋体" w:hAnsi="宋体" w:cs="宋体"/>
          <w:color w:val="auto"/>
          <w:sz w:val="28"/>
          <w:szCs w:val="28"/>
        </w:rPr>
        <w:t>（34）《生产安全事故罚款处罚规定》（应急管理部令第14号，2024年3月1日起施行）；</w:t>
      </w:r>
    </w:p>
    <w:p>
      <w:pPr>
        <w:tabs>
          <w:tab w:val="left" w:pos="0"/>
        </w:tabs>
        <w:ind w:firstLine="560"/>
        <w:rPr>
          <w:rFonts w:ascii="宋体" w:hAnsi="宋体" w:cs="宋体"/>
        </w:rPr>
      </w:pPr>
      <w:r>
        <w:rPr>
          <w:rFonts w:hint="eastAsia" w:ascii="宋体" w:hAnsi="宋体" w:cs="宋体"/>
        </w:rPr>
        <w:t>（3</w:t>
      </w:r>
      <w:r>
        <w:rPr>
          <w:rFonts w:hint="eastAsia" w:ascii="宋体" w:hAnsi="宋体" w:cs="宋体"/>
          <w:lang w:val="en-US" w:eastAsia="zh-CN"/>
        </w:rPr>
        <w:t>5</w:t>
      </w:r>
      <w:r>
        <w:rPr>
          <w:rFonts w:hint="eastAsia" w:ascii="宋体" w:hAnsi="宋体" w:cs="宋体"/>
        </w:rPr>
        <w:t>）</w:t>
      </w:r>
      <w:r>
        <w:rPr>
          <w:rFonts w:hint="eastAsia" w:ascii="宋体" w:hAnsi="宋体" w:cs="宋体"/>
          <w:color w:val="000000" w:themeColor="text1"/>
        </w:rPr>
        <w:t>《国家安全监管总局关于加强化工安全仪表系统管理的指导意见》（安监总管三〔2014〕116号）</w:t>
      </w:r>
      <w:r>
        <w:rPr>
          <w:rFonts w:hint="eastAsia" w:ascii="宋体" w:hAnsi="宋体" w:cs="宋体"/>
          <w:szCs w:val="28"/>
        </w:rPr>
        <w:t>。</w:t>
      </w:r>
    </w:p>
    <w:p>
      <w:pPr>
        <w:pStyle w:val="3"/>
        <w:ind w:firstLine="562"/>
        <w:rPr>
          <w:rFonts w:ascii="黑体" w:hAnsi="黑体" w:eastAsia="黑体" w:cs="黑体"/>
          <w:color w:val="000000" w:themeColor="text1"/>
        </w:rPr>
      </w:pPr>
      <w:bookmarkStart w:id="4746" w:name="_Toc10482"/>
      <w:bookmarkStart w:id="4747" w:name="_Toc8329"/>
      <w:bookmarkStart w:id="4748" w:name="_Toc31316"/>
      <w:bookmarkStart w:id="4749" w:name="_Toc9482"/>
      <w:bookmarkStart w:id="4750" w:name="_Toc20991"/>
      <w:bookmarkStart w:id="4751" w:name="_Toc26437"/>
      <w:bookmarkStart w:id="4752" w:name="_Toc25405"/>
      <w:bookmarkStart w:id="4753" w:name="_Toc24216"/>
      <w:bookmarkStart w:id="4754" w:name="_Toc19432"/>
      <w:bookmarkStart w:id="4755" w:name="_Toc26256"/>
      <w:bookmarkStart w:id="4756" w:name="_Toc11593"/>
      <w:bookmarkStart w:id="4757" w:name="_Toc13611"/>
      <w:bookmarkStart w:id="4758" w:name="_Toc78"/>
      <w:bookmarkStart w:id="4759" w:name="_Toc19652"/>
      <w:bookmarkStart w:id="4760" w:name="_Toc22470"/>
      <w:bookmarkStart w:id="4761" w:name="_Toc9045"/>
      <w:bookmarkStart w:id="4762" w:name="_Toc31185"/>
      <w:bookmarkStart w:id="4763" w:name="_Toc31903"/>
      <w:bookmarkStart w:id="4764" w:name="_Toc13867"/>
      <w:bookmarkStart w:id="4765" w:name="_Toc22261"/>
      <w:bookmarkStart w:id="4766" w:name="_Toc11354"/>
      <w:bookmarkStart w:id="4767" w:name="_Toc22649"/>
      <w:bookmarkStart w:id="4768" w:name="_Toc11994"/>
      <w:bookmarkStart w:id="4769" w:name="_Toc17413"/>
      <w:bookmarkStart w:id="4770" w:name="_Toc16579"/>
      <w:bookmarkStart w:id="4771" w:name="_Toc6118"/>
      <w:bookmarkStart w:id="4772" w:name="_Toc31856"/>
      <w:bookmarkStart w:id="4773" w:name="_Toc30775"/>
      <w:bookmarkStart w:id="4774" w:name="_Toc17340"/>
      <w:bookmarkStart w:id="4775" w:name="_Toc27776"/>
      <w:bookmarkStart w:id="4776" w:name="_Toc25918"/>
      <w:bookmarkStart w:id="4777" w:name="_Toc10421"/>
      <w:bookmarkStart w:id="4778" w:name="_Toc11977"/>
      <w:bookmarkStart w:id="4779" w:name="_Toc27484"/>
      <w:bookmarkStart w:id="4780" w:name="_Toc4251"/>
      <w:bookmarkStart w:id="4781" w:name="_Toc525367178"/>
      <w:bookmarkStart w:id="4782" w:name="_Toc510448388"/>
      <w:bookmarkStart w:id="4783" w:name="_Toc128056553"/>
      <w:r>
        <w:rPr>
          <w:rFonts w:hint="eastAsia" w:ascii="黑体" w:hAnsi="黑体" w:eastAsia="黑体" w:cs="黑体"/>
          <w:color w:val="000000" w:themeColor="text1"/>
        </w:rPr>
        <w:t>F5.3 地方法规及文件</w:t>
      </w:r>
      <w:bookmarkEnd w:id="4746"/>
      <w:bookmarkEnd w:id="4747"/>
      <w:bookmarkEnd w:id="4748"/>
      <w:bookmarkEnd w:id="4749"/>
      <w:bookmarkEnd w:id="4750"/>
      <w:bookmarkEnd w:id="4751"/>
      <w:bookmarkEnd w:id="4752"/>
      <w:bookmarkEnd w:id="4753"/>
      <w:bookmarkEnd w:id="4754"/>
      <w:bookmarkEnd w:id="4755"/>
      <w:bookmarkEnd w:id="4756"/>
      <w:bookmarkEnd w:id="4757"/>
      <w:bookmarkEnd w:id="4758"/>
      <w:bookmarkEnd w:id="4759"/>
      <w:bookmarkEnd w:id="4760"/>
      <w:bookmarkEnd w:id="4761"/>
      <w:bookmarkEnd w:id="4762"/>
      <w:bookmarkEnd w:id="4763"/>
      <w:bookmarkEnd w:id="4764"/>
      <w:bookmarkEnd w:id="4765"/>
      <w:bookmarkEnd w:id="4766"/>
      <w:bookmarkEnd w:id="4767"/>
      <w:bookmarkEnd w:id="4768"/>
      <w:bookmarkEnd w:id="4769"/>
      <w:bookmarkEnd w:id="4770"/>
      <w:bookmarkEnd w:id="4771"/>
      <w:bookmarkEnd w:id="4772"/>
      <w:bookmarkEnd w:id="4773"/>
      <w:bookmarkEnd w:id="4774"/>
      <w:bookmarkEnd w:id="4775"/>
      <w:bookmarkEnd w:id="4776"/>
      <w:bookmarkEnd w:id="4777"/>
      <w:bookmarkEnd w:id="4778"/>
      <w:bookmarkEnd w:id="4779"/>
      <w:bookmarkEnd w:id="4780"/>
    </w:p>
    <w:p>
      <w:pPr>
        <w:tabs>
          <w:tab w:val="left" w:pos="0"/>
        </w:tabs>
        <w:ind w:firstLine="560"/>
        <w:rPr>
          <w:rFonts w:ascii="宋体" w:hAnsi="宋体" w:cs="宋体"/>
          <w:color w:val="000000" w:themeColor="text1"/>
        </w:rPr>
      </w:pPr>
      <w:r>
        <w:rPr>
          <w:rFonts w:hint="eastAsia" w:ascii="宋体" w:hAnsi="宋体" w:cs="宋体"/>
        </w:rPr>
        <w:t>（1）</w:t>
      </w:r>
      <w:r>
        <w:rPr>
          <w:rFonts w:hint="eastAsia" w:ascii="宋体" w:hAnsi="宋体" w:cs="宋体"/>
          <w:color w:val="000000" w:themeColor="text1"/>
        </w:rPr>
        <w:t>《云南省安全生产条例》（已由云南省第十二届人民代表大会常务委员会第三十八次会议于2017年11月30日修订通过）；</w:t>
      </w:r>
    </w:p>
    <w:p>
      <w:pPr>
        <w:tabs>
          <w:tab w:val="left" w:pos="0"/>
        </w:tabs>
        <w:ind w:firstLine="560"/>
        <w:rPr>
          <w:rFonts w:ascii="宋体" w:hAnsi="宋体" w:cs="宋体"/>
          <w:color w:val="000000" w:themeColor="text1"/>
        </w:rPr>
      </w:pPr>
      <w:r>
        <w:rPr>
          <w:rFonts w:hint="eastAsia" w:ascii="宋体" w:hAnsi="宋体" w:cs="宋体"/>
        </w:rPr>
        <w:t>（2）</w:t>
      </w:r>
      <w:r>
        <w:rPr>
          <w:rFonts w:hint="eastAsia" w:ascii="宋体" w:hAnsi="宋体" w:cs="宋体"/>
          <w:color w:val="000000" w:themeColor="text1"/>
        </w:rPr>
        <w:t>《云南省应急管理厅关于印发云南省危险化学品生产储存企业化工安全仪表系统管理指导意见的通知》（云应急〔2019〕9号）；</w:t>
      </w:r>
    </w:p>
    <w:p>
      <w:pPr>
        <w:tabs>
          <w:tab w:val="left" w:pos="0"/>
        </w:tabs>
        <w:ind w:firstLine="560"/>
        <w:rPr>
          <w:rFonts w:ascii="宋体" w:hAnsi="宋体" w:cs="宋体"/>
          <w:color w:val="000000" w:themeColor="text1"/>
        </w:rPr>
      </w:pPr>
      <w:r>
        <w:rPr>
          <w:rFonts w:hint="eastAsia" w:ascii="宋体" w:hAnsi="宋体" w:cs="宋体"/>
        </w:rPr>
        <w:t>（3）</w:t>
      </w:r>
      <w:r>
        <w:rPr>
          <w:rFonts w:hint="eastAsia" w:ascii="宋体" w:hAnsi="宋体" w:cs="宋体"/>
          <w:color w:val="000000" w:themeColor="text1"/>
        </w:rPr>
        <w:t>《云南省安全生产委员会关于印发&lt;云南省安全生产专项整治三年行动计划&gt;的通知》（云安〔2020〕4号）；</w:t>
      </w:r>
    </w:p>
    <w:p>
      <w:pPr>
        <w:tabs>
          <w:tab w:val="left" w:pos="0"/>
        </w:tabs>
        <w:ind w:firstLine="560"/>
        <w:rPr>
          <w:rFonts w:ascii="宋体" w:hAnsi="宋体" w:cs="宋体"/>
          <w:color w:val="000000" w:themeColor="text1"/>
        </w:rPr>
      </w:pPr>
      <w:r>
        <w:rPr>
          <w:rFonts w:hint="eastAsia" w:ascii="宋体" w:hAnsi="宋体" w:cs="宋体"/>
        </w:rPr>
        <w:t>（4）</w:t>
      </w:r>
      <w:r>
        <w:rPr>
          <w:rFonts w:hint="eastAsia" w:ascii="宋体" w:hAnsi="宋体" w:cs="宋体"/>
          <w:color w:val="000000" w:themeColor="text1"/>
        </w:rPr>
        <w:t>《云南省安全生产委员会关于印发&lt;云南省危险化学品安全风险集中治理实施方案&gt;的通知》（云安办〔2022〕4号）；</w:t>
      </w:r>
    </w:p>
    <w:p>
      <w:pPr>
        <w:tabs>
          <w:tab w:val="left" w:pos="0"/>
        </w:tabs>
        <w:ind w:firstLine="560"/>
        <w:rPr>
          <w:rFonts w:ascii="宋体" w:hAnsi="宋体" w:cs="宋体"/>
          <w:color w:val="000000" w:themeColor="text1"/>
        </w:rPr>
      </w:pPr>
      <w:r>
        <w:rPr>
          <w:rFonts w:hint="eastAsia" w:ascii="宋体" w:hAnsi="宋体" w:cs="宋体"/>
        </w:rPr>
        <w:t>（5）</w:t>
      </w:r>
      <w:r>
        <w:rPr>
          <w:rFonts w:hint="eastAsia" w:ascii="宋体" w:hAnsi="宋体" w:cs="宋体"/>
          <w:color w:val="000000" w:themeColor="text1"/>
        </w:rPr>
        <w:t>《云南省安全生产监督管理局云南省财政厅关于进一步加强安全生产风险抵押金管理有关问题的通知》（云安监管[2008]185号，2008年10月17日）；</w:t>
      </w:r>
    </w:p>
    <w:p>
      <w:pPr>
        <w:tabs>
          <w:tab w:val="left" w:pos="0"/>
        </w:tabs>
        <w:ind w:firstLine="560"/>
        <w:rPr>
          <w:rFonts w:ascii="宋体" w:hAnsi="宋体" w:cs="宋体"/>
          <w:color w:val="000000" w:themeColor="text1"/>
        </w:rPr>
      </w:pPr>
      <w:r>
        <w:rPr>
          <w:rFonts w:hint="eastAsia" w:ascii="宋体" w:hAnsi="宋体" w:cs="宋体"/>
        </w:rPr>
        <w:t>（6）</w:t>
      </w:r>
      <w:r>
        <w:rPr>
          <w:rFonts w:hint="eastAsia" w:ascii="宋体" w:hAnsi="宋体" w:cs="宋体"/>
          <w:color w:val="000000" w:themeColor="text1"/>
        </w:rPr>
        <w:t>《关于在全省高危行业推行人身意外伤害保险的通知》（云安监管[2008]102号，2008年5月7日）；</w:t>
      </w:r>
    </w:p>
    <w:p>
      <w:pPr>
        <w:tabs>
          <w:tab w:val="left" w:pos="0"/>
        </w:tabs>
        <w:ind w:firstLine="560"/>
        <w:rPr>
          <w:rFonts w:ascii="宋体" w:hAnsi="宋体" w:cs="宋体"/>
          <w:color w:val="000000" w:themeColor="text1"/>
        </w:rPr>
      </w:pPr>
      <w:r>
        <w:rPr>
          <w:rFonts w:hint="eastAsia" w:ascii="宋体" w:hAnsi="宋体" w:cs="宋体"/>
        </w:rPr>
        <w:t>（7）</w:t>
      </w:r>
      <w:r>
        <w:rPr>
          <w:rFonts w:hint="eastAsia" w:ascii="宋体" w:hAnsi="宋体" w:cs="宋体"/>
          <w:color w:val="000000" w:themeColor="text1"/>
        </w:rPr>
        <w:t>《云南省人民政府办公厅关于进一步加强危险化学品企业安全生产工作的实施意见》（云政办发[2011]112号，2011年6月25日）；</w:t>
      </w:r>
    </w:p>
    <w:p>
      <w:pPr>
        <w:tabs>
          <w:tab w:val="left" w:pos="0"/>
        </w:tabs>
        <w:ind w:firstLine="560"/>
        <w:rPr>
          <w:rFonts w:ascii="宋体" w:hAnsi="宋体" w:cs="宋体"/>
          <w:color w:val="000000" w:themeColor="text1"/>
        </w:rPr>
      </w:pPr>
      <w:r>
        <w:rPr>
          <w:rFonts w:hint="eastAsia" w:ascii="宋体" w:hAnsi="宋体" w:cs="宋体"/>
        </w:rPr>
        <w:t>（8）</w:t>
      </w:r>
      <w:r>
        <w:rPr>
          <w:rFonts w:hint="eastAsia" w:ascii="宋体" w:hAnsi="宋体" w:cs="宋体"/>
          <w:color w:val="000000" w:themeColor="text1"/>
        </w:rPr>
        <w:t>《云南省突发事件应对条列》（2014年7月27日云南省第十二届人民代表大会常务委员会第十次会议通过）；</w:t>
      </w:r>
    </w:p>
    <w:p>
      <w:pPr>
        <w:tabs>
          <w:tab w:val="left" w:pos="0"/>
        </w:tabs>
        <w:ind w:firstLine="560"/>
        <w:rPr>
          <w:rFonts w:ascii="宋体" w:hAnsi="宋体" w:cs="宋体"/>
          <w:color w:val="000000" w:themeColor="text1"/>
        </w:rPr>
      </w:pPr>
      <w:r>
        <w:rPr>
          <w:rFonts w:hint="eastAsia" w:ascii="宋体" w:hAnsi="宋体" w:cs="宋体"/>
        </w:rPr>
        <w:t>（9）</w:t>
      </w:r>
      <w:r>
        <w:rPr>
          <w:rFonts w:hint="eastAsia" w:ascii="宋体" w:hAnsi="宋体" w:cs="宋体"/>
          <w:color w:val="000000" w:themeColor="text1"/>
        </w:rPr>
        <w:t>《云南省应急管理厅关于印发云南省危险化学品生产储存企业四区分离技术指导意见的通知》（云应急〔2021〕4号）；</w:t>
      </w:r>
    </w:p>
    <w:p>
      <w:pPr>
        <w:pStyle w:val="16"/>
        <w:ind w:firstLine="560"/>
      </w:pPr>
      <w:r>
        <w:rPr>
          <w:rFonts w:hint="eastAsia"/>
        </w:rPr>
        <w:t>（10）《云南省人民政府关于印发云南省生产经营单位安全生产主体责任规定的通知》(云政规〔2022〕4号)；</w:t>
      </w:r>
    </w:p>
    <w:p>
      <w:pPr>
        <w:pStyle w:val="16"/>
        <w:ind w:firstLine="560"/>
      </w:pPr>
      <w:r>
        <w:rPr>
          <w:rFonts w:hint="eastAsia"/>
        </w:rPr>
        <w:t>（11）</w:t>
      </w:r>
      <w:r>
        <w:rPr>
          <w:rFonts w:hint="eastAsia" w:hAnsi="宋体" w:cs="宋体"/>
          <w:color w:val="auto"/>
          <w:szCs w:val="28"/>
        </w:rPr>
        <w:t>《云南省生产安全事故应急办法》（云南省人民政府令第227号，自2024年2月1日起施行）。</w:t>
      </w:r>
    </w:p>
    <w:p>
      <w:pPr>
        <w:pStyle w:val="3"/>
        <w:ind w:firstLine="562"/>
        <w:rPr>
          <w:rFonts w:ascii="黑体" w:hAnsi="黑体" w:eastAsia="黑体" w:cs="黑体"/>
          <w:color w:val="000000" w:themeColor="text1"/>
        </w:rPr>
      </w:pPr>
      <w:bookmarkStart w:id="4784" w:name="_Toc3843"/>
      <w:bookmarkStart w:id="4785" w:name="_Toc16181"/>
      <w:bookmarkStart w:id="4786" w:name="_Toc26023"/>
      <w:bookmarkStart w:id="4787" w:name="_Toc1021"/>
      <w:bookmarkStart w:id="4788" w:name="_Toc6671"/>
      <w:bookmarkStart w:id="4789" w:name="_Toc5987"/>
      <w:bookmarkStart w:id="4790" w:name="_Toc30797"/>
      <w:bookmarkStart w:id="4791" w:name="_Toc15183"/>
      <w:bookmarkStart w:id="4792" w:name="_Toc1613"/>
      <w:bookmarkStart w:id="4793" w:name="_Toc28952"/>
      <w:bookmarkStart w:id="4794" w:name="_Toc2778"/>
      <w:bookmarkStart w:id="4795" w:name="_Toc4214"/>
      <w:bookmarkStart w:id="4796" w:name="_Toc10581"/>
      <w:bookmarkStart w:id="4797" w:name="_Toc2031"/>
      <w:bookmarkStart w:id="4798" w:name="_Toc18883"/>
      <w:bookmarkStart w:id="4799" w:name="_Toc1089"/>
      <w:bookmarkStart w:id="4800" w:name="_Toc22678"/>
      <w:bookmarkStart w:id="4801" w:name="_Toc13720"/>
      <w:bookmarkStart w:id="4802" w:name="_Toc25756"/>
      <w:bookmarkStart w:id="4803" w:name="_Toc29537"/>
      <w:bookmarkStart w:id="4804" w:name="_Toc20788"/>
      <w:bookmarkStart w:id="4805" w:name="_Toc21170"/>
      <w:bookmarkStart w:id="4806" w:name="_Toc26821"/>
      <w:bookmarkStart w:id="4807" w:name="_Toc4757"/>
      <w:bookmarkStart w:id="4808" w:name="_Toc12188"/>
      <w:bookmarkStart w:id="4809" w:name="_Toc12914"/>
      <w:bookmarkStart w:id="4810" w:name="_Toc13822"/>
      <w:bookmarkStart w:id="4811" w:name="_Toc25250"/>
      <w:bookmarkStart w:id="4812" w:name="_Toc20838"/>
      <w:bookmarkStart w:id="4813" w:name="_Toc20143"/>
      <w:bookmarkStart w:id="4814" w:name="_Toc14770"/>
      <w:bookmarkStart w:id="4815" w:name="_Toc24857"/>
      <w:bookmarkStart w:id="4816" w:name="_Toc19147"/>
      <w:bookmarkStart w:id="4817" w:name="_Toc1670"/>
      <w:bookmarkStart w:id="4818" w:name="_Toc17126"/>
      <w:r>
        <w:rPr>
          <w:rFonts w:hint="eastAsia" w:ascii="黑体" w:hAnsi="黑体" w:eastAsia="黑体" w:cs="黑体"/>
          <w:color w:val="000000" w:themeColor="text1"/>
        </w:rPr>
        <w:t>F5.4 评价标准及规范</w:t>
      </w:r>
      <w:bookmarkEnd w:id="4708"/>
      <w:bookmarkEnd w:id="4709"/>
      <w:bookmarkEnd w:id="4745"/>
      <w:bookmarkEnd w:id="4781"/>
      <w:bookmarkEnd w:id="4782"/>
      <w:bookmarkEnd w:id="4783"/>
      <w:bookmarkEnd w:id="4784"/>
      <w:bookmarkEnd w:id="4785"/>
      <w:bookmarkEnd w:id="4786"/>
      <w:bookmarkEnd w:id="4787"/>
      <w:bookmarkEnd w:id="4788"/>
      <w:bookmarkEnd w:id="4789"/>
      <w:bookmarkEnd w:id="4790"/>
      <w:bookmarkEnd w:id="4791"/>
      <w:bookmarkEnd w:id="4792"/>
      <w:bookmarkEnd w:id="4793"/>
      <w:bookmarkEnd w:id="4794"/>
      <w:bookmarkEnd w:id="4795"/>
      <w:bookmarkEnd w:id="4796"/>
      <w:bookmarkEnd w:id="4797"/>
      <w:bookmarkEnd w:id="4798"/>
      <w:bookmarkEnd w:id="4799"/>
      <w:bookmarkEnd w:id="4800"/>
      <w:bookmarkEnd w:id="4801"/>
      <w:bookmarkEnd w:id="4802"/>
      <w:bookmarkEnd w:id="4803"/>
      <w:bookmarkEnd w:id="4804"/>
      <w:bookmarkEnd w:id="4805"/>
      <w:bookmarkEnd w:id="4806"/>
      <w:bookmarkEnd w:id="4807"/>
      <w:bookmarkEnd w:id="4808"/>
      <w:bookmarkEnd w:id="4809"/>
      <w:bookmarkEnd w:id="4810"/>
      <w:bookmarkEnd w:id="4811"/>
      <w:bookmarkEnd w:id="4812"/>
      <w:bookmarkEnd w:id="4813"/>
      <w:bookmarkEnd w:id="4814"/>
      <w:bookmarkEnd w:id="4815"/>
      <w:bookmarkEnd w:id="4816"/>
      <w:bookmarkEnd w:id="4817"/>
      <w:bookmarkEnd w:id="4818"/>
    </w:p>
    <w:p>
      <w:pPr>
        <w:ind w:firstLine="560"/>
        <w:rPr>
          <w:color w:val="000000" w:themeColor="text1"/>
        </w:rPr>
      </w:pPr>
      <w:r>
        <w:rPr>
          <w:rFonts w:hint="eastAsia"/>
          <w:color w:val="000000" w:themeColor="text1"/>
        </w:rPr>
        <w:t>（</w:t>
      </w:r>
      <w:r>
        <w:rPr>
          <w:color w:val="000000" w:themeColor="text1"/>
        </w:rPr>
        <w:t>1）</w:t>
      </w:r>
      <w:r>
        <w:rPr>
          <w:rFonts w:hint="eastAsia"/>
          <w:color w:val="000000" w:themeColor="text1"/>
        </w:rPr>
        <w:t>《建筑设计防火规范（2018年版）》（</w:t>
      </w:r>
      <w:r>
        <w:rPr>
          <w:color w:val="000000" w:themeColor="text1"/>
        </w:rPr>
        <w:t>GB50016</w:t>
      </w:r>
      <w:r>
        <w:rPr>
          <w:rFonts w:hint="eastAsia"/>
          <w:color w:val="000000" w:themeColor="text1"/>
        </w:rPr>
        <w:t>-2014）；</w:t>
      </w:r>
    </w:p>
    <w:p>
      <w:pPr>
        <w:ind w:firstLine="560"/>
        <w:rPr>
          <w:color w:val="000000" w:themeColor="text1"/>
        </w:rPr>
      </w:pPr>
      <w:r>
        <w:rPr>
          <w:rFonts w:hint="eastAsia"/>
          <w:color w:val="000000" w:themeColor="text1"/>
        </w:rPr>
        <w:t>（</w:t>
      </w:r>
      <w:r>
        <w:rPr>
          <w:color w:val="000000" w:themeColor="text1"/>
        </w:rPr>
        <w:t>2）</w:t>
      </w:r>
      <w:r>
        <w:rPr>
          <w:rFonts w:hint="eastAsia"/>
          <w:color w:val="000000" w:themeColor="text1"/>
        </w:rPr>
        <w:t>《工业企业总平面设计规范》（GB50187-2012）；</w:t>
      </w:r>
    </w:p>
    <w:p>
      <w:pPr>
        <w:ind w:firstLine="560"/>
        <w:rPr>
          <w:color w:val="000000" w:themeColor="text1"/>
        </w:rPr>
      </w:pPr>
      <w:r>
        <w:rPr>
          <w:rFonts w:hint="eastAsia"/>
          <w:color w:val="000000" w:themeColor="text1"/>
        </w:rPr>
        <w:t>（</w:t>
      </w:r>
      <w:r>
        <w:rPr>
          <w:color w:val="000000" w:themeColor="text1"/>
        </w:rPr>
        <w:t>3）</w:t>
      </w:r>
      <w:r>
        <w:rPr>
          <w:rFonts w:hint="eastAsia"/>
          <w:color w:val="000000" w:themeColor="text1"/>
        </w:rPr>
        <w:t>《化工企业总图运输设计规范》（GB50489-2009）；</w:t>
      </w:r>
    </w:p>
    <w:p>
      <w:pPr>
        <w:ind w:firstLine="560"/>
        <w:rPr>
          <w:color w:val="000000" w:themeColor="text1"/>
        </w:rPr>
      </w:pPr>
      <w:r>
        <w:rPr>
          <w:rFonts w:hint="eastAsia"/>
          <w:color w:val="000000" w:themeColor="text1"/>
        </w:rPr>
        <w:t>（</w:t>
      </w:r>
      <w:r>
        <w:rPr>
          <w:color w:val="000000" w:themeColor="text1"/>
        </w:rPr>
        <w:t>4）</w:t>
      </w:r>
      <w:r>
        <w:rPr>
          <w:rFonts w:hint="eastAsia"/>
          <w:color w:val="000000" w:themeColor="text1"/>
        </w:rPr>
        <w:t>《建筑灭火器配置设计规范》（GB50140-2005）；</w:t>
      </w:r>
    </w:p>
    <w:p>
      <w:pPr>
        <w:ind w:firstLine="560"/>
        <w:rPr>
          <w:color w:val="000000" w:themeColor="text1"/>
        </w:rPr>
      </w:pPr>
      <w:r>
        <w:rPr>
          <w:rFonts w:hint="eastAsia"/>
          <w:color w:val="000000" w:themeColor="text1"/>
        </w:rPr>
        <w:t>（</w:t>
      </w:r>
      <w:r>
        <w:rPr>
          <w:color w:val="000000" w:themeColor="text1"/>
        </w:rPr>
        <w:t>5）</w:t>
      </w:r>
      <w:r>
        <w:rPr>
          <w:rFonts w:hint="eastAsia"/>
          <w:color w:val="000000" w:themeColor="text1"/>
        </w:rPr>
        <w:t>《爆炸危险环境电力装置设计规范》（GB50058-2014）；</w:t>
      </w:r>
    </w:p>
    <w:p>
      <w:pPr>
        <w:ind w:firstLine="560"/>
        <w:rPr>
          <w:color w:val="000000" w:themeColor="text1"/>
        </w:rPr>
      </w:pPr>
      <w:r>
        <w:rPr>
          <w:rFonts w:hint="eastAsia"/>
          <w:color w:val="000000" w:themeColor="text1"/>
        </w:rPr>
        <w:t>（</w:t>
      </w:r>
      <w:r>
        <w:rPr>
          <w:color w:val="000000" w:themeColor="text1"/>
        </w:rPr>
        <w:t>6）</w:t>
      </w:r>
      <w:r>
        <w:rPr>
          <w:rFonts w:hint="eastAsia"/>
          <w:color w:val="000000" w:themeColor="text1"/>
        </w:rPr>
        <w:t xml:space="preserve"> 《爆炸和火灾危险场所防雷装置检测技术规范》（GB/T32937-2016）；</w:t>
      </w:r>
    </w:p>
    <w:p>
      <w:pPr>
        <w:ind w:firstLine="560"/>
        <w:rPr>
          <w:color w:val="000000" w:themeColor="text1"/>
        </w:rPr>
      </w:pPr>
      <w:r>
        <w:rPr>
          <w:rFonts w:hint="eastAsia"/>
          <w:color w:val="000000" w:themeColor="text1"/>
        </w:rPr>
        <w:t>（</w:t>
      </w:r>
      <w:r>
        <w:rPr>
          <w:color w:val="000000" w:themeColor="text1"/>
        </w:rPr>
        <w:t>7）</w:t>
      </w:r>
      <w:r>
        <w:rPr>
          <w:rFonts w:hint="eastAsia"/>
          <w:color w:val="000000" w:themeColor="text1"/>
        </w:rPr>
        <w:t>《石油化工企业设计防火标准（2018版）》（GB50160-2008）；</w:t>
      </w:r>
    </w:p>
    <w:p>
      <w:pPr>
        <w:ind w:firstLine="560"/>
        <w:rPr>
          <w:color w:val="000000" w:themeColor="text1"/>
        </w:rPr>
      </w:pPr>
      <w:r>
        <w:rPr>
          <w:rFonts w:hint="eastAsia"/>
          <w:color w:val="000000" w:themeColor="text1"/>
        </w:rPr>
        <w:t>（</w:t>
      </w:r>
      <w:r>
        <w:rPr>
          <w:color w:val="000000" w:themeColor="text1"/>
        </w:rPr>
        <w:t>8）</w:t>
      </w:r>
      <w:r>
        <w:rPr>
          <w:rFonts w:hint="eastAsia"/>
          <w:color w:val="000000" w:themeColor="text1"/>
        </w:rPr>
        <w:t>《生产过程安全卫生要求总则》（GB/T12801-2008）；</w:t>
      </w:r>
    </w:p>
    <w:p>
      <w:pPr>
        <w:ind w:firstLine="560"/>
        <w:rPr>
          <w:color w:val="000000" w:themeColor="text1"/>
        </w:rPr>
      </w:pPr>
      <w:r>
        <w:rPr>
          <w:rFonts w:hint="eastAsia"/>
          <w:color w:val="000000" w:themeColor="text1"/>
        </w:rPr>
        <w:t>（</w:t>
      </w:r>
      <w:r>
        <w:rPr>
          <w:color w:val="000000" w:themeColor="text1"/>
        </w:rPr>
        <w:t>9）</w:t>
      </w:r>
      <w:r>
        <w:rPr>
          <w:rFonts w:hint="eastAsia"/>
          <w:color w:val="000000" w:themeColor="text1"/>
        </w:rPr>
        <w:t>《生产设备安全卫生设计总则》（GB5083-1999）；</w:t>
      </w:r>
    </w:p>
    <w:p>
      <w:pPr>
        <w:ind w:firstLine="560"/>
        <w:rPr>
          <w:color w:val="000000" w:themeColor="text1"/>
        </w:rPr>
      </w:pPr>
      <w:r>
        <w:rPr>
          <w:rFonts w:hint="eastAsia"/>
          <w:color w:val="000000" w:themeColor="text1"/>
        </w:rPr>
        <w:t>（</w:t>
      </w:r>
      <w:r>
        <w:rPr>
          <w:color w:val="000000" w:themeColor="text1"/>
        </w:rPr>
        <w:t>10）</w:t>
      </w:r>
      <w:r>
        <w:rPr>
          <w:rFonts w:hint="eastAsia"/>
          <w:color w:val="000000" w:themeColor="text1"/>
        </w:rPr>
        <w:t>《建筑抗震设计规范（2016年版）》（GB50011-2010）；</w:t>
      </w:r>
    </w:p>
    <w:p>
      <w:pPr>
        <w:ind w:firstLine="560"/>
        <w:rPr>
          <w:color w:val="000000" w:themeColor="text1"/>
        </w:rPr>
      </w:pPr>
      <w:r>
        <w:rPr>
          <w:rFonts w:hint="eastAsia"/>
          <w:color w:val="000000" w:themeColor="text1"/>
        </w:rPr>
        <w:t>（</w:t>
      </w:r>
      <w:r>
        <w:rPr>
          <w:color w:val="000000" w:themeColor="text1"/>
        </w:rPr>
        <w:t>11）</w:t>
      </w:r>
      <w:r>
        <w:rPr>
          <w:rFonts w:hint="eastAsia"/>
          <w:color w:val="000000" w:themeColor="text1"/>
        </w:rPr>
        <w:t>《工业管道的基本识别色、识别符号和安全标识》（GB7231-2003）；</w:t>
      </w:r>
    </w:p>
    <w:p>
      <w:pPr>
        <w:ind w:firstLine="560"/>
        <w:rPr>
          <w:color w:val="000000" w:themeColor="text1"/>
        </w:rPr>
      </w:pPr>
      <w:r>
        <w:rPr>
          <w:rFonts w:hint="eastAsia"/>
          <w:color w:val="000000" w:themeColor="text1"/>
        </w:rPr>
        <w:t>（</w:t>
      </w:r>
      <w:r>
        <w:rPr>
          <w:color w:val="000000" w:themeColor="text1"/>
        </w:rPr>
        <w:t>12）</w:t>
      </w:r>
      <w:r>
        <w:rPr>
          <w:rFonts w:hint="eastAsia"/>
          <w:color w:val="000000" w:themeColor="text1"/>
        </w:rPr>
        <w:t>《消防安全标志第1部分：标志》（</w:t>
      </w:r>
      <w:r>
        <w:rPr>
          <w:color w:val="000000" w:themeColor="text1"/>
        </w:rPr>
        <w:t>GB1349</w:t>
      </w:r>
      <w:r>
        <w:rPr>
          <w:rFonts w:hint="eastAsia"/>
          <w:color w:val="000000" w:themeColor="text1"/>
        </w:rPr>
        <w:t>5.1</w:t>
      </w:r>
      <w:r>
        <w:rPr>
          <w:color w:val="000000" w:themeColor="text1"/>
        </w:rPr>
        <w:t>-</w:t>
      </w:r>
      <w:r>
        <w:rPr>
          <w:rFonts w:hint="eastAsia"/>
          <w:color w:val="000000" w:themeColor="text1"/>
        </w:rPr>
        <w:t>2015）；</w:t>
      </w:r>
    </w:p>
    <w:p>
      <w:pPr>
        <w:ind w:firstLine="560"/>
        <w:rPr>
          <w:color w:val="000000" w:themeColor="text1"/>
        </w:rPr>
      </w:pPr>
      <w:r>
        <w:rPr>
          <w:rFonts w:hint="eastAsia"/>
          <w:color w:val="000000" w:themeColor="text1"/>
        </w:rPr>
        <w:t>（</w:t>
      </w:r>
      <w:r>
        <w:rPr>
          <w:color w:val="000000" w:themeColor="text1"/>
        </w:rPr>
        <w:t>13）</w:t>
      </w:r>
      <w:r>
        <w:rPr>
          <w:rFonts w:hint="eastAsia"/>
          <w:color w:val="000000" w:themeColor="text1"/>
        </w:rPr>
        <w:t>《消防给水及消火栓系统技术规范》（GB50974-2014）；</w:t>
      </w:r>
    </w:p>
    <w:p>
      <w:pPr>
        <w:ind w:firstLine="560"/>
        <w:rPr>
          <w:color w:val="000000" w:themeColor="text1"/>
        </w:rPr>
      </w:pPr>
      <w:r>
        <w:rPr>
          <w:rFonts w:hint="eastAsia"/>
          <w:color w:val="000000" w:themeColor="text1"/>
        </w:rPr>
        <w:t>（</w:t>
      </w:r>
      <w:r>
        <w:rPr>
          <w:color w:val="000000" w:themeColor="text1"/>
        </w:rPr>
        <w:t>14）</w:t>
      </w:r>
      <w:r>
        <w:rPr>
          <w:rFonts w:hint="eastAsia"/>
          <w:color w:val="000000" w:themeColor="text1"/>
        </w:rPr>
        <w:t>《消防安全标志设置要求》（</w:t>
      </w:r>
      <w:r>
        <w:rPr>
          <w:color w:val="000000" w:themeColor="text1"/>
        </w:rPr>
        <w:t>GB15630-</w:t>
      </w:r>
      <w:r>
        <w:rPr>
          <w:rFonts w:hint="eastAsia"/>
          <w:color w:val="000000" w:themeColor="text1"/>
        </w:rPr>
        <w:t>19</w:t>
      </w:r>
      <w:r>
        <w:rPr>
          <w:color w:val="000000" w:themeColor="text1"/>
        </w:rPr>
        <w:t>95</w:t>
      </w:r>
      <w:r>
        <w:rPr>
          <w:rFonts w:hint="eastAsia"/>
          <w:color w:val="000000" w:themeColor="text1"/>
        </w:rPr>
        <w:t>）；</w:t>
      </w:r>
    </w:p>
    <w:p>
      <w:pPr>
        <w:ind w:firstLine="560"/>
        <w:rPr>
          <w:color w:val="000000" w:themeColor="text1"/>
        </w:rPr>
      </w:pPr>
      <w:r>
        <w:rPr>
          <w:rFonts w:hint="eastAsia"/>
          <w:color w:val="000000" w:themeColor="text1"/>
        </w:rPr>
        <w:t>（</w:t>
      </w:r>
      <w:r>
        <w:rPr>
          <w:color w:val="000000" w:themeColor="text1"/>
        </w:rPr>
        <w:t>15）</w:t>
      </w:r>
      <w:r>
        <w:rPr>
          <w:rFonts w:hint="eastAsia"/>
          <w:color w:val="000000" w:themeColor="text1"/>
        </w:rPr>
        <w:t>《安全标志及其使用导则》（</w:t>
      </w:r>
      <w:r>
        <w:rPr>
          <w:color w:val="000000" w:themeColor="text1"/>
        </w:rPr>
        <w:t>GB2894-</w:t>
      </w:r>
      <w:r>
        <w:rPr>
          <w:rFonts w:hint="eastAsia"/>
          <w:color w:val="000000" w:themeColor="text1"/>
        </w:rPr>
        <w:t>2008）；</w:t>
      </w:r>
    </w:p>
    <w:p>
      <w:pPr>
        <w:ind w:firstLine="560"/>
        <w:rPr>
          <w:color w:val="000000" w:themeColor="text1"/>
        </w:rPr>
      </w:pPr>
      <w:r>
        <w:rPr>
          <w:rFonts w:hint="eastAsia"/>
          <w:color w:val="000000" w:themeColor="text1"/>
        </w:rPr>
        <w:t>（</w:t>
      </w:r>
      <w:r>
        <w:rPr>
          <w:color w:val="000000" w:themeColor="text1"/>
        </w:rPr>
        <w:t>16）</w:t>
      </w:r>
      <w:r>
        <w:rPr>
          <w:rFonts w:hint="eastAsia"/>
          <w:color w:val="000000" w:themeColor="text1"/>
        </w:rPr>
        <w:t>《安全色》（</w:t>
      </w:r>
      <w:r>
        <w:rPr>
          <w:color w:val="000000" w:themeColor="text1"/>
        </w:rPr>
        <w:t>GB2893-200</w:t>
      </w:r>
      <w:r>
        <w:rPr>
          <w:rFonts w:hint="eastAsia"/>
          <w:color w:val="000000" w:themeColor="text1"/>
        </w:rPr>
        <w:t>8）；</w:t>
      </w:r>
    </w:p>
    <w:p>
      <w:pPr>
        <w:ind w:firstLine="560"/>
        <w:rPr>
          <w:color w:val="000000" w:themeColor="text1"/>
        </w:rPr>
      </w:pPr>
      <w:r>
        <w:rPr>
          <w:rFonts w:hint="eastAsia"/>
          <w:color w:val="000000" w:themeColor="text1"/>
        </w:rPr>
        <w:t>（</w:t>
      </w:r>
      <w:r>
        <w:rPr>
          <w:color w:val="000000" w:themeColor="text1"/>
        </w:rPr>
        <w:t>17）</w:t>
      </w:r>
      <w:r>
        <w:rPr>
          <w:rFonts w:hint="eastAsia"/>
          <w:color w:val="000000" w:themeColor="text1"/>
        </w:rPr>
        <w:t>《固定式钢梯及平台安全要求第1部分：钢直梯》（GB4053.1-2009）；</w:t>
      </w:r>
    </w:p>
    <w:p>
      <w:pPr>
        <w:ind w:firstLine="560"/>
        <w:rPr>
          <w:color w:val="000000" w:themeColor="text1"/>
        </w:rPr>
      </w:pPr>
      <w:r>
        <w:rPr>
          <w:rFonts w:hint="eastAsia"/>
          <w:color w:val="000000" w:themeColor="text1"/>
        </w:rPr>
        <w:t>（</w:t>
      </w:r>
      <w:r>
        <w:rPr>
          <w:color w:val="000000" w:themeColor="text1"/>
        </w:rPr>
        <w:t>18）</w:t>
      </w:r>
      <w:r>
        <w:rPr>
          <w:rFonts w:hint="eastAsia"/>
          <w:color w:val="000000" w:themeColor="text1"/>
        </w:rPr>
        <w:t>《固定式钢梯及平台安全要求第2部分：钢斜梯》（GB4053.2-2009）；</w:t>
      </w:r>
    </w:p>
    <w:p>
      <w:pPr>
        <w:ind w:firstLine="560"/>
        <w:rPr>
          <w:color w:val="000000" w:themeColor="text1"/>
        </w:rPr>
      </w:pPr>
      <w:r>
        <w:rPr>
          <w:rFonts w:hint="eastAsia"/>
          <w:color w:val="000000" w:themeColor="text1"/>
        </w:rPr>
        <w:t>（</w:t>
      </w:r>
      <w:r>
        <w:rPr>
          <w:color w:val="000000" w:themeColor="text1"/>
        </w:rPr>
        <w:t>19）</w:t>
      </w:r>
      <w:r>
        <w:rPr>
          <w:rFonts w:hint="eastAsia"/>
          <w:color w:val="000000" w:themeColor="text1"/>
        </w:rPr>
        <w:t>《固定式钢梯及平台安全要求第3部分：工业防护栏杆及钢平台》（GB4053.3-2009）；</w:t>
      </w:r>
    </w:p>
    <w:p>
      <w:pPr>
        <w:ind w:firstLine="560"/>
        <w:rPr>
          <w:color w:val="000000" w:themeColor="text1"/>
        </w:rPr>
      </w:pPr>
      <w:r>
        <w:rPr>
          <w:rFonts w:hint="eastAsia"/>
          <w:color w:val="000000" w:themeColor="text1"/>
        </w:rPr>
        <w:t>（</w:t>
      </w:r>
      <w:r>
        <w:rPr>
          <w:color w:val="000000" w:themeColor="text1"/>
        </w:rPr>
        <w:t>20）</w:t>
      </w:r>
      <w:r>
        <w:rPr>
          <w:rFonts w:hint="eastAsia"/>
          <w:color w:val="000000" w:themeColor="text1"/>
        </w:rPr>
        <w:t>《供配电系统设计规范》（GB50052-2009）；</w:t>
      </w:r>
    </w:p>
    <w:p>
      <w:pPr>
        <w:ind w:firstLine="560"/>
        <w:rPr>
          <w:color w:val="000000" w:themeColor="text1"/>
        </w:rPr>
      </w:pPr>
      <w:r>
        <w:rPr>
          <w:rFonts w:hint="eastAsia"/>
          <w:color w:val="000000" w:themeColor="text1"/>
        </w:rPr>
        <w:t>（</w:t>
      </w:r>
      <w:r>
        <w:rPr>
          <w:color w:val="000000" w:themeColor="text1"/>
        </w:rPr>
        <w:t>21）</w:t>
      </w:r>
      <w:r>
        <w:rPr>
          <w:rFonts w:hint="eastAsia"/>
          <w:color w:val="000000" w:themeColor="text1"/>
        </w:rPr>
        <w:t>《低压配电设计规范》（</w:t>
      </w:r>
      <w:r>
        <w:rPr>
          <w:color w:val="000000" w:themeColor="text1"/>
        </w:rPr>
        <w:t>GB50054-</w:t>
      </w:r>
      <w:r>
        <w:rPr>
          <w:rFonts w:hint="eastAsia"/>
          <w:color w:val="000000" w:themeColor="text1"/>
        </w:rPr>
        <w:t>2011）；</w:t>
      </w:r>
    </w:p>
    <w:p>
      <w:pPr>
        <w:ind w:firstLine="560"/>
        <w:rPr>
          <w:color w:val="000000" w:themeColor="text1"/>
        </w:rPr>
      </w:pPr>
      <w:r>
        <w:rPr>
          <w:rFonts w:hint="eastAsia"/>
          <w:color w:val="000000" w:themeColor="text1"/>
        </w:rPr>
        <w:t>（</w:t>
      </w:r>
      <w:r>
        <w:rPr>
          <w:color w:val="000000" w:themeColor="text1"/>
        </w:rPr>
        <w:t>22）</w:t>
      </w:r>
      <w:r>
        <w:rPr>
          <w:rFonts w:hint="eastAsia"/>
          <w:color w:val="000000" w:themeColor="text1"/>
        </w:rPr>
        <w:t>《通用用电设备配电设计规范》（GB50055-2011）；</w:t>
      </w:r>
    </w:p>
    <w:p>
      <w:pPr>
        <w:ind w:firstLine="560"/>
        <w:rPr>
          <w:color w:val="000000" w:themeColor="text1"/>
        </w:rPr>
      </w:pPr>
      <w:r>
        <w:rPr>
          <w:rFonts w:hint="eastAsia"/>
          <w:color w:val="000000" w:themeColor="text1"/>
        </w:rPr>
        <w:t>（</w:t>
      </w:r>
      <w:r>
        <w:rPr>
          <w:color w:val="000000" w:themeColor="text1"/>
        </w:rPr>
        <w:t>23）</w:t>
      </w:r>
      <w:r>
        <w:rPr>
          <w:rFonts w:hint="eastAsia"/>
          <w:color w:val="000000" w:themeColor="text1"/>
        </w:rPr>
        <w:t>《建筑物防雷设计规范》（</w:t>
      </w:r>
      <w:r>
        <w:rPr>
          <w:color w:val="000000" w:themeColor="text1"/>
        </w:rPr>
        <w:t>GB50057-</w:t>
      </w:r>
      <w:r>
        <w:rPr>
          <w:rFonts w:hint="eastAsia"/>
          <w:color w:val="000000" w:themeColor="text1"/>
        </w:rPr>
        <w:t>2010）；</w:t>
      </w:r>
    </w:p>
    <w:p>
      <w:pPr>
        <w:ind w:firstLine="560"/>
        <w:rPr>
          <w:color w:val="000000" w:themeColor="text1"/>
        </w:rPr>
      </w:pPr>
      <w:r>
        <w:rPr>
          <w:rFonts w:hint="eastAsia"/>
          <w:color w:val="000000" w:themeColor="text1"/>
        </w:rPr>
        <w:t>（</w:t>
      </w:r>
      <w:r>
        <w:rPr>
          <w:color w:val="000000" w:themeColor="text1"/>
        </w:rPr>
        <w:t>24）</w:t>
      </w:r>
      <w:r>
        <w:rPr>
          <w:rFonts w:hint="eastAsia"/>
          <w:color w:val="000000" w:themeColor="text1"/>
        </w:rPr>
        <w:t>《用电安全导则》（GB/T13869-2017）；</w:t>
      </w:r>
    </w:p>
    <w:p>
      <w:pPr>
        <w:ind w:firstLine="560"/>
        <w:rPr>
          <w:color w:val="000000" w:themeColor="text1"/>
        </w:rPr>
      </w:pPr>
      <w:r>
        <w:rPr>
          <w:rFonts w:hint="eastAsia"/>
          <w:color w:val="000000" w:themeColor="text1"/>
        </w:rPr>
        <w:t>（</w:t>
      </w:r>
      <w:r>
        <w:rPr>
          <w:color w:val="000000" w:themeColor="text1"/>
        </w:rPr>
        <w:t>25）</w:t>
      </w:r>
      <w:r>
        <w:rPr>
          <w:rFonts w:hint="eastAsia"/>
          <w:color w:val="000000" w:themeColor="text1"/>
        </w:rPr>
        <w:t>《电气设备安全设计导则》（GB/T25295-2010）；</w:t>
      </w:r>
    </w:p>
    <w:p>
      <w:pPr>
        <w:ind w:firstLine="560"/>
        <w:rPr>
          <w:color w:val="000000" w:themeColor="text1"/>
        </w:rPr>
      </w:pPr>
      <w:r>
        <w:rPr>
          <w:rFonts w:hint="eastAsia"/>
          <w:color w:val="000000" w:themeColor="text1"/>
        </w:rPr>
        <w:t>（</w:t>
      </w:r>
      <w:r>
        <w:rPr>
          <w:color w:val="000000" w:themeColor="text1"/>
        </w:rPr>
        <w:t>26）</w:t>
      </w:r>
      <w:r>
        <w:rPr>
          <w:rFonts w:hint="eastAsia"/>
          <w:color w:val="000000" w:themeColor="text1"/>
        </w:rPr>
        <w:t>《防止静电事故通用导则》（</w:t>
      </w:r>
      <w:r>
        <w:rPr>
          <w:color w:val="000000" w:themeColor="text1"/>
        </w:rPr>
        <w:t>GB12158-</w:t>
      </w:r>
      <w:r>
        <w:rPr>
          <w:rFonts w:hint="eastAsia"/>
          <w:color w:val="000000" w:themeColor="text1"/>
        </w:rPr>
        <w:t>2006）；</w:t>
      </w:r>
    </w:p>
    <w:p>
      <w:pPr>
        <w:ind w:firstLine="560"/>
        <w:rPr>
          <w:color w:val="000000" w:themeColor="text1"/>
        </w:rPr>
      </w:pPr>
      <w:r>
        <w:rPr>
          <w:rFonts w:hint="eastAsia"/>
          <w:color w:val="000000" w:themeColor="text1"/>
        </w:rPr>
        <w:t>（</w:t>
      </w:r>
      <w:r>
        <w:rPr>
          <w:color w:val="000000" w:themeColor="text1"/>
        </w:rPr>
        <w:t>27）</w:t>
      </w:r>
      <w:r>
        <w:rPr>
          <w:rFonts w:hint="eastAsia"/>
          <w:color w:val="000000" w:themeColor="text1"/>
        </w:rPr>
        <w:t>《焊接与切割安全》（GB9448-1999）；</w:t>
      </w:r>
    </w:p>
    <w:p>
      <w:pPr>
        <w:ind w:firstLine="560"/>
        <w:rPr>
          <w:color w:val="000000" w:themeColor="text1"/>
        </w:rPr>
      </w:pPr>
      <w:r>
        <w:rPr>
          <w:rFonts w:hint="eastAsia"/>
          <w:color w:val="000000" w:themeColor="text1"/>
        </w:rPr>
        <w:t>（</w:t>
      </w:r>
      <w:r>
        <w:rPr>
          <w:color w:val="000000" w:themeColor="text1"/>
        </w:rPr>
        <w:t>28）</w:t>
      </w:r>
      <w:r>
        <w:rPr>
          <w:rFonts w:hint="eastAsia"/>
          <w:color w:val="000000" w:themeColor="text1"/>
        </w:rPr>
        <w:t>《危险化学品仓库储存通则》（GB15603-2022）；</w:t>
      </w:r>
    </w:p>
    <w:p>
      <w:pPr>
        <w:ind w:firstLine="560"/>
        <w:rPr>
          <w:color w:val="000000" w:themeColor="text1"/>
        </w:rPr>
      </w:pPr>
      <w:r>
        <w:rPr>
          <w:rFonts w:hint="eastAsia"/>
          <w:color w:val="000000" w:themeColor="text1"/>
        </w:rPr>
        <w:t>（</w:t>
      </w:r>
      <w:r>
        <w:rPr>
          <w:color w:val="000000" w:themeColor="text1"/>
        </w:rPr>
        <w:t>29）</w:t>
      </w:r>
      <w:r>
        <w:rPr>
          <w:rFonts w:hint="eastAsia"/>
          <w:color w:val="000000" w:themeColor="text1"/>
        </w:rPr>
        <w:t>《生产过程危险和有害因素分类与代码》（</w:t>
      </w:r>
      <w:r>
        <w:rPr>
          <w:color w:val="000000" w:themeColor="text1"/>
        </w:rPr>
        <w:t>GB/T13861-</w:t>
      </w:r>
      <w:r>
        <w:rPr>
          <w:rFonts w:hint="eastAsia"/>
          <w:color w:val="000000" w:themeColor="text1"/>
        </w:rPr>
        <w:t>2022）；</w:t>
      </w:r>
    </w:p>
    <w:p>
      <w:pPr>
        <w:ind w:firstLine="560"/>
        <w:rPr>
          <w:color w:val="000000" w:themeColor="text1"/>
        </w:rPr>
      </w:pPr>
      <w:r>
        <w:rPr>
          <w:rFonts w:hint="eastAsia"/>
          <w:color w:val="000000" w:themeColor="text1"/>
        </w:rPr>
        <w:t>（</w:t>
      </w:r>
      <w:r>
        <w:rPr>
          <w:color w:val="000000" w:themeColor="text1"/>
        </w:rPr>
        <w:t>30）</w:t>
      </w:r>
      <w:r>
        <w:rPr>
          <w:rFonts w:hint="eastAsia"/>
          <w:color w:val="000000" w:themeColor="text1"/>
        </w:rPr>
        <w:t>《危险化学品重大危险源辨识》（</w:t>
      </w:r>
      <w:r>
        <w:rPr>
          <w:color w:val="000000" w:themeColor="text1"/>
        </w:rPr>
        <w:t>GB18218-20</w:t>
      </w:r>
      <w:r>
        <w:rPr>
          <w:rFonts w:hint="eastAsia"/>
          <w:color w:val="000000" w:themeColor="text1"/>
        </w:rPr>
        <w:t>18）；</w:t>
      </w:r>
    </w:p>
    <w:p>
      <w:pPr>
        <w:ind w:firstLine="560"/>
        <w:rPr>
          <w:color w:val="000000" w:themeColor="text1"/>
        </w:rPr>
      </w:pPr>
      <w:r>
        <w:rPr>
          <w:rFonts w:hint="eastAsia"/>
          <w:color w:val="000000" w:themeColor="text1"/>
        </w:rPr>
        <w:t>（</w:t>
      </w:r>
      <w:r>
        <w:rPr>
          <w:color w:val="000000" w:themeColor="text1"/>
        </w:rPr>
        <w:t>31）</w:t>
      </w:r>
      <w:r>
        <w:rPr>
          <w:rFonts w:hint="eastAsia"/>
          <w:color w:val="000000" w:themeColor="text1"/>
        </w:rPr>
        <w:t>《缺氧危险作业安全规程》（GB8958-2006）；</w:t>
      </w:r>
    </w:p>
    <w:p>
      <w:pPr>
        <w:ind w:firstLine="560"/>
        <w:rPr>
          <w:color w:val="000000" w:themeColor="text1"/>
        </w:rPr>
      </w:pPr>
      <w:r>
        <w:rPr>
          <w:rFonts w:hint="eastAsia"/>
          <w:color w:val="000000" w:themeColor="text1"/>
        </w:rPr>
        <w:t>（</w:t>
      </w:r>
      <w:r>
        <w:rPr>
          <w:color w:val="000000" w:themeColor="text1"/>
        </w:rPr>
        <w:t>32）</w:t>
      </w:r>
      <w:r>
        <w:rPr>
          <w:rFonts w:hint="eastAsia"/>
          <w:color w:val="000000" w:themeColor="text1"/>
        </w:rPr>
        <w:t>《危险货物分类和品名编号》（GB</w:t>
      </w:r>
      <w:r>
        <w:rPr>
          <w:color w:val="000000" w:themeColor="text1"/>
        </w:rPr>
        <w:t>6944-20</w:t>
      </w:r>
      <w:r>
        <w:rPr>
          <w:rFonts w:hint="eastAsia"/>
          <w:color w:val="000000" w:themeColor="text1"/>
        </w:rPr>
        <w:t>12）；</w:t>
      </w:r>
    </w:p>
    <w:p>
      <w:pPr>
        <w:ind w:firstLine="560"/>
        <w:rPr>
          <w:color w:val="000000" w:themeColor="text1"/>
        </w:rPr>
      </w:pPr>
      <w:r>
        <w:rPr>
          <w:rFonts w:hint="eastAsia"/>
          <w:color w:val="000000" w:themeColor="text1"/>
        </w:rPr>
        <w:t>（</w:t>
      </w:r>
      <w:r>
        <w:rPr>
          <w:color w:val="000000" w:themeColor="text1"/>
        </w:rPr>
        <w:t>33）</w:t>
      </w:r>
      <w:r>
        <w:rPr>
          <w:rFonts w:hint="eastAsia"/>
          <w:color w:val="000000" w:themeColor="text1"/>
        </w:rPr>
        <w:t>《化学品分类和危险性公示通则》（</w:t>
      </w:r>
      <w:r>
        <w:rPr>
          <w:color w:val="000000" w:themeColor="text1"/>
        </w:rPr>
        <w:t>GB13690-2009</w:t>
      </w:r>
      <w:r>
        <w:rPr>
          <w:rFonts w:hint="eastAsia"/>
          <w:color w:val="000000" w:themeColor="text1"/>
        </w:rPr>
        <w:t>）；</w:t>
      </w:r>
    </w:p>
    <w:p>
      <w:pPr>
        <w:ind w:firstLine="560"/>
        <w:rPr>
          <w:color w:val="000000" w:themeColor="text1"/>
        </w:rPr>
      </w:pPr>
      <w:r>
        <w:rPr>
          <w:rFonts w:hint="eastAsia"/>
          <w:color w:val="000000" w:themeColor="text1"/>
        </w:rPr>
        <w:t>（</w:t>
      </w:r>
      <w:r>
        <w:rPr>
          <w:color w:val="000000" w:themeColor="text1"/>
        </w:rPr>
        <w:t>34）</w:t>
      </w:r>
      <w:r>
        <w:rPr>
          <w:rFonts w:hint="eastAsia"/>
          <w:color w:val="000000" w:themeColor="text1"/>
        </w:rPr>
        <w:t>《特种设备使用管理规则》（TSG08-2017）；</w:t>
      </w:r>
    </w:p>
    <w:p>
      <w:pPr>
        <w:ind w:firstLine="560"/>
        <w:rPr>
          <w:color w:val="000000" w:themeColor="text1"/>
        </w:rPr>
      </w:pPr>
      <w:r>
        <w:rPr>
          <w:rFonts w:hint="eastAsia"/>
          <w:color w:val="000000" w:themeColor="text1"/>
        </w:rPr>
        <w:t>（</w:t>
      </w:r>
      <w:r>
        <w:rPr>
          <w:color w:val="000000" w:themeColor="text1"/>
        </w:rPr>
        <w:t>35）</w:t>
      </w:r>
      <w:r>
        <w:rPr>
          <w:rFonts w:hint="eastAsia"/>
          <w:color w:val="000000" w:themeColor="text1"/>
        </w:rPr>
        <w:t>《企业职工伤亡事故分类》（</w:t>
      </w:r>
      <w:r>
        <w:rPr>
          <w:color w:val="000000" w:themeColor="text1"/>
        </w:rPr>
        <w:t>GB6441-</w:t>
      </w:r>
      <w:r>
        <w:rPr>
          <w:rFonts w:hint="eastAsia"/>
          <w:color w:val="000000" w:themeColor="text1"/>
        </w:rPr>
        <w:t>19</w:t>
      </w:r>
      <w:r>
        <w:rPr>
          <w:color w:val="000000" w:themeColor="text1"/>
        </w:rPr>
        <w:t>86</w:t>
      </w:r>
      <w:r>
        <w:rPr>
          <w:rFonts w:hint="eastAsia"/>
          <w:color w:val="000000" w:themeColor="text1"/>
        </w:rPr>
        <w:t>）；</w:t>
      </w:r>
    </w:p>
    <w:p>
      <w:pPr>
        <w:ind w:firstLine="560"/>
        <w:rPr>
          <w:color w:val="000000" w:themeColor="text1"/>
        </w:rPr>
      </w:pPr>
      <w:r>
        <w:rPr>
          <w:rFonts w:hint="eastAsia"/>
          <w:color w:val="000000" w:themeColor="text1"/>
        </w:rPr>
        <w:t>（</w:t>
      </w:r>
      <w:r>
        <w:rPr>
          <w:color w:val="000000" w:themeColor="text1"/>
        </w:rPr>
        <w:t>36）</w:t>
      </w:r>
      <w:r>
        <w:rPr>
          <w:rFonts w:hint="eastAsia"/>
          <w:color w:val="000000" w:themeColor="text1"/>
        </w:rPr>
        <w:t>《工业企业设计卫生标准》（GBZ1-2010）；</w:t>
      </w:r>
    </w:p>
    <w:p>
      <w:pPr>
        <w:ind w:firstLine="560"/>
        <w:rPr>
          <w:color w:val="000000" w:themeColor="text1"/>
        </w:rPr>
      </w:pPr>
      <w:r>
        <w:rPr>
          <w:rFonts w:hint="eastAsia"/>
          <w:color w:val="000000" w:themeColor="text1"/>
        </w:rPr>
        <w:t>（</w:t>
      </w:r>
      <w:r>
        <w:rPr>
          <w:color w:val="000000" w:themeColor="text1"/>
        </w:rPr>
        <w:t>37）《</w:t>
      </w:r>
      <w:r>
        <w:rPr>
          <w:rFonts w:hint="eastAsia"/>
          <w:color w:val="000000" w:themeColor="text1"/>
        </w:rPr>
        <w:t>工作场所有害因素职业接触限值第1部分；化学有害因素》行业标准第1号修改单》（GBZ2.1-2019/XG1-2022）；</w:t>
      </w:r>
    </w:p>
    <w:p>
      <w:pPr>
        <w:ind w:firstLine="560"/>
        <w:rPr>
          <w:color w:val="000000" w:themeColor="text1"/>
        </w:rPr>
      </w:pPr>
      <w:r>
        <w:rPr>
          <w:rFonts w:hint="eastAsia"/>
          <w:color w:val="000000" w:themeColor="text1"/>
        </w:rPr>
        <w:t>（</w:t>
      </w:r>
      <w:r>
        <w:rPr>
          <w:color w:val="000000" w:themeColor="text1"/>
        </w:rPr>
        <w:t>38）</w:t>
      </w:r>
      <w:r>
        <w:rPr>
          <w:rFonts w:hint="eastAsia"/>
          <w:color w:val="000000" w:themeColor="text1"/>
        </w:rPr>
        <w:t>《工作场所有害因素职业接触限值第2部分：物理因素》（GBZ2.2-2007）；</w:t>
      </w:r>
    </w:p>
    <w:p>
      <w:pPr>
        <w:ind w:firstLine="560"/>
        <w:rPr>
          <w:color w:val="000000" w:themeColor="text1"/>
        </w:rPr>
      </w:pPr>
      <w:r>
        <w:rPr>
          <w:rFonts w:hint="eastAsia"/>
          <w:color w:val="000000" w:themeColor="text1"/>
        </w:rPr>
        <w:t>（</w:t>
      </w:r>
      <w:r>
        <w:rPr>
          <w:color w:val="000000" w:themeColor="text1"/>
        </w:rPr>
        <w:t>39）</w:t>
      </w:r>
      <w:r>
        <w:rPr>
          <w:rFonts w:hint="eastAsia"/>
          <w:color w:val="000000" w:themeColor="text1"/>
        </w:rPr>
        <w:t>《职业性接触毒物危害程度分级》（GBZ 230-2010）；</w:t>
      </w:r>
    </w:p>
    <w:p>
      <w:pPr>
        <w:ind w:firstLine="560"/>
        <w:rPr>
          <w:color w:val="000000" w:themeColor="text1"/>
        </w:rPr>
      </w:pPr>
      <w:r>
        <w:rPr>
          <w:rFonts w:hint="eastAsia"/>
          <w:color w:val="000000" w:themeColor="text1"/>
        </w:rPr>
        <w:t>（</w:t>
      </w:r>
      <w:r>
        <w:rPr>
          <w:color w:val="000000" w:themeColor="text1"/>
        </w:rPr>
        <w:t>40）</w:t>
      </w:r>
      <w:r>
        <w:rPr>
          <w:rFonts w:hint="eastAsia"/>
          <w:color w:val="000000" w:themeColor="text1"/>
        </w:rPr>
        <w:t>《危险货物品名表》（GB12268-2012）；</w:t>
      </w:r>
    </w:p>
    <w:p>
      <w:pPr>
        <w:ind w:firstLine="560"/>
        <w:rPr>
          <w:color w:val="000000" w:themeColor="text1"/>
        </w:rPr>
      </w:pPr>
      <w:r>
        <w:rPr>
          <w:rFonts w:hint="eastAsia"/>
          <w:color w:val="000000" w:themeColor="text1"/>
        </w:rPr>
        <w:t>（</w:t>
      </w:r>
      <w:r>
        <w:rPr>
          <w:color w:val="000000" w:themeColor="text1"/>
        </w:rPr>
        <w:t>41）</w:t>
      </w:r>
      <w:r>
        <w:rPr>
          <w:rFonts w:hint="eastAsia"/>
          <w:color w:val="000000" w:themeColor="text1"/>
        </w:rPr>
        <w:t>《危险化学品企业特殊作业安全规范》（GB30871-2022）；</w:t>
      </w:r>
    </w:p>
    <w:p>
      <w:pPr>
        <w:ind w:firstLine="560"/>
        <w:rPr>
          <w:color w:val="000000" w:themeColor="text1"/>
        </w:rPr>
      </w:pPr>
      <w:r>
        <w:rPr>
          <w:rFonts w:hint="eastAsia"/>
          <w:color w:val="000000" w:themeColor="text1"/>
        </w:rPr>
        <w:t>（</w:t>
      </w:r>
      <w:r>
        <w:rPr>
          <w:color w:val="000000" w:themeColor="text1"/>
        </w:rPr>
        <w:t>42）</w:t>
      </w:r>
      <w:r>
        <w:rPr>
          <w:rFonts w:hint="eastAsia"/>
          <w:color w:val="000000" w:themeColor="text1"/>
        </w:rPr>
        <w:t>《化工企业安全卫生设计规范》（HG20571-2014）；</w:t>
      </w:r>
    </w:p>
    <w:p>
      <w:pPr>
        <w:ind w:firstLine="560"/>
        <w:rPr>
          <w:color w:val="000000" w:themeColor="text1"/>
        </w:rPr>
      </w:pPr>
      <w:r>
        <w:rPr>
          <w:rFonts w:hint="eastAsia"/>
          <w:color w:val="000000" w:themeColor="text1"/>
        </w:rPr>
        <w:t>（</w:t>
      </w:r>
      <w:r>
        <w:rPr>
          <w:color w:val="000000" w:themeColor="text1"/>
        </w:rPr>
        <w:t>43）</w:t>
      </w:r>
      <w:r>
        <w:rPr>
          <w:rFonts w:hint="eastAsia"/>
          <w:color w:val="000000" w:themeColor="text1"/>
        </w:rPr>
        <w:t>《危险场所电气防爆安全规范》（AQ3009-2007）；</w:t>
      </w:r>
    </w:p>
    <w:p>
      <w:pPr>
        <w:ind w:firstLine="560"/>
        <w:rPr>
          <w:color w:val="000000" w:themeColor="text1"/>
        </w:rPr>
      </w:pPr>
      <w:r>
        <w:rPr>
          <w:rFonts w:hint="eastAsia"/>
          <w:color w:val="000000" w:themeColor="text1"/>
        </w:rPr>
        <w:t>（</w:t>
      </w:r>
      <w:r>
        <w:rPr>
          <w:color w:val="000000" w:themeColor="text1"/>
        </w:rPr>
        <w:t>44）</w:t>
      </w:r>
      <w:r>
        <w:rPr>
          <w:rFonts w:hint="eastAsia"/>
          <w:color w:val="000000" w:themeColor="text1"/>
        </w:rPr>
        <w:t>《危险化学品储罐区作业安全通则》（AQ3018-2008）；</w:t>
      </w:r>
    </w:p>
    <w:p>
      <w:pPr>
        <w:ind w:firstLine="560"/>
        <w:rPr>
          <w:color w:val="000000" w:themeColor="text1"/>
        </w:rPr>
      </w:pPr>
      <w:r>
        <w:rPr>
          <w:rFonts w:hint="eastAsia"/>
          <w:color w:val="000000" w:themeColor="text1"/>
        </w:rPr>
        <w:t>（</w:t>
      </w:r>
      <w:r>
        <w:rPr>
          <w:color w:val="000000" w:themeColor="text1"/>
        </w:rPr>
        <w:t>45）</w:t>
      </w:r>
      <w:r>
        <w:rPr>
          <w:rFonts w:hint="eastAsia"/>
          <w:color w:val="000000" w:themeColor="text1"/>
        </w:rPr>
        <w:t>《化学品生产单位吊装作业安全规范》（AQ3021-2008）；</w:t>
      </w:r>
    </w:p>
    <w:p>
      <w:pPr>
        <w:ind w:firstLine="560"/>
        <w:rPr>
          <w:color w:val="000000" w:themeColor="text1"/>
        </w:rPr>
      </w:pPr>
      <w:r>
        <w:rPr>
          <w:rFonts w:hint="eastAsia"/>
          <w:color w:val="000000" w:themeColor="text1"/>
        </w:rPr>
        <w:t>（</w:t>
      </w:r>
      <w:r>
        <w:rPr>
          <w:color w:val="000000" w:themeColor="text1"/>
        </w:rPr>
        <w:t>46）</w:t>
      </w:r>
      <w:r>
        <w:rPr>
          <w:rFonts w:hint="eastAsia"/>
          <w:color w:val="000000" w:themeColor="text1"/>
        </w:rPr>
        <w:t>《化学品生产单位动火作业安全规范》（AQ3022-2008）；</w:t>
      </w:r>
    </w:p>
    <w:p>
      <w:pPr>
        <w:ind w:firstLine="560"/>
        <w:rPr>
          <w:color w:val="000000" w:themeColor="text1"/>
        </w:rPr>
      </w:pPr>
      <w:r>
        <w:rPr>
          <w:rFonts w:hint="eastAsia"/>
          <w:color w:val="000000" w:themeColor="text1"/>
        </w:rPr>
        <w:t>（</w:t>
      </w:r>
      <w:r>
        <w:rPr>
          <w:color w:val="000000" w:themeColor="text1"/>
        </w:rPr>
        <w:t>47）</w:t>
      </w:r>
      <w:r>
        <w:rPr>
          <w:rFonts w:hint="eastAsia"/>
          <w:color w:val="000000" w:themeColor="text1"/>
        </w:rPr>
        <w:t>《化学品生产单位动土作业安全规范》（AQ3023-2008）；</w:t>
      </w:r>
    </w:p>
    <w:p>
      <w:pPr>
        <w:ind w:firstLine="560"/>
        <w:rPr>
          <w:color w:val="000000" w:themeColor="text1"/>
        </w:rPr>
      </w:pPr>
      <w:r>
        <w:rPr>
          <w:rFonts w:hint="eastAsia"/>
          <w:color w:val="000000" w:themeColor="text1"/>
        </w:rPr>
        <w:t>（</w:t>
      </w:r>
      <w:r>
        <w:rPr>
          <w:color w:val="000000" w:themeColor="text1"/>
        </w:rPr>
        <w:t>48）</w:t>
      </w:r>
      <w:r>
        <w:rPr>
          <w:rFonts w:hint="eastAsia"/>
          <w:color w:val="000000" w:themeColor="text1"/>
        </w:rPr>
        <w:t>《化学品生产单位断路作业安全规范》（AQ3024-2008）；</w:t>
      </w:r>
    </w:p>
    <w:p>
      <w:pPr>
        <w:ind w:firstLine="560"/>
        <w:rPr>
          <w:color w:val="000000" w:themeColor="text1"/>
        </w:rPr>
      </w:pPr>
      <w:r>
        <w:rPr>
          <w:rFonts w:hint="eastAsia"/>
          <w:color w:val="000000" w:themeColor="text1"/>
        </w:rPr>
        <w:t>（</w:t>
      </w:r>
      <w:r>
        <w:rPr>
          <w:color w:val="000000" w:themeColor="text1"/>
        </w:rPr>
        <w:t>49）</w:t>
      </w:r>
      <w:r>
        <w:rPr>
          <w:rFonts w:hint="eastAsia"/>
          <w:color w:val="000000" w:themeColor="text1"/>
        </w:rPr>
        <w:t>《化学品生产单位高处作业安全规范》（AQ3025-2008）；</w:t>
      </w:r>
    </w:p>
    <w:p>
      <w:pPr>
        <w:ind w:firstLine="560"/>
        <w:rPr>
          <w:color w:val="000000" w:themeColor="text1"/>
        </w:rPr>
      </w:pPr>
      <w:r>
        <w:rPr>
          <w:rFonts w:hint="eastAsia"/>
          <w:color w:val="000000" w:themeColor="text1"/>
        </w:rPr>
        <w:t>（</w:t>
      </w:r>
      <w:r>
        <w:rPr>
          <w:color w:val="000000" w:themeColor="text1"/>
        </w:rPr>
        <w:t>50）</w:t>
      </w:r>
      <w:r>
        <w:rPr>
          <w:rFonts w:hint="eastAsia"/>
          <w:color w:val="000000" w:themeColor="text1"/>
        </w:rPr>
        <w:t>《化学品生产单位设备检修作业安全规范》（AQ3026-2008）；</w:t>
      </w:r>
    </w:p>
    <w:p>
      <w:pPr>
        <w:ind w:firstLine="560"/>
        <w:rPr>
          <w:color w:val="000000" w:themeColor="text1"/>
        </w:rPr>
      </w:pPr>
      <w:r>
        <w:rPr>
          <w:rFonts w:hint="eastAsia"/>
          <w:color w:val="000000" w:themeColor="text1"/>
        </w:rPr>
        <w:t>（</w:t>
      </w:r>
      <w:r>
        <w:rPr>
          <w:color w:val="000000" w:themeColor="text1"/>
        </w:rPr>
        <w:t>51）</w:t>
      </w:r>
      <w:r>
        <w:rPr>
          <w:rFonts w:hint="eastAsia"/>
          <w:color w:val="000000" w:themeColor="text1"/>
        </w:rPr>
        <w:t>《化学品生产单位盲板抽堵作业安全规范》（AQ3027-2008）；</w:t>
      </w:r>
    </w:p>
    <w:p>
      <w:pPr>
        <w:ind w:firstLine="560"/>
        <w:rPr>
          <w:color w:val="000000" w:themeColor="text1"/>
        </w:rPr>
      </w:pPr>
      <w:r>
        <w:rPr>
          <w:rFonts w:hint="eastAsia"/>
          <w:color w:val="000000" w:themeColor="text1"/>
        </w:rPr>
        <w:t>（</w:t>
      </w:r>
      <w:r>
        <w:rPr>
          <w:color w:val="000000" w:themeColor="text1"/>
        </w:rPr>
        <w:t>52）</w:t>
      </w:r>
      <w:r>
        <w:rPr>
          <w:rFonts w:hint="eastAsia"/>
          <w:color w:val="000000" w:themeColor="text1"/>
        </w:rPr>
        <w:t>《化学品生产单位受限空间作业安全规范》（AQ3028-2008）；</w:t>
      </w:r>
    </w:p>
    <w:p>
      <w:pPr>
        <w:ind w:firstLine="560"/>
        <w:rPr>
          <w:color w:val="000000" w:themeColor="text1"/>
        </w:rPr>
      </w:pPr>
      <w:r>
        <w:rPr>
          <w:rFonts w:hint="eastAsia"/>
          <w:color w:val="000000" w:themeColor="text1"/>
        </w:rPr>
        <w:t>（</w:t>
      </w:r>
      <w:r>
        <w:rPr>
          <w:color w:val="000000" w:themeColor="text1"/>
        </w:rPr>
        <w:t>53）</w:t>
      </w:r>
      <w:r>
        <w:rPr>
          <w:rFonts w:hint="eastAsia"/>
          <w:color w:val="000000" w:themeColor="text1"/>
        </w:rPr>
        <w:t>《化学品作业场所安全警示标志规范》（AQ/T3047-2013）；</w:t>
      </w:r>
    </w:p>
    <w:p>
      <w:pPr>
        <w:ind w:firstLine="560"/>
        <w:rPr>
          <w:color w:val="000000" w:themeColor="text1"/>
        </w:rPr>
      </w:pPr>
      <w:r>
        <w:rPr>
          <w:rFonts w:hint="eastAsia"/>
          <w:color w:val="000000" w:themeColor="text1"/>
        </w:rPr>
        <w:t>（</w:t>
      </w:r>
      <w:r>
        <w:rPr>
          <w:color w:val="000000" w:themeColor="text1"/>
        </w:rPr>
        <w:t>54）</w:t>
      </w:r>
      <w:r>
        <w:rPr>
          <w:rFonts w:hint="eastAsia"/>
          <w:color w:val="000000" w:themeColor="text1"/>
        </w:rPr>
        <w:t>《化工企业劳动防护用品选用及配备》（AQ/T3048-2013）；</w:t>
      </w:r>
    </w:p>
    <w:p>
      <w:pPr>
        <w:ind w:firstLine="560"/>
        <w:rPr>
          <w:color w:val="000000" w:themeColor="text1"/>
        </w:rPr>
      </w:pPr>
      <w:r>
        <w:rPr>
          <w:rFonts w:hint="eastAsia"/>
          <w:color w:val="000000" w:themeColor="text1"/>
        </w:rPr>
        <w:t>（</w:t>
      </w:r>
      <w:r>
        <w:rPr>
          <w:color w:val="000000" w:themeColor="text1"/>
        </w:rPr>
        <w:t>55）</w:t>
      </w:r>
      <w:r>
        <w:rPr>
          <w:rFonts w:hint="eastAsia"/>
          <w:color w:val="000000" w:themeColor="text1"/>
        </w:rPr>
        <w:t>《安全评价通则》（AQ8001-2007）；</w:t>
      </w:r>
    </w:p>
    <w:p>
      <w:pPr>
        <w:ind w:firstLine="560"/>
        <w:rPr>
          <w:color w:val="000000" w:themeColor="text1"/>
        </w:rPr>
      </w:pPr>
      <w:r>
        <w:rPr>
          <w:rFonts w:hint="eastAsia"/>
          <w:color w:val="000000" w:themeColor="text1"/>
        </w:rPr>
        <w:t>（</w:t>
      </w:r>
      <w:r>
        <w:rPr>
          <w:color w:val="000000" w:themeColor="text1"/>
        </w:rPr>
        <w:t>56）</w:t>
      </w:r>
      <w:r>
        <w:rPr>
          <w:rFonts w:hint="eastAsia"/>
          <w:color w:val="000000" w:themeColor="text1"/>
        </w:rPr>
        <w:t>《生产经营单位生产安全事故应急预案编制导则》（</w:t>
      </w:r>
      <w:r>
        <w:rPr>
          <w:color w:val="000000" w:themeColor="text1"/>
        </w:rPr>
        <w:t>GB</w:t>
      </w:r>
      <w:r>
        <w:rPr>
          <w:rFonts w:hint="eastAsia"/>
          <w:color w:val="000000" w:themeColor="text1"/>
        </w:rPr>
        <w:t>/</w:t>
      </w:r>
      <w:r>
        <w:rPr>
          <w:color w:val="000000" w:themeColor="text1"/>
        </w:rPr>
        <w:t>T29639-20</w:t>
      </w:r>
      <w:r>
        <w:rPr>
          <w:rFonts w:hint="eastAsia"/>
          <w:color w:val="000000" w:themeColor="text1"/>
        </w:rPr>
        <w:t>20）；</w:t>
      </w:r>
    </w:p>
    <w:p>
      <w:pPr>
        <w:pStyle w:val="16"/>
        <w:ind w:firstLine="560"/>
      </w:pPr>
      <w:r>
        <w:rPr>
          <w:rFonts w:hint="eastAsia"/>
        </w:rPr>
        <w:t>（</w:t>
      </w:r>
      <w:r>
        <w:t>57）</w:t>
      </w:r>
      <w:r>
        <w:rPr>
          <w:rFonts w:hint="eastAsia"/>
          <w:color w:val="auto"/>
        </w:rPr>
        <w:t>《危险化学品生产装置和储存设施外部安全防护距离确定方法》（GB/T37243-2019）。</w:t>
      </w:r>
    </w:p>
    <w:p>
      <w:pPr>
        <w:pStyle w:val="3"/>
        <w:ind w:firstLine="562"/>
        <w:rPr>
          <w:rFonts w:ascii="黑体" w:hAnsi="黑体" w:eastAsia="黑体" w:cs="黑体"/>
          <w:color w:val="000000" w:themeColor="text1"/>
        </w:rPr>
      </w:pPr>
      <w:bookmarkStart w:id="4819" w:name="_Toc8814"/>
      <w:bookmarkStart w:id="4820" w:name="_Toc8756"/>
      <w:bookmarkStart w:id="4821" w:name="_Toc9696"/>
      <w:bookmarkStart w:id="4822" w:name="_Toc5735"/>
      <w:bookmarkStart w:id="4823" w:name="_Toc9328"/>
      <w:bookmarkStart w:id="4824" w:name="_Toc316585033"/>
      <w:bookmarkStart w:id="4825" w:name="_Toc424062635"/>
      <w:bookmarkStart w:id="4826" w:name="_Toc310243823"/>
      <w:bookmarkStart w:id="4827" w:name="_Toc22380"/>
      <w:bookmarkStart w:id="4828" w:name="_Toc11934"/>
      <w:bookmarkStart w:id="4829" w:name="_Toc23323"/>
      <w:bookmarkStart w:id="4830" w:name="_Toc128056554"/>
      <w:bookmarkStart w:id="4831" w:name="_Toc17854"/>
      <w:bookmarkStart w:id="4832" w:name="_Toc32461"/>
      <w:bookmarkStart w:id="4833" w:name="_Toc4307"/>
      <w:bookmarkStart w:id="4834" w:name="_Toc27880"/>
      <w:bookmarkStart w:id="4835" w:name="_Toc31232"/>
      <w:bookmarkStart w:id="4836" w:name="_Toc314084037"/>
      <w:bookmarkStart w:id="4837" w:name="_Toc582"/>
      <w:bookmarkStart w:id="4838" w:name="_Toc46"/>
      <w:bookmarkStart w:id="4839" w:name="_Toc392234470"/>
      <w:bookmarkStart w:id="4840" w:name="_Toc3284"/>
      <w:bookmarkStart w:id="4841" w:name="_Toc29992"/>
      <w:bookmarkStart w:id="4842" w:name="_Toc184381176"/>
      <w:bookmarkStart w:id="4843" w:name="_Toc16977"/>
      <w:bookmarkStart w:id="4844" w:name="_Toc300059764"/>
      <w:bookmarkStart w:id="4845" w:name="_Toc26237"/>
      <w:bookmarkStart w:id="4846" w:name="_Toc22389"/>
      <w:bookmarkStart w:id="4847" w:name="_Toc293647158"/>
      <w:bookmarkStart w:id="4848" w:name="_Toc306353292"/>
      <w:bookmarkStart w:id="4849" w:name="_Toc21317"/>
      <w:bookmarkStart w:id="4850" w:name="_Toc342479346"/>
      <w:bookmarkStart w:id="4851" w:name="_Toc293586538"/>
      <w:bookmarkStart w:id="4852" w:name="_Toc173155557"/>
      <w:bookmarkStart w:id="4853" w:name="_Toc325135708"/>
      <w:bookmarkStart w:id="4854" w:name="_Toc297900061"/>
      <w:bookmarkStart w:id="4855" w:name="_Toc297737206"/>
      <w:bookmarkStart w:id="4856" w:name="_Toc339727428"/>
      <w:bookmarkStart w:id="4857" w:name="_Toc25519"/>
      <w:bookmarkStart w:id="4858" w:name="_Toc22098"/>
      <w:bookmarkStart w:id="4859" w:name="_Toc313716326"/>
      <w:bookmarkStart w:id="4860" w:name="_Toc19438"/>
      <w:bookmarkStart w:id="4861" w:name="_Toc17920"/>
      <w:bookmarkStart w:id="4862" w:name="_Toc26798"/>
      <w:bookmarkStart w:id="4863" w:name="_Toc29125"/>
      <w:bookmarkStart w:id="4864" w:name="_Toc15115"/>
      <w:bookmarkStart w:id="4865" w:name="_Toc413331913"/>
      <w:bookmarkStart w:id="4866" w:name="_Toc9551"/>
      <w:bookmarkStart w:id="4867" w:name="_Toc1114"/>
      <w:bookmarkStart w:id="4868" w:name="_Toc19460"/>
      <w:bookmarkStart w:id="4869" w:name="_Toc44"/>
      <w:bookmarkStart w:id="4870" w:name="_Toc338949236"/>
      <w:bookmarkStart w:id="4871" w:name="_Toc26400"/>
      <w:bookmarkStart w:id="4872" w:name="_Toc30524"/>
      <w:bookmarkStart w:id="4873" w:name="_Toc5820"/>
      <w:bookmarkStart w:id="4874" w:name="_Toc316585295"/>
      <w:bookmarkStart w:id="4875" w:name="_Toc28472"/>
      <w:r>
        <w:rPr>
          <w:rFonts w:hint="eastAsia" w:ascii="黑体" w:hAnsi="黑体" w:eastAsia="黑体" w:cs="黑体"/>
          <w:color w:val="000000" w:themeColor="text1"/>
        </w:rPr>
        <w:t>F5.5 被评价单位提供的相关资料</w:t>
      </w:r>
      <w:bookmarkEnd w:id="4819"/>
      <w:bookmarkEnd w:id="4820"/>
      <w:bookmarkEnd w:id="4821"/>
      <w:bookmarkEnd w:id="4822"/>
      <w:bookmarkEnd w:id="4823"/>
      <w:bookmarkEnd w:id="4824"/>
      <w:bookmarkEnd w:id="4825"/>
      <w:bookmarkEnd w:id="4826"/>
      <w:bookmarkEnd w:id="4827"/>
      <w:bookmarkEnd w:id="4828"/>
      <w:bookmarkEnd w:id="4829"/>
      <w:bookmarkEnd w:id="4830"/>
      <w:bookmarkEnd w:id="4831"/>
      <w:bookmarkEnd w:id="4832"/>
      <w:bookmarkEnd w:id="4833"/>
      <w:bookmarkEnd w:id="4834"/>
      <w:bookmarkEnd w:id="4835"/>
      <w:bookmarkEnd w:id="4836"/>
      <w:bookmarkEnd w:id="4837"/>
      <w:bookmarkEnd w:id="4838"/>
      <w:bookmarkEnd w:id="4839"/>
      <w:bookmarkEnd w:id="4840"/>
      <w:bookmarkEnd w:id="4841"/>
      <w:bookmarkEnd w:id="4842"/>
      <w:bookmarkEnd w:id="4843"/>
      <w:bookmarkEnd w:id="4844"/>
      <w:bookmarkEnd w:id="4845"/>
      <w:bookmarkEnd w:id="4846"/>
      <w:bookmarkEnd w:id="4847"/>
      <w:bookmarkEnd w:id="4848"/>
      <w:bookmarkEnd w:id="4849"/>
      <w:bookmarkEnd w:id="4850"/>
      <w:bookmarkEnd w:id="4851"/>
      <w:bookmarkEnd w:id="4852"/>
      <w:bookmarkEnd w:id="4853"/>
      <w:bookmarkEnd w:id="4854"/>
      <w:bookmarkEnd w:id="4855"/>
      <w:bookmarkEnd w:id="4856"/>
      <w:bookmarkEnd w:id="4857"/>
      <w:bookmarkEnd w:id="4858"/>
      <w:bookmarkEnd w:id="4859"/>
      <w:bookmarkEnd w:id="4860"/>
      <w:bookmarkEnd w:id="4861"/>
      <w:bookmarkEnd w:id="4862"/>
      <w:bookmarkEnd w:id="4863"/>
      <w:bookmarkEnd w:id="4864"/>
      <w:bookmarkEnd w:id="4865"/>
      <w:bookmarkEnd w:id="4866"/>
      <w:bookmarkEnd w:id="4867"/>
      <w:bookmarkEnd w:id="4868"/>
      <w:bookmarkEnd w:id="4869"/>
      <w:bookmarkEnd w:id="4870"/>
      <w:bookmarkEnd w:id="4871"/>
      <w:bookmarkEnd w:id="4872"/>
      <w:bookmarkEnd w:id="4873"/>
      <w:bookmarkEnd w:id="4874"/>
      <w:bookmarkEnd w:id="4875"/>
    </w:p>
    <w:p>
      <w:pPr>
        <w:topLinePunct/>
        <w:ind w:firstLine="560"/>
        <w:rPr>
          <w:rFonts w:ascii="宋体" w:hAnsi="宋体" w:cs="宋体"/>
          <w:color w:val="000000" w:themeColor="text1"/>
          <w:szCs w:val="28"/>
        </w:rPr>
      </w:pPr>
      <w:r>
        <w:rPr>
          <w:rFonts w:hint="eastAsia" w:ascii="宋体" w:hAnsi="宋体" w:cs="宋体"/>
          <w:color w:val="000000" w:themeColor="text1"/>
          <w:szCs w:val="28"/>
        </w:rPr>
        <w:t>（1）安全现状评价委托书；</w:t>
      </w:r>
    </w:p>
    <w:p>
      <w:pPr>
        <w:topLinePunct/>
        <w:ind w:firstLine="560"/>
        <w:rPr>
          <w:rFonts w:ascii="宋体" w:hAnsi="宋体" w:cs="宋体"/>
          <w:color w:val="000000" w:themeColor="text1"/>
          <w:szCs w:val="28"/>
        </w:rPr>
      </w:pPr>
      <w:r>
        <w:rPr>
          <w:rFonts w:hint="eastAsia" w:ascii="宋体" w:hAnsi="宋体" w:cs="宋体"/>
          <w:color w:val="000000" w:themeColor="text1"/>
          <w:szCs w:val="28"/>
        </w:rPr>
        <w:t>（2）营业执照；</w:t>
      </w:r>
    </w:p>
    <w:p>
      <w:pPr>
        <w:topLinePunct/>
        <w:ind w:firstLine="560"/>
        <w:rPr>
          <w:rFonts w:ascii="宋体" w:hAnsi="宋体" w:cs="宋体"/>
          <w:color w:val="000000" w:themeColor="text1"/>
          <w:szCs w:val="28"/>
        </w:rPr>
      </w:pPr>
      <w:r>
        <w:rPr>
          <w:rFonts w:hint="eastAsia" w:ascii="宋体" w:hAnsi="宋体" w:cs="宋体"/>
          <w:color w:val="000000" w:themeColor="text1"/>
          <w:szCs w:val="28"/>
        </w:rPr>
        <w:t>（3）安全生产许可证；</w:t>
      </w:r>
    </w:p>
    <w:p>
      <w:pPr>
        <w:topLinePunct/>
        <w:ind w:firstLine="560"/>
        <w:rPr>
          <w:rFonts w:ascii="宋体" w:hAnsi="宋体" w:cs="宋体"/>
          <w:color w:val="000000" w:themeColor="text1"/>
          <w:szCs w:val="28"/>
        </w:rPr>
      </w:pPr>
      <w:bookmarkStart w:id="4876" w:name="_Toc339727429"/>
      <w:bookmarkStart w:id="4877" w:name="_Toc424062636"/>
      <w:bookmarkStart w:id="4878" w:name="_Toc338949237"/>
      <w:bookmarkStart w:id="4879" w:name="_Toc342479347"/>
      <w:bookmarkStart w:id="4880" w:name="_Toc392234471"/>
      <w:r>
        <w:rPr>
          <w:rFonts w:hint="eastAsia" w:ascii="宋体" w:hAnsi="宋体" w:cs="宋体"/>
          <w:color w:val="000000" w:themeColor="text1"/>
          <w:szCs w:val="28"/>
        </w:rPr>
        <w:t>（4）其它相关技术资料</w:t>
      </w:r>
      <w:bookmarkEnd w:id="4876"/>
      <w:bookmarkEnd w:id="4877"/>
      <w:bookmarkEnd w:id="4878"/>
      <w:bookmarkEnd w:id="4879"/>
      <w:bookmarkEnd w:id="4880"/>
      <w:r>
        <w:rPr>
          <w:rFonts w:hint="eastAsia" w:ascii="宋体" w:hAnsi="宋体" w:cs="宋体"/>
          <w:color w:val="000000" w:themeColor="text1"/>
          <w:szCs w:val="28"/>
        </w:rPr>
        <w:t>。</w:t>
      </w:r>
    </w:p>
    <w:bookmarkEnd w:id="2780"/>
    <w:bookmarkEnd w:id="2781"/>
    <w:p>
      <w:pPr>
        <w:ind w:firstLine="560"/>
        <w:rPr>
          <w:rFonts w:hint="eastAsia" w:eastAsia="宋体"/>
          <w:lang w:eastAsia="zh-CN"/>
        </w:rPr>
      </w:pPr>
    </w:p>
    <w:p>
      <w:pPr>
        <w:pStyle w:val="16"/>
        <w:ind w:firstLine="560"/>
        <w:rPr>
          <w:rFonts w:hAnsi="宋体" w:cs="宋体"/>
          <w:b/>
          <w:bCs/>
          <w:szCs w:val="28"/>
        </w:rPr>
      </w:pPr>
      <w:r>
        <w:rPr>
          <w:rFonts w:hint="eastAsia" w:eastAsia="宋体"/>
          <w:lang w:eastAsia="zh-CN"/>
        </w:rPr>
        <w:drawing>
          <wp:inline distT="0" distB="0" distL="114300" distR="114300">
            <wp:extent cx="4943475" cy="4733925"/>
            <wp:effectExtent l="0" t="0" r="9525" b="9525"/>
            <wp:docPr id="72" name="图片 72" descr="1712651007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1712651007087"/>
                    <pic:cNvPicPr>
                      <a:picLocks noChangeAspect="1"/>
                    </pic:cNvPicPr>
                  </pic:nvPicPr>
                  <pic:blipFill>
                    <a:blip r:embed="rId55"/>
                    <a:stretch>
                      <a:fillRect/>
                    </a:stretch>
                  </pic:blipFill>
                  <pic:spPr>
                    <a:xfrm>
                      <a:off x="0" y="0"/>
                      <a:ext cx="4943475" cy="4733925"/>
                    </a:xfrm>
                    <a:prstGeom prst="rect">
                      <a:avLst/>
                    </a:prstGeom>
                  </pic:spPr>
                </pic:pic>
              </a:graphicData>
            </a:graphic>
          </wp:inline>
        </w:drawing>
      </w:r>
      <w:bookmarkStart w:id="4881" w:name="_GoBack"/>
      <w:bookmarkEnd w:id="4881"/>
    </w:p>
    <w:sectPr>
      <w:headerReference r:id="rId14" w:type="default"/>
      <w:footerReference r:id="rId15" w:type="default"/>
      <w:pgSz w:w="11906" w:h="16838"/>
      <w:pgMar w:top="1417" w:right="1417" w:bottom="1587" w:left="1417" w:header="851" w:footer="1020"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C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Consolas">
    <w:panose1 w:val="020B0609020204030204"/>
    <w:charset w:val="00"/>
    <w:family w:val="modern"/>
    <w:pitch w:val="default"/>
    <w:sig w:usb0="E00006FF" w:usb1="0000FCFF" w:usb2="00000001" w:usb3="00000000" w:csb0="6000019F" w:csb1="DFD70000"/>
  </w:font>
  <w:font w:name="仿宋">
    <w:panose1 w:val="02010609060101010101"/>
    <w:charset w:val="86"/>
    <w:family w:val="modern"/>
    <w:pitch w:val="default"/>
    <w:sig w:usb0="800002BF" w:usb1="38CF7CFA" w:usb2="00000016" w:usb3="00000000" w:csb0="00040001" w:csb1="00000000"/>
  </w:font>
  <w:font w:name="宋体-18030">
    <w:altName w:val="SimSun-ExtB"/>
    <w:panose1 w:val="00000000000000000000"/>
    <w:charset w:val="86"/>
    <w:family w:val="modern"/>
    <w:pitch w:val="default"/>
    <w:sig w:usb0="00000000" w:usb1="00000000" w:usb2="000A005E" w:usb3="00000000" w:csb0="00040001"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F3">
    <w:altName w:val="宋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MS PGothic">
    <w:panose1 w:val="020B0600070205080204"/>
    <w:charset w:val="80"/>
    <w:family w:val="auto"/>
    <w:pitch w:val="default"/>
    <w:sig w:usb0="E00002FF" w:usb1="6AC7FDFB" w:usb2="08000012" w:usb3="00000000" w:csb0="4002009F" w:csb1="DFD70000"/>
  </w:font>
  <w:font w:name="SimSun-ExtB">
    <w:panose1 w:val="02010609060101010101"/>
    <w:charset w:val="86"/>
    <w:family w:val="auto"/>
    <w:pitch w:val="default"/>
    <w:sig w:usb0="00000001" w:usb1="02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p>
    <w:pPr>
      <w:ind w:firstLine="5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p>
    <w:pPr>
      <w:ind w:firstLine="5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0" w:firstLineChars="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tabs>
        <w:tab w:val="center" w:pos="4592"/>
        <w:tab w:val="clear" w:pos="4153"/>
      </w:tabs>
      <w:spacing w:line="240" w:lineRule="auto"/>
      <w:ind w:firstLine="0" w:firstLineChars="0"/>
      <w:rPr>
        <w:sz w:val="21"/>
        <w:szCs w:val="21"/>
      </w:rPr>
    </w:pPr>
    <w:r>
      <w:rPr>
        <w:sz w:val="21"/>
      </w:rPr>
      <w:pict>
        <v:shape id="Text Box 23" o:spid="_x0000_s1026" o:spt="202" type="#_x0000_t202" style="position:absolute;left:0pt;margin-top:0pt;height:18.3pt;width:20.25pt;mso-position-horizontal:center;mso-position-horizontal-relative:margin;mso-wrap-style:none;z-index:251661312;mso-width-relative:page;mso-height-relative:page;" filled="f" stroked="f" coordsize="21600,21600" o:gfxdata="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hD4t3RAAAAAwEAAA8AAAAAAAAAAQAgAAAAIgAAAGRycy9kb3ducmV2Lnht&#10;bFBLAQIUABQAAAAIAIdO4kCU4R7YAAIAABEEAAAOAAAAAAAAAAEAIAAAACABAABkcnMvZTJvRG9j&#10;LnhtbFBLBQYAAAAABgAGAFkBAACSBQAAAAA=&#10;">
          <v:path/>
          <v:fill on="f" focussize="0,0"/>
          <v:stroke on="f" joinstyle="miter"/>
          <v:imagedata o:title=""/>
          <o:lock v:ext="edit"/>
          <v:textbox inset="0mm,0mm,0mm,0mm" style="mso-fit-shape-to-text:t;">
            <w:txbxContent>
              <w:p>
                <w:pPr>
                  <w:pStyle w:val="21"/>
                  <w:ind w:firstLine="360"/>
                </w:pPr>
                <w:r>
                  <w:fldChar w:fldCharType="begin"/>
                </w:r>
                <w:r>
                  <w:instrText xml:space="preserve"> PAGE  \* MERGEFORMAT </w:instrText>
                </w:r>
                <w:r>
                  <w:fldChar w:fldCharType="separate"/>
                </w:r>
                <w:r>
                  <w:t>III</w:t>
                </w:r>
                <w:r>
                  <w:fldChar w:fldCharType="end"/>
                </w:r>
              </w:p>
            </w:txbxContent>
          </v:textbox>
        </v:shape>
      </w:pict>
    </w:r>
    <w:r>
      <w:rPr>
        <w:rFonts w:hint="eastAsia"/>
        <w:sz w:val="21"/>
        <w:szCs w:val="21"/>
      </w:rPr>
      <w:t>昭通市鼎安科技有限公司</w:t>
    </w:r>
    <w:r>
      <w:rPr>
        <w:rFonts w:hint="eastAsia"/>
        <w:sz w:val="21"/>
        <w:szCs w:val="21"/>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spacing w:line="240" w:lineRule="auto"/>
      <w:ind w:firstLine="0" w:firstLineChars="0"/>
      <w:rPr>
        <w:sz w:val="21"/>
        <w:szCs w:val="21"/>
      </w:rPr>
    </w:pPr>
    <w:r>
      <w:rPr>
        <w:sz w:val="21"/>
      </w:rPr>
      <w:pict>
        <v:shape id="Text Box 16" o:spid="_x0000_s1030" o:spt="202" type="#_x0000_t202" style="position:absolute;left:0pt;margin-top:0pt;height:18.3pt;width:25.45pt;mso-position-horizontal:center;mso-position-horizontal-relative:margin;mso-wrap-style:none;z-index:251660288;mso-width-relative:page;mso-height-relative:page;" filled="f" stroked="f" coordsize="21600,21600" o:gfxdata="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MnJh3RAAAAAwEAAA8AAAAAAAAAAQAgAAAAIgAAAGRycy9kb3ducmV2Lnht&#10;bFBLAQIUABQAAAAIAIdO4kAcyxH7AAIAABEEAAAOAAAAAAAAAAEAIAAAACABAABkcnMvZTJvRG9j&#10;LnhtbFBLBQYAAAAABgAGAFkBAACSBQAAAAA=&#10;">
          <v:path/>
          <v:fill on="f" focussize="0,0"/>
          <v:stroke on="f" joinstyle="miter"/>
          <v:imagedata o:title=""/>
          <o:lock v:ext="edit"/>
          <v:textbox inset="0mm,0mm,0mm,0mm" style="mso-fit-shape-to-text:t;">
            <w:txbxContent>
              <w:p>
                <w:pPr>
                  <w:pStyle w:val="21"/>
                  <w:ind w:firstLine="360"/>
                  <w:jc w:val="center"/>
                </w:pPr>
                <w:r>
                  <w:fldChar w:fldCharType="begin"/>
                </w:r>
                <w:r>
                  <w:instrText xml:space="preserve"> PAGE  \* MERGEFORMAT </w:instrText>
                </w:r>
                <w:r>
                  <w:fldChar w:fldCharType="separate"/>
                </w:r>
                <w:r>
                  <w:t>XII</w:t>
                </w:r>
                <w:r>
                  <w:fldChar w:fldCharType="end"/>
                </w:r>
              </w:p>
            </w:txbxContent>
          </v:textbox>
        </v:shape>
      </w:pict>
    </w:r>
    <w:r>
      <w:rPr>
        <w:rFonts w:hint="eastAsia"/>
        <w:sz w:val="21"/>
        <w:szCs w:val="21"/>
      </w:rPr>
      <w:t>昭通市鼎安科技有限公司</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spacing w:line="240" w:lineRule="auto"/>
      <w:ind w:firstLine="0" w:firstLineChars="0"/>
      <w:rPr>
        <w:sz w:val="21"/>
        <w:szCs w:val="21"/>
      </w:rPr>
    </w:pPr>
    <w:r>
      <w:rPr>
        <w:sz w:val="21"/>
      </w:rPr>
      <w:pict>
        <v:shape id="Text Box 25" o:spid="_x0000_s1028" o:spt="202" type="#_x0000_t202" style="position:absolute;left:0pt;margin-left:205.05pt;margin-top:0pt;height:18.65pt;width:85.4pt;mso-position-horizontal-relative:margin;z-index:251662336;mso-width-relative:page;mso-height-relative:page;" filled="f" stroked="f" coordsize="21600,21600" o:gfxdata="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85QpNYAAAAHAQAADwAAAAAAAAABACAAAAAiAAAAZHJzL2Rv&#10;d25yZXYueG1sUEsBAhQAFAAAAAgAh07iQAw0OAUDAgAAFAQAAA4AAAAAAAAAAQAgAAAAJQEAAGRy&#10;cy9lMm9Eb2MueG1sUEsFBgAAAAAGAAYAWQEAAJoFAAAAAA==&#10;">
          <v:path/>
          <v:fill on="f" focussize="0,0"/>
          <v:stroke on="f" joinstyle="miter"/>
          <v:imagedata o:title=""/>
          <o:lock v:ext="edit"/>
          <v:textbox inset="0mm,0mm,0mm,0mm">
            <w:txbxContent>
              <w:p>
                <w:pPr>
                  <w:pStyle w:val="21"/>
                  <w:ind w:firstLine="360"/>
                </w:pPr>
                <w:r>
                  <w:fldChar w:fldCharType="begin"/>
                </w:r>
                <w:r>
                  <w:instrText xml:space="preserve"> PAGE  \* MERGEFORMAT </w:instrText>
                </w:r>
                <w:r>
                  <w:fldChar w:fldCharType="separate"/>
                </w:r>
                <w:r>
                  <w:t>345</w:t>
                </w:r>
                <w:r>
                  <w:fldChar w:fldCharType="end"/>
                </w:r>
              </w:p>
            </w:txbxContent>
          </v:textbox>
        </v:shape>
      </w:pict>
    </w:r>
    <w:r>
      <w:rPr>
        <w:sz w:val="21"/>
      </w:rPr>
      <w:pict>
        <v:shape id="文本框 11" o:spid="_x0000_s1027" o:spt="202" type="#_x0000_t202" style="position:absolute;left:0pt;margin-top:0pt;height:24.15pt;width:37.05pt;mso-position-horizontal:center;mso-position-horizontal-relative:margin;mso-wrap-style:none;z-index:251659264;mso-width-relative:page;mso-height-relative:page;" filled="f" stroked="f" coordsize="21600,21600" o:gfxdata="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2zvZt0gAAAAMBAAAPAAAAAAAAAAEAIAAAACIAAABkcnMvZG93bnJldi54bWxQ&#10;SwECFAAUAAAACACHTuJAaUPsVzYCAABjBAAADgAAAAAAAAABACAAAAAhAQAAZHJzL2Uyb0RvYy54&#10;bWxQSwUGAAAAAAYABgBZAQAAyQUAAAAA&#10;">
          <v:path/>
          <v:fill on="f" focussize="0,0"/>
          <v:stroke on="f" weight="0.5pt" joinstyle="miter"/>
          <v:imagedata o:title=""/>
          <o:lock v:ext="edit"/>
          <v:textbox inset="0mm,0mm,0mm,0mm" style="mso-fit-shape-to-text:t;">
            <w:txbxContent>
              <w:p>
                <w:pPr>
                  <w:ind w:firstLine="560"/>
                </w:pPr>
              </w:p>
            </w:txbxContent>
          </v:textbox>
        </v:shape>
      </w:pict>
    </w:r>
    <w:r>
      <w:rPr>
        <w:rFonts w:hint="eastAsia"/>
        <w:sz w:val="21"/>
        <w:szCs w:val="21"/>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p>
    <w:pPr>
      <w:ind w:firstLine="5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p>
    <w:pPr>
      <w:ind w:firstLine="5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line="240" w:lineRule="auto"/>
      <w:ind w:firstLine="0" w:firstLineChars="0"/>
      <w:rPr>
        <w:bCs/>
        <w:kern w:val="3"/>
        <w:sz w:val="21"/>
        <w:szCs w:val="21"/>
      </w:rPr>
    </w:pPr>
    <w:r>
      <w:rPr>
        <w:rFonts w:hint="eastAsia"/>
        <w:bCs/>
        <w:kern w:val="3"/>
        <w:sz w:val="21"/>
        <w:szCs w:val="21"/>
      </w:rPr>
      <w:t>漾濞县跃进化工有限责任公司12万t/a硫酸生产装置</w:t>
    </w:r>
    <w:r>
      <w:rPr>
        <w:bCs/>
        <w:kern w:val="3"/>
        <w:sz w:val="21"/>
        <w:szCs w:val="21"/>
      </w:rPr>
      <w:t>安全</w:t>
    </w:r>
    <w:r>
      <w:rPr>
        <w:rFonts w:hint="eastAsia"/>
        <w:bCs/>
        <w:kern w:val="3"/>
        <w:sz w:val="21"/>
        <w:szCs w:val="21"/>
      </w:rPr>
      <w:t>现状</w:t>
    </w:r>
    <w:r>
      <w:rPr>
        <w:bCs/>
        <w:kern w:val="3"/>
        <w:sz w:val="21"/>
        <w:szCs w:val="21"/>
      </w:rPr>
      <w:t>评价报</w:t>
    </w:r>
    <w:r>
      <w:rPr>
        <w:rFonts w:hint="eastAsia"/>
        <w:bCs/>
        <w:kern w:val="3"/>
        <w:sz w:val="21"/>
        <w:szCs w:val="21"/>
      </w:rPr>
      <w:t>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line="240" w:lineRule="auto"/>
      <w:ind w:firstLine="0" w:firstLineChars="0"/>
      <w:rPr>
        <w:rFonts w:ascii="宋体" w:hAnsi="宋体" w:cs="宋体"/>
      </w:rPr>
    </w:pPr>
    <w:r>
      <w:rPr>
        <w:rFonts w:hint="eastAsia" w:ascii="宋体" w:hAnsi="宋体"/>
        <w:color w:val="000000" w:themeColor="text1"/>
        <w:szCs w:val="20"/>
      </w:rPr>
      <w:t>漾濞县跃进化工有限责任公司12万t/a硫酸生产装置</w:t>
    </w:r>
    <w:r>
      <w:rPr>
        <w:rFonts w:hint="eastAsia" w:ascii="宋体" w:hAnsi="宋体" w:cs="宋体"/>
        <w:bCs/>
        <w:kern w:val="3"/>
      </w:rPr>
      <w:t>安全现状评价报告</w:t>
    </w:r>
  </w:p>
  <w:p>
    <w:pPr>
      <w:pStyle w:val="22"/>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836D3B"/>
    <w:multiLevelType w:val="multilevel"/>
    <w:tmpl w:val="6A836D3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0"/>
  <w:bordersDoNotSurroundFooter w:val="0"/>
  <w:hideSpellingErrors/>
  <w:documentProtection w:enforcement="0"/>
  <w:defaultTabStop w:val="0"/>
  <w:drawingGridHorizontalSpacing w:val="280"/>
  <w:drawingGridVerticalSpacing w:val="-794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YyMmYxN2E3MzAyNzc3YmRmMjM4Y2NhZDNkODVjOWYifQ=="/>
    <w:docVar w:name="KSO_WPS_MARK_KEY" w:val="08982369-bab3-40b0-bcc5-f4f603939ba5"/>
  </w:docVars>
  <w:rsids>
    <w:rsidRoot w:val="00172A27"/>
    <w:rsid w:val="000045D9"/>
    <w:rsid w:val="0000672C"/>
    <w:rsid w:val="000067BC"/>
    <w:rsid w:val="00007E3E"/>
    <w:rsid w:val="000132C9"/>
    <w:rsid w:val="0001455D"/>
    <w:rsid w:val="00014DF5"/>
    <w:rsid w:val="000162E1"/>
    <w:rsid w:val="000163F2"/>
    <w:rsid w:val="00021F34"/>
    <w:rsid w:val="00023F5D"/>
    <w:rsid w:val="00024862"/>
    <w:rsid w:val="000376E0"/>
    <w:rsid w:val="00041D68"/>
    <w:rsid w:val="00043A8E"/>
    <w:rsid w:val="000453AD"/>
    <w:rsid w:val="00045937"/>
    <w:rsid w:val="00052B38"/>
    <w:rsid w:val="00053969"/>
    <w:rsid w:val="000544B7"/>
    <w:rsid w:val="0006018A"/>
    <w:rsid w:val="00060CB8"/>
    <w:rsid w:val="0006146F"/>
    <w:rsid w:val="000617CF"/>
    <w:rsid w:val="00061C47"/>
    <w:rsid w:val="000633B3"/>
    <w:rsid w:val="000752EB"/>
    <w:rsid w:val="0007545B"/>
    <w:rsid w:val="00075E29"/>
    <w:rsid w:val="000770BA"/>
    <w:rsid w:val="00077575"/>
    <w:rsid w:val="000840AA"/>
    <w:rsid w:val="0008594A"/>
    <w:rsid w:val="000906D9"/>
    <w:rsid w:val="00090FA8"/>
    <w:rsid w:val="000920A1"/>
    <w:rsid w:val="00097F36"/>
    <w:rsid w:val="000A3D78"/>
    <w:rsid w:val="000A4861"/>
    <w:rsid w:val="000A7A05"/>
    <w:rsid w:val="000B0DE7"/>
    <w:rsid w:val="000B5B84"/>
    <w:rsid w:val="000C08F3"/>
    <w:rsid w:val="000C496E"/>
    <w:rsid w:val="000C505B"/>
    <w:rsid w:val="000C6064"/>
    <w:rsid w:val="000C6EF4"/>
    <w:rsid w:val="000C7C07"/>
    <w:rsid w:val="000D1ECB"/>
    <w:rsid w:val="000D4D69"/>
    <w:rsid w:val="000D7674"/>
    <w:rsid w:val="000E4CCA"/>
    <w:rsid w:val="000F0860"/>
    <w:rsid w:val="000F0DE5"/>
    <w:rsid w:val="000F1C90"/>
    <w:rsid w:val="000F2663"/>
    <w:rsid w:val="000F483B"/>
    <w:rsid w:val="000F4B5A"/>
    <w:rsid w:val="000F5698"/>
    <w:rsid w:val="00104AEB"/>
    <w:rsid w:val="001063A5"/>
    <w:rsid w:val="00110161"/>
    <w:rsid w:val="001105AA"/>
    <w:rsid w:val="00111B3F"/>
    <w:rsid w:val="00112361"/>
    <w:rsid w:val="001149D8"/>
    <w:rsid w:val="00115110"/>
    <w:rsid w:val="00117390"/>
    <w:rsid w:val="00124C66"/>
    <w:rsid w:val="001265E2"/>
    <w:rsid w:val="00126776"/>
    <w:rsid w:val="00131133"/>
    <w:rsid w:val="00131223"/>
    <w:rsid w:val="00132E4B"/>
    <w:rsid w:val="00133E7D"/>
    <w:rsid w:val="00141B3D"/>
    <w:rsid w:val="00142F26"/>
    <w:rsid w:val="00146DE0"/>
    <w:rsid w:val="00151027"/>
    <w:rsid w:val="00152813"/>
    <w:rsid w:val="00162D0B"/>
    <w:rsid w:val="00164794"/>
    <w:rsid w:val="001663EC"/>
    <w:rsid w:val="00170918"/>
    <w:rsid w:val="001715AF"/>
    <w:rsid w:val="00172A27"/>
    <w:rsid w:val="00172C3A"/>
    <w:rsid w:val="00174155"/>
    <w:rsid w:val="00175C8F"/>
    <w:rsid w:val="00176485"/>
    <w:rsid w:val="0018425F"/>
    <w:rsid w:val="001848EE"/>
    <w:rsid w:val="00187AC6"/>
    <w:rsid w:val="001903B4"/>
    <w:rsid w:val="00190797"/>
    <w:rsid w:val="001921DA"/>
    <w:rsid w:val="00196748"/>
    <w:rsid w:val="00197C5E"/>
    <w:rsid w:val="001A190E"/>
    <w:rsid w:val="001A65C2"/>
    <w:rsid w:val="001B030A"/>
    <w:rsid w:val="001B2CDA"/>
    <w:rsid w:val="001B359D"/>
    <w:rsid w:val="001B4E6D"/>
    <w:rsid w:val="001C0946"/>
    <w:rsid w:val="001C1A5C"/>
    <w:rsid w:val="001C3B61"/>
    <w:rsid w:val="001C4881"/>
    <w:rsid w:val="001D5FAA"/>
    <w:rsid w:val="001D7C54"/>
    <w:rsid w:val="001E1335"/>
    <w:rsid w:val="001E4C7A"/>
    <w:rsid w:val="001E6850"/>
    <w:rsid w:val="001F52D5"/>
    <w:rsid w:val="0020500E"/>
    <w:rsid w:val="00210B1A"/>
    <w:rsid w:val="00220A78"/>
    <w:rsid w:val="002210D5"/>
    <w:rsid w:val="00221BCF"/>
    <w:rsid w:val="00224784"/>
    <w:rsid w:val="00225FB3"/>
    <w:rsid w:val="00230580"/>
    <w:rsid w:val="002313E2"/>
    <w:rsid w:val="0023211A"/>
    <w:rsid w:val="00232F7D"/>
    <w:rsid w:val="00233855"/>
    <w:rsid w:val="00237FF4"/>
    <w:rsid w:val="00252F5A"/>
    <w:rsid w:val="00254353"/>
    <w:rsid w:val="002549D3"/>
    <w:rsid w:val="00255684"/>
    <w:rsid w:val="00262BAF"/>
    <w:rsid w:val="00262FFE"/>
    <w:rsid w:val="00265BE6"/>
    <w:rsid w:val="00267279"/>
    <w:rsid w:val="002728DB"/>
    <w:rsid w:val="00273F0B"/>
    <w:rsid w:val="00273F16"/>
    <w:rsid w:val="0028173B"/>
    <w:rsid w:val="002861AF"/>
    <w:rsid w:val="002915EF"/>
    <w:rsid w:val="0029278F"/>
    <w:rsid w:val="00294392"/>
    <w:rsid w:val="002957BB"/>
    <w:rsid w:val="0029745B"/>
    <w:rsid w:val="002A0DE4"/>
    <w:rsid w:val="002A2C32"/>
    <w:rsid w:val="002A5D00"/>
    <w:rsid w:val="002A64ED"/>
    <w:rsid w:val="002A6B8D"/>
    <w:rsid w:val="002A78D4"/>
    <w:rsid w:val="002B270A"/>
    <w:rsid w:val="002B4721"/>
    <w:rsid w:val="002B632C"/>
    <w:rsid w:val="002B6E79"/>
    <w:rsid w:val="002B7792"/>
    <w:rsid w:val="002C1B5C"/>
    <w:rsid w:val="002C353F"/>
    <w:rsid w:val="002C3BFA"/>
    <w:rsid w:val="002C549A"/>
    <w:rsid w:val="002C56B4"/>
    <w:rsid w:val="002C7CA0"/>
    <w:rsid w:val="002D00BD"/>
    <w:rsid w:val="002D023A"/>
    <w:rsid w:val="002D269C"/>
    <w:rsid w:val="002D2C12"/>
    <w:rsid w:val="002E3570"/>
    <w:rsid w:val="002E6850"/>
    <w:rsid w:val="002E6FC6"/>
    <w:rsid w:val="002F22DA"/>
    <w:rsid w:val="002F6C74"/>
    <w:rsid w:val="002F768A"/>
    <w:rsid w:val="003002E6"/>
    <w:rsid w:val="00304F51"/>
    <w:rsid w:val="00307C05"/>
    <w:rsid w:val="00307D5E"/>
    <w:rsid w:val="00314D30"/>
    <w:rsid w:val="0031522A"/>
    <w:rsid w:val="00321FEA"/>
    <w:rsid w:val="0032209B"/>
    <w:rsid w:val="003234D5"/>
    <w:rsid w:val="00323F56"/>
    <w:rsid w:val="003254D5"/>
    <w:rsid w:val="0032661F"/>
    <w:rsid w:val="00327A94"/>
    <w:rsid w:val="00331C24"/>
    <w:rsid w:val="00333D58"/>
    <w:rsid w:val="003342DE"/>
    <w:rsid w:val="00336BCE"/>
    <w:rsid w:val="00341084"/>
    <w:rsid w:val="00342D65"/>
    <w:rsid w:val="00344B22"/>
    <w:rsid w:val="00345934"/>
    <w:rsid w:val="00345D67"/>
    <w:rsid w:val="00346388"/>
    <w:rsid w:val="003518AE"/>
    <w:rsid w:val="003524C9"/>
    <w:rsid w:val="0035275B"/>
    <w:rsid w:val="00353613"/>
    <w:rsid w:val="00355535"/>
    <w:rsid w:val="00365080"/>
    <w:rsid w:val="0036711C"/>
    <w:rsid w:val="00370352"/>
    <w:rsid w:val="0037073E"/>
    <w:rsid w:val="00370972"/>
    <w:rsid w:val="00374D87"/>
    <w:rsid w:val="003750E3"/>
    <w:rsid w:val="00376226"/>
    <w:rsid w:val="003769F1"/>
    <w:rsid w:val="00380306"/>
    <w:rsid w:val="00383896"/>
    <w:rsid w:val="00384F51"/>
    <w:rsid w:val="00393901"/>
    <w:rsid w:val="0039512C"/>
    <w:rsid w:val="0039549E"/>
    <w:rsid w:val="003A2035"/>
    <w:rsid w:val="003A768C"/>
    <w:rsid w:val="003B14F3"/>
    <w:rsid w:val="003B32C8"/>
    <w:rsid w:val="003B46BC"/>
    <w:rsid w:val="003B4B5F"/>
    <w:rsid w:val="003B6A1A"/>
    <w:rsid w:val="003C2C80"/>
    <w:rsid w:val="003C7B61"/>
    <w:rsid w:val="003D6CAF"/>
    <w:rsid w:val="003D7939"/>
    <w:rsid w:val="003E40B3"/>
    <w:rsid w:val="003E6FFF"/>
    <w:rsid w:val="003F0A37"/>
    <w:rsid w:val="003F21EA"/>
    <w:rsid w:val="003F2AD4"/>
    <w:rsid w:val="003F34E1"/>
    <w:rsid w:val="003F4C1F"/>
    <w:rsid w:val="003F5278"/>
    <w:rsid w:val="003F53BA"/>
    <w:rsid w:val="00403C38"/>
    <w:rsid w:val="00404661"/>
    <w:rsid w:val="00405531"/>
    <w:rsid w:val="004063E4"/>
    <w:rsid w:val="004065A8"/>
    <w:rsid w:val="00407382"/>
    <w:rsid w:val="00413321"/>
    <w:rsid w:val="00421DC8"/>
    <w:rsid w:val="004228EC"/>
    <w:rsid w:val="00423E26"/>
    <w:rsid w:val="0042492E"/>
    <w:rsid w:val="00430551"/>
    <w:rsid w:val="00430A9A"/>
    <w:rsid w:val="00430B01"/>
    <w:rsid w:val="004328BC"/>
    <w:rsid w:val="00435754"/>
    <w:rsid w:val="00435894"/>
    <w:rsid w:val="00435F59"/>
    <w:rsid w:val="004372F7"/>
    <w:rsid w:val="00443C95"/>
    <w:rsid w:val="00447270"/>
    <w:rsid w:val="0044755E"/>
    <w:rsid w:val="004479A8"/>
    <w:rsid w:val="00447BE1"/>
    <w:rsid w:val="004505FB"/>
    <w:rsid w:val="00453022"/>
    <w:rsid w:val="004533FC"/>
    <w:rsid w:val="004578F4"/>
    <w:rsid w:val="004605A1"/>
    <w:rsid w:val="00460B53"/>
    <w:rsid w:val="004637C8"/>
    <w:rsid w:val="0046520E"/>
    <w:rsid w:val="00472D54"/>
    <w:rsid w:val="004733BE"/>
    <w:rsid w:val="00487CF7"/>
    <w:rsid w:val="004900F9"/>
    <w:rsid w:val="00490EE6"/>
    <w:rsid w:val="00490FA0"/>
    <w:rsid w:val="00492644"/>
    <w:rsid w:val="0049469E"/>
    <w:rsid w:val="00495EA0"/>
    <w:rsid w:val="00496881"/>
    <w:rsid w:val="004A09DD"/>
    <w:rsid w:val="004A4C8F"/>
    <w:rsid w:val="004A5182"/>
    <w:rsid w:val="004A6358"/>
    <w:rsid w:val="004B225A"/>
    <w:rsid w:val="004B2B75"/>
    <w:rsid w:val="004B2C81"/>
    <w:rsid w:val="004B6284"/>
    <w:rsid w:val="004B6601"/>
    <w:rsid w:val="004B6CA5"/>
    <w:rsid w:val="004C0AFB"/>
    <w:rsid w:val="004C13F1"/>
    <w:rsid w:val="004D44AF"/>
    <w:rsid w:val="004D44F7"/>
    <w:rsid w:val="004D4EE3"/>
    <w:rsid w:val="004D7953"/>
    <w:rsid w:val="004E43B5"/>
    <w:rsid w:val="004E5C06"/>
    <w:rsid w:val="004E6CC5"/>
    <w:rsid w:val="004F2753"/>
    <w:rsid w:val="004F2F66"/>
    <w:rsid w:val="004F595C"/>
    <w:rsid w:val="004F6854"/>
    <w:rsid w:val="004F725E"/>
    <w:rsid w:val="00501CD1"/>
    <w:rsid w:val="005023C7"/>
    <w:rsid w:val="00507396"/>
    <w:rsid w:val="00511A4B"/>
    <w:rsid w:val="0051574F"/>
    <w:rsid w:val="00517B42"/>
    <w:rsid w:val="00517D7E"/>
    <w:rsid w:val="00527E4C"/>
    <w:rsid w:val="00530689"/>
    <w:rsid w:val="00530DEB"/>
    <w:rsid w:val="00531600"/>
    <w:rsid w:val="00536AC6"/>
    <w:rsid w:val="00537EF5"/>
    <w:rsid w:val="005425B4"/>
    <w:rsid w:val="00543479"/>
    <w:rsid w:val="0054388F"/>
    <w:rsid w:val="00543BF5"/>
    <w:rsid w:val="00544BEA"/>
    <w:rsid w:val="00551CD9"/>
    <w:rsid w:val="00552D1A"/>
    <w:rsid w:val="00554336"/>
    <w:rsid w:val="005544D4"/>
    <w:rsid w:val="0055567B"/>
    <w:rsid w:val="005558B9"/>
    <w:rsid w:val="00557680"/>
    <w:rsid w:val="0056259B"/>
    <w:rsid w:val="0056522A"/>
    <w:rsid w:val="00566A41"/>
    <w:rsid w:val="00566DF2"/>
    <w:rsid w:val="005679BB"/>
    <w:rsid w:val="0057483B"/>
    <w:rsid w:val="00580056"/>
    <w:rsid w:val="005820E6"/>
    <w:rsid w:val="005855A2"/>
    <w:rsid w:val="00585846"/>
    <w:rsid w:val="00591269"/>
    <w:rsid w:val="005916F3"/>
    <w:rsid w:val="00593626"/>
    <w:rsid w:val="005944B2"/>
    <w:rsid w:val="005A0DFA"/>
    <w:rsid w:val="005A2A54"/>
    <w:rsid w:val="005A2C06"/>
    <w:rsid w:val="005A4D52"/>
    <w:rsid w:val="005A631D"/>
    <w:rsid w:val="005A6563"/>
    <w:rsid w:val="005A68B2"/>
    <w:rsid w:val="005A7B36"/>
    <w:rsid w:val="005A7BFD"/>
    <w:rsid w:val="005B0FD0"/>
    <w:rsid w:val="005B2DC0"/>
    <w:rsid w:val="005B2E7F"/>
    <w:rsid w:val="005B6594"/>
    <w:rsid w:val="005B6898"/>
    <w:rsid w:val="005B7E60"/>
    <w:rsid w:val="005C7925"/>
    <w:rsid w:val="005D01D8"/>
    <w:rsid w:val="005D225F"/>
    <w:rsid w:val="005E3FFC"/>
    <w:rsid w:val="005F42B9"/>
    <w:rsid w:val="005F4939"/>
    <w:rsid w:val="005F5A08"/>
    <w:rsid w:val="005F5C22"/>
    <w:rsid w:val="005F788B"/>
    <w:rsid w:val="006000D6"/>
    <w:rsid w:val="00606321"/>
    <w:rsid w:val="006073A8"/>
    <w:rsid w:val="006079C9"/>
    <w:rsid w:val="0061263A"/>
    <w:rsid w:val="006140FC"/>
    <w:rsid w:val="00614EB3"/>
    <w:rsid w:val="00615B44"/>
    <w:rsid w:val="006162D6"/>
    <w:rsid w:val="006165B3"/>
    <w:rsid w:val="00617B37"/>
    <w:rsid w:val="0062099A"/>
    <w:rsid w:val="00621C3E"/>
    <w:rsid w:val="0062260B"/>
    <w:rsid w:val="00622C69"/>
    <w:rsid w:val="006247A6"/>
    <w:rsid w:val="006262CD"/>
    <w:rsid w:val="00626DC4"/>
    <w:rsid w:val="006308FC"/>
    <w:rsid w:val="00632040"/>
    <w:rsid w:val="006333F7"/>
    <w:rsid w:val="006346D3"/>
    <w:rsid w:val="00641A95"/>
    <w:rsid w:val="00642FC8"/>
    <w:rsid w:val="00645D83"/>
    <w:rsid w:val="00645FCB"/>
    <w:rsid w:val="006465C7"/>
    <w:rsid w:val="006465D7"/>
    <w:rsid w:val="006504CC"/>
    <w:rsid w:val="00650F0A"/>
    <w:rsid w:val="00653129"/>
    <w:rsid w:val="006533F8"/>
    <w:rsid w:val="00656752"/>
    <w:rsid w:val="00656936"/>
    <w:rsid w:val="006603E9"/>
    <w:rsid w:val="00661C97"/>
    <w:rsid w:val="006620D2"/>
    <w:rsid w:val="0066673C"/>
    <w:rsid w:val="00670AE1"/>
    <w:rsid w:val="00671B0C"/>
    <w:rsid w:val="00672693"/>
    <w:rsid w:val="00672D2F"/>
    <w:rsid w:val="00676C39"/>
    <w:rsid w:val="0068151E"/>
    <w:rsid w:val="0068304E"/>
    <w:rsid w:val="006839A0"/>
    <w:rsid w:val="00683BC3"/>
    <w:rsid w:val="00685E55"/>
    <w:rsid w:val="00685F45"/>
    <w:rsid w:val="006876CC"/>
    <w:rsid w:val="0069493C"/>
    <w:rsid w:val="006A1E7D"/>
    <w:rsid w:val="006A20F0"/>
    <w:rsid w:val="006A3533"/>
    <w:rsid w:val="006A7FB8"/>
    <w:rsid w:val="006B14B2"/>
    <w:rsid w:val="006B5703"/>
    <w:rsid w:val="006B629D"/>
    <w:rsid w:val="006B7D80"/>
    <w:rsid w:val="006D0045"/>
    <w:rsid w:val="006D17B5"/>
    <w:rsid w:val="006D1D75"/>
    <w:rsid w:val="006D29E5"/>
    <w:rsid w:val="006D3270"/>
    <w:rsid w:val="006D41A6"/>
    <w:rsid w:val="006D4753"/>
    <w:rsid w:val="006D63F3"/>
    <w:rsid w:val="006E28C6"/>
    <w:rsid w:val="006E36C8"/>
    <w:rsid w:val="006E69A4"/>
    <w:rsid w:val="006F0F32"/>
    <w:rsid w:val="006F1E8A"/>
    <w:rsid w:val="006F4C3C"/>
    <w:rsid w:val="006F4DBD"/>
    <w:rsid w:val="00704F3A"/>
    <w:rsid w:val="00705091"/>
    <w:rsid w:val="00705D78"/>
    <w:rsid w:val="00706169"/>
    <w:rsid w:val="00710771"/>
    <w:rsid w:val="0071087E"/>
    <w:rsid w:val="00711402"/>
    <w:rsid w:val="007121F8"/>
    <w:rsid w:val="007154E0"/>
    <w:rsid w:val="007165B7"/>
    <w:rsid w:val="00722754"/>
    <w:rsid w:val="00723A17"/>
    <w:rsid w:val="0072539A"/>
    <w:rsid w:val="007272E7"/>
    <w:rsid w:val="00731628"/>
    <w:rsid w:val="00731764"/>
    <w:rsid w:val="00741174"/>
    <w:rsid w:val="00747BFB"/>
    <w:rsid w:val="00762017"/>
    <w:rsid w:val="00762963"/>
    <w:rsid w:val="00765CD4"/>
    <w:rsid w:val="00767021"/>
    <w:rsid w:val="00767147"/>
    <w:rsid w:val="0076747D"/>
    <w:rsid w:val="007700FA"/>
    <w:rsid w:val="00771D08"/>
    <w:rsid w:val="00771FDF"/>
    <w:rsid w:val="0077292A"/>
    <w:rsid w:val="00776219"/>
    <w:rsid w:val="00776BBA"/>
    <w:rsid w:val="00776DB5"/>
    <w:rsid w:val="00777A77"/>
    <w:rsid w:val="007822D7"/>
    <w:rsid w:val="00790329"/>
    <w:rsid w:val="007906F3"/>
    <w:rsid w:val="0079275A"/>
    <w:rsid w:val="0079313C"/>
    <w:rsid w:val="0079708A"/>
    <w:rsid w:val="007A3CC5"/>
    <w:rsid w:val="007A45AE"/>
    <w:rsid w:val="007A51FC"/>
    <w:rsid w:val="007A5E32"/>
    <w:rsid w:val="007A7AC2"/>
    <w:rsid w:val="007B03F7"/>
    <w:rsid w:val="007B043A"/>
    <w:rsid w:val="007B1059"/>
    <w:rsid w:val="007B5F8E"/>
    <w:rsid w:val="007B732D"/>
    <w:rsid w:val="007C286A"/>
    <w:rsid w:val="007C4A21"/>
    <w:rsid w:val="007C78B5"/>
    <w:rsid w:val="007D1D27"/>
    <w:rsid w:val="007D4EFE"/>
    <w:rsid w:val="007E374A"/>
    <w:rsid w:val="007E395D"/>
    <w:rsid w:val="007F131D"/>
    <w:rsid w:val="007F351B"/>
    <w:rsid w:val="00800005"/>
    <w:rsid w:val="00800238"/>
    <w:rsid w:val="00804998"/>
    <w:rsid w:val="00806173"/>
    <w:rsid w:val="008075F6"/>
    <w:rsid w:val="00811614"/>
    <w:rsid w:val="00812240"/>
    <w:rsid w:val="0082170C"/>
    <w:rsid w:val="008221F4"/>
    <w:rsid w:val="00822C15"/>
    <w:rsid w:val="00824899"/>
    <w:rsid w:val="00824974"/>
    <w:rsid w:val="00825D22"/>
    <w:rsid w:val="00830924"/>
    <w:rsid w:val="00831228"/>
    <w:rsid w:val="00836241"/>
    <w:rsid w:val="0084100C"/>
    <w:rsid w:val="00843E92"/>
    <w:rsid w:val="008473A0"/>
    <w:rsid w:val="00850702"/>
    <w:rsid w:val="008530AB"/>
    <w:rsid w:val="008537D9"/>
    <w:rsid w:val="008566E5"/>
    <w:rsid w:val="0085742D"/>
    <w:rsid w:val="00857E65"/>
    <w:rsid w:val="008606D7"/>
    <w:rsid w:val="008619D7"/>
    <w:rsid w:val="00861F47"/>
    <w:rsid w:val="00870682"/>
    <w:rsid w:val="008719D5"/>
    <w:rsid w:val="00871DBA"/>
    <w:rsid w:val="00874558"/>
    <w:rsid w:val="0087756C"/>
    <w:rsid w:val="008812E3"/>
    <w:rsid w:val="00886985"/>
    <w:rsid w:val="00892342"/>
    <w:rsid w:val="008970BD"/>
    <w:rsid w:val="008978DD"/>
    <w:rsid w:val="008A2C81"/>
    <w:rsid w:val="008A759C"/>
    <w:rsid w:val="008B145E"/>
    <w:rsid w:val="008B2ABD"/>
    <w:rsid w:val="008B3917"/>
    <w:rsid w:val="008B55D4"/>
    <w:rsid w:val="008B75F2"/>
    <w:rsid w:val="008C03D3"/>
    <w:rsid w:val="008C065D"/>
    <w:rsid w:val="008C262D"/>
    <w:rsid w:val="008C60C1"/>
    <w:rsid w:val="008D0184"/>
    <w:rsid w:val="008D40B3"/>
    <w:rsid w:val="008D43BD"/>
    <w:rsid w:val="008D5231"/>
    <w:rsid w:val="008D5823"/>
    <w:rsid w:val="008E1FF1"/>
    <w:rsid w:val="008E35AA"/>
    <w:rsid w:val="008E557B"/>
    <w:rsid w:val="008E56F6"/>
    <w:rsid w:val="008E5955"/>
    <w:rsid w:val="008E5EDC"/>
    <w:rsid w:val="008E6017"/>
    <w:rsid w:val="008F6290"/>
    <w:rsid w:val="008F7978"/>
    <w:rsid w:val="009004E8"/>
    <w:rsid w:val="00900DAF"/>
    <w:rsid w:val="009056A4"/>
    <w:rsid w:val="00915942"/>
    <w:rsid w:val="0091713F"/>
    <w:rsid w:val="009174A3"/>
    <w:rsid w:val="00917C1B"/>
    <w:rsid w:val="00920856"/>
    <w:rsid w:val="00923B2F"/>
    <w:rsid w:val="009242E3"/>
    <w:rsid w:val="009245F5"/>
    <w:rsid w:val="00925D49"/>
    <w:rsid w:val="00925ED1"/>
    <w:rsid w:val="009269F2"/>
    <w:rsid w:val="00931967"/>
    <w:rsid w:val="00932376"/>
    <w:rsid w:val="00932865"/>
    <w:rsid w:val="00940FA0"/>
    <w:rsid w:val="009429EC"/>
    <w:rsid w:val="0094416F"/>
    <w:rsid w:val="009450BA"/>
    <w:rsid w:val="00946EE2"/>
    <w:rsid w:val="00952435"/>
    <w:rsid w:val="00954CEE"/>
    <w:rsid w:val="0096000A"/>
    <w:rsid w:val="00963985"/>
    <w:rsid w:val="0096687B"/>
    <w:rsid w:val="00966AE9"/>
    <w:rsid w:val="0097057C"/>
    <w:rsid w:val="00972671"/>
    <w:rsid w:val="009733CF"/>
    <w:rsid w:val="009736AD"/>
    <w:rsid w:val="00980259"/>
    <w:rsid w:val="0098092B"/>
    <w:rsid w:val="009835A7"/>
    <w:rsid w:val="00990826"/>
    <w:rsid w:val="00990A3D"/>
    <w:rsid w:val="00992DF3"/>
    <w:rsid w:val="0099339D"/>
    <w:rsid w:val="009946AC"/>
    <w:rsid w:val="00994AFF"/>
    <w:rsid w:val="00996252"/>
    <w:rsid w:val="009A03C6"/>
    <w:rsid w:val="009A0834"/>
    <w:rsid w:val="009A3710"/>
    <w:rsid w:val="009A4423"/>
    <w:rsid w:val="009A4732"/>
    <w:rsid w:val="009A487D"/>
    <w:rsid w:val="009A5AF5"/>
    <w:rsid w:val="009A7A78"/>
    <w:rsid w:val="009B1E0C"/>
    <w:rsid w:val="009B2122"/>
    <w:rsid w:val="009B4763"/>
    <w:rsid w:val="009C0154"/>
    <w:rsid w:val="009D194D"/>
    <w:rsid w:val="009D2FC9"/>
    <w:rsid w:val="009D314E"/>
    <w:rsid w:val="009D4D41"/>
    <w:rsid w:val="009D7536"/>
    <w:rsid w:val="009E793C"/>
    <w:rsid w:val="009F155F"/>
    <w:rsid w:val="009F2A11"/>
    <w:rsid w:val="009F3FE0"/>
    <w:rsid w:val="009F6E7B"/>
    <w:rsid w:val="00A014D5"/>
    <w:rsid w:val="00A04387"/>
    <w:rsid w:val="00A062D2"/>
    <w:rsid w:val="00A138C9"/>
    <w:rsid w:val="00A14E5F"/>
    <w:rsid w:val="00A150DF"/>
    <w:rsid w:val="00A16E0B"/>
    <w:rsid w:val="00A1727D"/>
    <w:rsid w:val="00A17391"/>
    <w:rsid w:val="00A20FA5"/>
    <w:rsid w:val="00A221CE"/>
    <w:rsid w:val="00A22CEC"/>
    <w:rsid w:val="00A250A0"/>
    <w:rsid w:val="00A33170"/>
    <w:rsid w:val="00A346E3"/>
    <w:rsid w:val="00A377AE"/>
    <w:rsid w:val="00A37DA6"/>
    <w:rsid w:val="00A41459"/>
    <w:rsid w:val="00A42103"/>
    <w:rsid w:val="00A42F44"/>
    <w:rsid w:val="00A462E1"/>
    <w:rsid w:val="00A51C22"/>
    <w:rsid w:val="00A54343"/>
    <w:rsid w:val="00A552F7"/>
    <w:rsid w:val="00A55C6D"/>
    <w:rsid w:val="00A55E04"/>
    <w:rsid w:val="00A570E5"/>
    <w:rsid w:val="00A578B3"/>
    <w:rsid w:val="00A60C1E"/>
    <w:rsid w:val="00A61F6B"/>
    <w:rsid w:val="00A6459E"/>
    <w:rsid w:val="00A66BE6"/>
    <w:rsid w:val="00A71766"/>
    <w:rsid w:val="00A77010"/>
    <w:rsid w:val="00A858C7"/>
    <w:rsid w:val="00A86268"/>
    <w:rsid w:val="00A87088"/>
    <w:rsid w:val="00A87406"/>
    <w:rsid w:val="00A935FB"/>
    <w:rsid w:val="00A95845"/>
    <w:rsid w:val="00A97014"/>
    <w:rsid w:val="00AA16AA"/>
    <w:rsid w:val="00AA27E8"/>
    <w:rsid w:val="00AA2913"/>
    <w:rsid w:val="00AA6F62"/>
    <w:rsid w:val="00AB438D"/>
    <w:rsid w:val="00AB5679"/>
    <w:rsid w:val="00AB6698"/>
    <w:rsid w:val="00AC13D8"/>
    <w:rsid w:val="00AC2064"/>
    <w:rsid w:val="00AC29D9"/>
    <w:rsid w:val="00AC46A3"/>
    <w:rsid w:val="00AC4719"/>
    <w:rsid w:val="00AC50C4"/>
    <w:rsid w:val="00AC6C24"/>
    <w:rsid w:val="00AD5613"/>
    <w:rsid w:val="00AD5F7C"/>
    <w:rsid w:val="00AE16E8"/>
    <w:rsid w:val="00AE7EFC"/>
    <w:rsid w:val="00AF0B0A"/>
    <w:rsid w:val="00AF447A"/>
    <w:rsid w:val="00AF5E2F"/>
    <w:rsid w:val="00B016FA"/>
    <w:rsid w:val="00B02294"/>
    <w:rsid w:val="00B03F54"/>
    <w:rsid w:val="00B067E5"/>
    <w:rsid w:val="00B078CC"/>
    <w:rsid w:val="00B12DF8"/>
    <w:rsid w:val="00B12E60"/>
    <w:rsid w:val="00B1472B"/>
    <w:rsid w:val="00B14AF3"/>
    <w:rsid w:val="00B163DC"/>
    <w:rsid w:val="00B1706A"/>
    <w:rsid w:val="00B210D6"/>
    <w:rsid w:val="00B2115F"/>
    <w:rsid w:val="00B2359A"/>
    <w:rsid w:val="00B33C1E"/>
    <w:rsid w:val="00B40B86"/>
    <w:rsid w:val="00B410D1"/>
    <w:rsid w:val="00B41110"/>
    <w:rsid w:val="00B4351F"/>
    <w:rsid w:val="00B436B6"/>
    <w:rsid w:val="00B453A5"/>
    <w:rsid w:val="00B46BF8"/>
    <w:rsid w:val="00B47C1C"/>
    <w:rsid w:val="00B504B1"/>
    <w:rsid w:val="00B530E4"/>
    <w:rsid w:val="00B53332"/>
    <w:rsid w:val="00B6260D"/>
    <w:rsid w:val="00B63D6D"/>
    <w:rsid w:val="00B641CB"/>
    <w:rsid w:val="00B654C2"/>
    <w:rsid w:val="00B701F0"/>
    <w:rsid w:val="00B70BF7"/>
    <w:rsid w:val="00B73913"/>
    <w:rsid w:val="00B76CA9"/>
    <w:rsid w:val="00B808B2"/>
    <w:rsid w:val="00B81F98"/>
    <w:rsid w:val="00B847EC"/>
    <w:rsid w:val="00B84C56"/>
    <w:rsid w:val="00B84CEF"/>
    <w:rsid w:val="00B86D4F"/>
    <w:rsid w:val="00B86E81"/>
    <w:rsid w:val="00B935B2"/>
    <w:rsid w:val="00B950F2"/>
    <w:rsid w:val="00B95F86"/>
    <w:rsid w:val="00BA09BD"/>
    <w:rsid w:val="00BB0338"/>
    <w:rsid w:val="00BB03F9"/>
    <w:rsid w:val="00BB1B48"/>
    <w:rsid w:val="00BB288E"/>
    <w:rsid w:val="00BB7802"/>
    <w:rsid w:val="00BC313C"/>
    <w:rsid w:val="00BC349D"/>
    <w:rsid w:val="00BD0088"/>
    <w:rsid w:val="00BD2102"/>
    <w:rsid w:val="00BD4B37"/>
    <w:rsid w:val="00BD6AC4"/>
    <w:rsid w:val="00BD768D"/>
    <w:rsid w:val="00BE066F"/>
    <w:rsid w:val="00BE6980"/>
    <w:rsid w:val="00BE7768"/>
    <w:rsid w:val="00BE7A80"/>
    <w:rsid w:val="00BF156C"/>
    <w:rsid w:val="00BF330A"/>
    <w:rsid w:val="00BF37FF"/>
    <w:rsid w:val="00BF3E05"/>
    <w:rsid w:val="00BF3F75"/>
    <w:rsid w:val="00BF45B5"/>
    <w:rsid w:val="00BF589D"/>
    <w:rsid w:val="00C03F63"/>
    <w:rsid w:val="00C05CCF"/>
    <w:rsid w:val="00C07BC3"/>
    <w:rsid w:val="00C1110E"/>
    <w:rsid w:val="00C11409"/>
    <w:rsid w:val="00C11699"/>
    <w:rsid w:val="00C12A7A"/>
    <w:rsid w:val="00C169B7"/>
    <w:rsid w:val="00C20815"/>
    <w:rsid w:val="00C20B68"/>
    <w:rsid w:val="00C20DB1"/>
    <w:rsid w:val="00C2234F"/>
    <w:rsid w:val="00C22A8E"/>
    <w:rsid w:val="00C23EC4"/>
    <w:rsid w:val="00C24098"/>
    <w:rsid w:val="00C269AB"/>
    <w:rsid w:val="00C3075D"/>
    <w:rsid w:val="00C319CE"/>
    <w:rsid w:val="00C32EBE"/>
    <w:rsid w:val="00C33C67"/>
    <w:rsid w:val="00C35A81"/>
    <w:rsid w:val="00C3615C"/>
    <w:rsid w:val="00C36C69"/>
    <w:rsid w:val="00C41B82"/>
    <w:rsid w:val="00C41CAB"/>
    <w:rsid w:val="00C4262F"/>
    <w:rsid w:val="00C43567"/>
    <w:rsid w:val="00C472DC"/>
    <w:rsid w:val="00C47B0C"/>
    <w:rsid w:val="00C52CC0"/>
    <w:rsid w:val="00C541F2"/>
    <w:rsid w:val="00C552D1"/>
    <w:rsid w:val="00C57506"/>
    <w:rsid w:val="00C57E28"/>
    <w:rsid w:val="00C655A7"/>
    <w:rsid w:val="00C66A60"/>
    <w:rsid w:val="00C70D23"/>
    <w:rsid w:val="00C75D82"/>
    <w:rsid w:val="00C7668D"/>
    <w:rsid w:val="00C8051D"/>
    <w:rsid w:val="00C806D4"/>
    <w:rsid w:val="00C817DF"/>
    <w:rsid w:val="00C839C0"/>
    <w:rsid w:val="00C83F57"/>
    <w:rsid w:val="00C8549E"/>
    <w:rsid w:val="00C87E35"/>
    <w:rsid w:val="00C90BFD"/>
    <w:rsid w:val="00C91869"/>
    <w:rsid w:val="00C92006"/>
    <w:rsid w:val="00C95D3B"/>
    <w:rsid w:val="00C96C58"/>
    <w:rsid w:val="00C9700C"/>
    <w:rsid w:val="00CA07DD"/>
    <w:rsid w:val="00CA12AE"/>
    <w:rsid w:val="00CA42C0"/>
    <w:rsid w:val="00CA6B9B"/>
    <w:rsid w:val="00CB1E1A"/>
    <w:rsid w:val="00CB2A1F"/>
    <w:rsid w:val="00CB389D"/>
    <w:rsid w:val="00CB51C0"/>
    <w:rsid w:val="00CB6793"/>
    <w:rsid w:val="00CB71D8"/>
    <w:rsid w:val="00CC0A70"/>
    <w:rsid w:val="00CC0DD0"/>
    <w:rsid w:val="00CC0E80"/>
    <w:rsid w:val="00CC20BF"/>
    <w:rsid w:val="00CD57F5"/>
    <w:rsid w:val="00CD5968"/>
    <w:rsid w:val="00CD73BB"/>
    <w:rsid w:val="00CE3F9C"/>
    <w:rsid w:val="00CE45F9"/>
    <w:rsid w:val="00CE6337"/>
    <w:rsid w:val="00CE6919"/>
    <w:rsid w:val="00CF009E"/>
    <w:rsid w:val="00CF0A76"/>
    <w:rsid w:val="00CF2B05"/>
    <w:rsid w:val="00CF5B47"/>
    <w:rsid w:val="00CF750B"/>
    <w:rsid w:val="00D0279A"/>
    <w:rsid w:val="00D05442"/>
    <w:rsid w:val="00D05562"/>
    <w:rsid w:val="00D061F4"/>
    <w:rsid w:val="00D06D22"/>
    <w:rsid w:val="00D12519"/>
    <w:rsid w:val="00D15AFD"/>
    <w:rsid w:val="00D16B35"/>
    <w:rsid w:val="00D22429"/>
    <w:rsid w:val="00D248B4"/>
    <w:rsid w:val="00D25E05"/>
    <w:rsid w:val="00D329F5"/>
    <w:rsid w:val="00D35FC5"/>
    <w:rsid w:val="00D41913"/>
    <w:rsid w:val="00D44954"/>
    <w:rsid w:val="00D47918"/>
    <w:rsid w:val="00D5202F"/>
    <w:rsid w:val="00D5232B"/>
    <w:rsid w:val="00D5698D"/>
    <w:rsid w:val="00D63ED4"/>
    <w:rsid w:val="00D6478E"/>
    <w:rsid w:val="00D648E7"/>
    <w:rsid w:val="00D67743"/>
    <w:rsid w:val="00D718C3"/>
    <w:rsid w:val="00D71D02"/>
    <w:rsid w:val="00D7212E"/>
    <w:rsid w:val="00D72467"/>
    <w:rsid w:val="00D75370"/>
    <w:rsid w:val="00D7641E"/>
    <w:rsid w:val="00D80747"/>
    <w:rsid w:val="00D80E3E"/>
    <w:rsid w:val="00D83CC5"/>
    <w:rsid w:val="00D85318"/>
    <w:rsid w:val="00D8550A"/>
    <w:rsid w:val="00D87CA8"/>
    <w:rsid w:val="00D90D00"/>
    <w:rsid w:val="00D919CC"/>
    <w:rsid w:val="00D95437"/>
    <w:rsid w:val="00D978DC"/>
    <w:rsid w:val="00DA2CF4"/>
    <w:rsid w:val="00DA3417"/>
    <w:rsid w:val="00DA3E78"/>
    <w:rsid w:val="00DA3F20"/>
    <w:rsid w:val="00DA77DC"/>
    <w:rsid w:val="00DB6763"/>
    <w:rsid w:val="00DC34BD"/>
    <w:rsid w:val="00DC3E72"/>
    <w:rsid w:val="00DC75D1"/>
    <w:rsid w:val="00DC7635"/>
    <w:rsid w:val="00DC7BC5"/>
    <w:rsid w:val="00DC7BDF"/>
    <w:rsid w:val="00DD0AA1"/>
    <w:rsid w:val="00DD17FB"/>
    <w:rsid w:val="00DD187F"/>
    <w:rsid w:val="00DD7D49"/>
    <w:rsid w:val="00DE3770"/>
    <w:rsid w:val="00DE5CEB"/>
    <w:rsid w:val="00DE6EE5"/>
    <w:rsid w:val="00DF2265"/>
    <w:rsid w:val="00DF452E"/>
    <w:rsid w:val="00DF4D4C"/>
    <w:rsid w:val="00DF7413"/>
    <w:rsid w:val="00DF7668"/>
    <w:rsid w:val="00E00A46"/>
    <w:rsid w:val="00E05EB3"/>
    <w:rsid w:val="00E068E9"/>
    <w:rsid w:val="00E11C18"/>
    <w:rsid w:val="00E142B3"/>
    <w:rsid w:val="00E17A68"/>
    <w:rsid w:val="00E17B2F"/>
    <w:rsid w:val="00E20C43"/>
    <w:rsid w:val="00E21AFF"/>
    <w:rsid w:val="00E21E7E"/>
    <w:rsid w:val="00E25DA7"/>
    <w:rsid w:val="00E276C3"/>
    <w:rsid w:val="00E27767"/>
    <w:rsid w:val="00E27FCA"/>
    <w:rsid w:val="00E405ED"/>
    <w:rsid w:val="00E43831"/>
    <w:rsid w:val="00E45A16"/>
    <w:rsid w:val="00E53CAD"/>
    <w:rsid w:val="00E557B6"/>
    <w:rsid w:val="00E6039B"/>
    <w:rsid w:val="00E65ABE"/>
    <w:rsid w:val="00E67CB4"/>
    <w:rsid w:val="00E713B0"/>
    <w:rsid w:val="00E742B4"/>
    <w:rsid w:val="00E76BBD"/>
    <w:rsid w:val="00E81546"/>
    <w:rsid w:val="00E817F0"/>
    <w:rsid w:val="00E82EDE"/>
    <w:rsid w:val="00E901F1"/>
    <w:rsid w:val="00E9085D"/>
    <w:rsid w:val="00E92452"/>
    <w:rsid w:val="00E95228"/>
    <w:rsid w:val="00EA1B1D"/>
    <w:rsid w:val="00EA20E8"/>
    <w:rsid w:val="00EA45CC"/>
    <w:rsid w:val="00EA4E59"/>
    <w:rsid w:val="00EA5F1F"/>
    <w:rsid w:val="00EA6929"/>
    <w:rsid w:val="00EB0194"/>
    <w:rsid w:val="00EB0AB6"/>
    <w:rsid w:val="00EB30A4"/>
    <w:rsid w:val="00EB334B"/>
    <w:rsid w:val="00EB6319"/>
    <w:rsid w:val="00EC382B"/>
    <w:rsid w:val="00EC3990"/>
    <w:rsid w:val="00EC4BAC"/>
    <w:rsid w:val="00EC4E83"/>
    <w:rsid w:val="00EC63A4"/>
    <w:rsid w:val="00EC640F"/>
    <w:rsid w:val="00ED0D47"/>
    <w:rsid w:val="00ED38C5"/>
    <w:rsid w:val="00ED5E6A"/>
    <w:rsid w:val="00ED6DC8"/>
    <w:rsid w:val="00ED70A2"/>
    <w:rsid w:val="00EE3602"/>
    <w:rsid w:val="00EE6501"/>
    <w:rsid w:val="00EE67C0"/>
    <w:rsid w:val="00EF04B0"/>
    <w:rsid w:val="00EF0937"/>
    <w:rsid w:val="00EF42E2"/>
    <w:rsid w:val="00F043D7"/>
    <w:rsid w:val="00F062ED"/>
    <w:rsid w:val="00F10363"/>
    <w:rsid w:val="00F115C5"/>
    <w:rsid w:val="00F11AD1"/>
    <w:rsid w:val="00F12482"/>
    <w:rsid w:val="00F16B32"/>
    <w:rsid w:val="00F2224E"/>
    <w:rsid w:val="00F2290C"/>
    <w:rsid w:val="00F2428E"/>
    <w:rsid w:val="00F24EB8"/>
    <w:rsid w:val="00F2513D"/>
    <w:rsid w:val="00F26B1A"/>
    <w:rsid w:val="00F31A6F"/>
    <w:rsid w:val="00F331B9"/>
    <w:rsid w:val="00F40072"/>
    <w:rsid w:val="00F44B0D"/>
    <w:rsid w:val="00F50A36"/>
    <w:rsid w:val="00F53DD5"/>
    <w:rsid w:val="00F55484"/>
    <w:rsid w:val="00F56F01"/>
    <w:rsid w:val="00F61085"/>
    <w:rsid w:val="00F6204A"/>
    <w:rsid w:val="00F63648"/>
    <w:rsid w:val="00F706D3"/>
    <w:rsid w:val="00F7127B"/>
    <w:rsid w:val="00F71D90"/>
    <w:rsid w:val="00F71F11"/>
    <w:rsid w:val="00F73FA8"/>
    <w:rsid w:val="00F749FF"/>
    <w:rsid w:val="00F74FBD"/>
    <w:rsid w:val="00F75B40"/>
    <w:rsid w:val="00F77D81"/>
    <w:rsid w:val="00F83AC2"/>
    <w:rsid w:val="00F8719C"/>
    <w:rsid w:val="00F90392"/>
    <w:rsid w:val="00F90615"/>
    <w:rsid w:val="00F91ACD"/>
    <w:rsid w:val="00F923ED"/>
    <w:rsid w:val="00F92A72"/>
    <w:rsid w:val="00F934AF"/>
    <w:rsid w:val="00F952A0"/>
    <w:rsid w:val="00F961F3"/>
    <w:rsid w:val="00FA034B"/>
    <w:rsid w:val="00FA15F2"/>
    <w:rsid w:val="00FA25AC"/>
    <w:rsid w:val="00FA5278"/>
    <w:rsid w:val="00FA63F3"/>
    <w:rsid w:val="00FB4149"/>
    <w:rsid w:val="00FC04F0"/>
    <w:rsid w:val="00FC0CD4"/>
    <w:rsid w:val="00FC390A"/>
    <w:rsid w:val="00FD133A"/>
    <w:rsid w:val="00FD6A89"/>
    <w:rsid w:val="00FD7E27"/>
    <w:rsid w:val="00FE38E2"/>
    <w:rsid w:val="00FE3A2B"/>
    <w:rsid w:val="00FE3B1F"/>
    <w:rsid w:val="00FE43B0"/>
    <w:rsid w:val="00FE4CD7"/>
    <w:rsid w:val="00FE6503"/>
    <w:rsid w:val="00FF0A70"/>
    <w:rsid w:val="00FF219C"/>
    <w:rsid w:val="00FF24C7"/>
    <w:rsid w:val="00FF3D6F"/>
    <w:rsid w:val="00FF4BBB"/>
    <w:rsid w:val="0137659F"/>
    <w:rsid w:val="015334C9"/>
    <w:rsid w:val="019B1B6D"/>
    <w:rsid w:val="01AD0CAB"/>
    <w:rsid w:val="01C73531"/>
    <w:rsid w:val="01FC420F"/>
    <w:rsid w:val="0213528E"/>
    <w:rsid w:val="022E3484"/>
    <w:rsid w:val="02463ABF"/>
    <w:rsid w:val="029764B8"/>
    <w:rsid w:val="029E398B"/>
    <w:rsid w:val="02A371B2"/>
    <w:rsid w:val="02AE3B1F"/>
    <w:rsid w:val="02DB21D1"/>
    <w:rsid w:val="02E27D16"/>
    <w:rsid w:val="0326409A"/>
    <w:rsid w:val="03452178"/>
    <w:rsid w:val="034F7102"/>
    <w:rsid w:val="036D5191"/>
    <w:rsid w:val="038742D9"/>
    <w:rsid w:val="03B175EF"/>
    <w:rsid w:val="03D76F34"/>
    <w:rsid w:val="04161C22"/>
    <w:rsid w:val="04895F2E"/>
    <w:rsid w:val="048E18CD"/>
    <w:rsid w:val="04EB2668"/>
    <w:rsid w:val="05072139"/>
    <w:rsid w:val="05157BA2"/>
    <w:rsid w:val="05596E0B"/>
    <w:rsid w:val="05740424"/>
    <w:rsid w:val="05802D47"/>
    <w:rsid w:val="05876ACC"/>
    <w:rsid w:val="05CE0C4F"/>
    <w:rsid w:val="05CF3909"/>
    <w:rsid w:val="05F7326D"/>
    <w:rsid w:val="06215761"/>
    <w:rsid w:val="062C51A3"/>
    <w:rsid w:val="06357A3E"/>
    <w:rsid w:val="067A4160"/>
    <w:rsid w:val="067F73AD"/>
    <w:rsid w:val="0694137C"/>
    <w:rsid w:val="069E5C29"/>
    <w:rsid w:val="06E47C44"/>
    <w:rsid w:val="07394621"/>
    <w:rsid w:val="074975EE"/>
    <w:rsid w:val="081E1B88"/>
    <w:rsid w:val="082F2348"/>
    <w:rsid w:val="083378D0"/>
    <w:rsid w:val="083E7A3A"/>
    <w:rsid w:val="084E71A9"/>
    <w:rsid w:val="085221E4"/>
    <w:rsid w:val="085F26EE"/>
    <w:rsid w:val="087D1CE6"/>
    <w:rsid w:val="08887741"/>
    <w:rsid w:val="08B2657A"/>
    <w:rsid w:val="08C93DE4"/>
    <w:rsid w:val="08D12F8B"/>
    <w:rsid w:val="08E458C1"/>
    <w:rsid w:val="091C1D9B"/>
    <w:rsid w:val="09336848"/>
    <w:rsid w:val="09703606"/>
    <w:rsid w:val="09783D93"/>
    <w:rsid w:val="097A0D9A"/>
    <w:rsid w:val="097E1E1A"/>
    <w:rsid w:val="09B13514"/>
    <w:rsid w:val="09BE0A46"/>
    <w:rsid w:val="09C149CA"/>
    <w:rsid w:val="09C1796A"/>
    <w:rsid w:val="0A0641DF"/>
    <w:rsid w:val="0A0A40C8"/>
    <w:rsid w:val="0A4505E1"/>
    <w:rsid w:val="0A510573"/>
    <w:rsid w:val="0A86407F"/>
    <w:rsid w:val="0AA91AC1"/>
    <w:rsid w:val="0ACF40E5"/>
    <w:rsid w:val="0BA949BA"/>
    <w:rsid w:val="0BB579A6"/>
    <w:rsid w:val="0C071380"/>
    <w:rsid w:val="0C552DD4"/>
    <w:rsid w:val="0C823B38"/>
    <w:rsid w:val="0CB52394"/>
    <w:rsid w:val="0CE46B4A"/>
    <w:rsid w:val="0D002B39"/>
    <w:rsid w:val="0D3E43E7"/>
    <w:rsid w:val="0D3E4E9B"/>
    <w:rsid w:val="0D516DF9"/>
    <w:rsid w:val="0D583AE1"/>
    <w:rsid w:val="0D5A0848"/>
    <w:rsid w:val="0D7D3D80"/>
    <w:rsid w:val="0DE911AC"/>
    <w:rsid w:val="0E057656"/>
    <w:rsid w:val="0E0E2131"/>
    <w:rsid w:val="0E1D01B5"/>
    <w:rsid w:val="0E68490C"/>
    <w:rsid w:val="0EB55A66"/>
    <w:rsid w:val="0ECD15BB"/>
    <w:rsid w:val="0ED4065B"/>
    <w:rsid w:val="0EFD148A"/>
    <w:rsid w:val="0F517A28"/>
    <w:rsid w:val="0F5E6B56"/>
    <w:rsid w:val="0F785254"/>
    <w:rsid w:val="0F902CCD"/>
    <w:rsid w:val="0F9F2315"/>
    <w:rsid w:val="0FBF0571"/>
    <w:rsid w:val="0FD66E76"/>
    <w:rsid w:val="0FFC699B"/>
    <w:rsid w:val="101954C1"/>
    <w:rsid w:val="10296A2B"/>
    <w:rsid w:val="10420CDA"/>
    <w:rsid w:val="106349A8"/>
    <w:rsid w:val="10C23ADD"/>
    <w:rsid w:val="10CC098E"/>
    <w:rsid w:val="10DF403F"/>
    <w:rsid w:val="111354C8"/>
    <w:rsid w:val="11484522"/>
    <w:rsid w:val="11610A06"/>
    <w:rsid w:val="117707CC"/>
    <w:rsid w:val="11862055"/>
    <w:rsid w:val="11D802DE"/>
    <w:rsid w:val="11DE5074"/>
    <w:rsid w:val="11E37225"/>
    <w:rsid w:val="11ED078A"/>
    <w:rsid w:val="122D6FB1"/>
    <w:rsid w:val="12306F94"/>
    <w:rsid w:val="12324185"/>
    <w:rsid w:val="124C2BBB"/>
    <w:rsid w:val="125651B6"/>
    <w:rsid w:val="12761529"/>
    <w:rsid w:val="12AA7B7B"/>
    <w:rsid w:val="12BF2167"/>
    <w:rsid w:val="12C65D7C"/>
    <w:rsid w:val="12C97B2F"/>
    <w:rsid w:val="12DE25D9"/>
    <w:rsid w:val="135875D7"/>
    <w:rsid w:val="13923AD2"/>
    <w:rsid w:val="13BB1DE0"/>
    <w:rsid w:val="13D749A0"/>
    <w:rsid w:val="142C25F0"/>
    <w:rsid w:val="144A2C1F"/>
    <w:rsid w:val="145B30F5"/>
    <w:rsid w:val="145E0AE4"/>
    <w:rsid w:val="148B7D46"/>
    <w:rsid w:val="1495243F"/>
    <w:rsid w:val="14D95BA5"/>
    <w:rsid w:val="14E15AFA"/>
    <w:rsid w:val="152149F8"/>
    <w:rsid w:val="15225950"/>
    <w:rsid w:val="15265CF5"/>
    <w:rsid w:val="1572180A"/>
    <w:rsid w:val="15887CD3"/>
    <w:rsid w:val="15AE7A3F"/>
    <w:rsid w:val="15C77A87"/>
    <w:rsid w:val="15F50C0F"/>
    <w:rsid w:val="161032A9"/>
    <w:rsid w:val="161D0664"/>
    <w:rsid w:val="1624755A"/>
    <w:rsid w:val="16375EFB"/>
    <w:rsid w:val="163D745D"/>
    <w:rsid w:val="164732D5"/>
    <w:rsid w:val="165A3300"/>
    <w:rsid w:val="168004AF"/>
    <w:rsid w:val="16B11567"/>
    <w:rsid w:val="16B625D6"/>
    <w:rsid w:val="1764262E"/>
    <w:rsid w:val="176F247D"/>
    <w:rsid w:val="177D54E6"/>
    <w:rsid w:val="17874562"/>
    <w:rsid w:val="17A07012"/>
    <w:rsid w:val="17B216AA"/>
    <w:rsid w:val="17E22115"/>
    <w:rsid w:val="18064BA8"/>
    <w:rsid w:val="1844637C"/>
    <w:rsid w:val="18893D8F"/>
    <w:rsid w:val="188C5381"/>
    <w:rsid w:val="18AC3C01"/>
    <w:rsid w:val="18B85453"/>
    <w:rsid w:val="18BC47FD"/>
    <w:rsid w:val="1909164A"/>
    <w:rsid w:val="190F1C78"/>
    <w:rsid w:val="192755D0"/>
    <w:rsid w:val="19927F79"/>
    <w:rsid w:val="19CA1792"/>
    <w:rsid w:val="19D0446E"/>
    <w:rsid w:val="1A0F438B"/>
    <w:rsid w:val="1A22421B"/>
    <w:rsid w:val="1A63615E"/>
    <w:rsid w:val="1AD16BE2"/>
    <w:rsid w:val="1AE26521"/>
    <w:rsid w:val="1B06628E"/>
    <w:rsid w:val="1B79109C"/>
    <w:rsid w:val="1BC36C3C"/>
    <w:rsid w:val="1C2F44C9"/>
    <w:rsid w:val="1C505C76"/>
    <w:rsid w:val="1C9A3182"/>
    <w:rsid w:val="1CA5382A"/>
    <w:rsid w:val="1CB60FE5"/>
    <w:rsid w:val="1CBD2138"/>
    <w:rsid w:val="1D022A76"/>
    <w:rsid w:val="1D0D71EF"/>
    <w:rsid w:val="1D2A1193"/>
    <w:rsid w:val="1D2C216B"/>
    <w:rsid w:val="1D6D6EE1"/>
    <w:rsid w:val="1DA914AE"/>
    <w:rsid w:val="1DDC09C2"/>
    <w:rsid w:val="1E013729"/>
    <w:rsid w:val="1E1301CD"/>
    <w:rsid w:val="1E213B1A"/>
    <w:rsid w:val="1E343EE2"/>
    <w:rsid w:val="1E620660"/>
    <w:rsid w:val="1F060B09"/>
    <w:rsid w:val="1F0A1EFD"/>
    <w:rsid w:val="1F2C2360"/>
    <w:rsid w:val="1F3A633D"/>
    <w:rsid w:val="1F4A6332"/>
    <w:rsid w:val="1F5A0379"/>
    <w:rsid w:val="1F5B1E8A"/>
    <w:rsid w:val="1F844ACE"/>
    <w:rsid w:val="1F933745"/>
    <w:rsid w:val="1FC0077F"/>
    <w:rsid w:val="1FFD640C"/>
    <w:rsid w:val="20087C8F"/>
    <w:rsid w:val="20464E1D"/>
    <w:rsid w:val="204D28BD"/>
    <w:rsid w:val="2054616A"/>
    <w:rsid w:val="20594C9A"/>
    <w:rsid w:val="20694209"/>
    <w:rsid w:val="2093443B"/>
    <w:rsid w:val="20A06A5B"/>
    <w:rsid w:val="20E44CA0"/>
    <w:rsid w:val="211251F5"/>
    <w:rsid w:val="21154D5A"/>
    <w:rsid w:val="21731A80"/>
    <w:rsid w:val="21D028FA"/>
    <w:rsid w:val="21DD6EFA"/>
    <w:rsid w:val="21EF6C24"/>
    <w:rsid w:val="220F06DD"/>
    <w:rsid w:val="221C2849"/>
    <w:rsid w:val="22253F09"/>
    <w:rsid w:val="226B16FA"/>
    <w:rsid w:val="22A0630B"/>
    <w:rsid w:val="22B54F47"/>
    <w:rsid w:val="22C23D03"/>
    <w:rsid w:val="235546B0"/>
    <w:rsid w:val="23B4686F"/>
    <w:rsid w:val="23D671EE"/>
    <w:rsid w:val="23FA1D3F"/>
    <w:rsid w:val="2454571E"/>
    <w:rsid w:val="24D92579"/>
    <w:rsid w:val="24DF32EF"/>
    <w:rsid w:val="24E73DF7"/>
    <w:rsid w:val="25081AED"/>
    <w:rsid w:val="252E7A72"/>
    <w:rsid w:val="25B44582"/>
    <w:rsid w:val="25DA55B8"/>
    <w:rsid w:val="25E84F1E"/>
    <w:rsid w:val="26105AEF"/>
    <w:rsid w:val="261E645E"/>
    <w:rsid w:val="262C7835"/>
    <w:rsid w:val="2670658E"/>
    <w:rsid w:val="26716AB0"/>
    <w:rsid w:val="267D0A75"/>
    <w:rsid w:val="267F316C"/>
    <w:rsid w:val="26AA718F"/>
    <w:rsid w:val="26DA2507"/>
    <w:rsid w:val="27036136"/>
    <w:rsid w:val="2766070F"/>
    <w:rsid w:val="27695F9F"/>
    <w:rsid w:val="2789611F"/>
    <w:rsid w:val="27CC08F8"/>
    <w:rsid w:val="27E419B4"/>
    <w:rsid w:val="27E45B68"/>
    <w:rsid w:val="27F05BD9"/>
    <w:rsid w:val="283400AC"/>
    <w:rsid w:val="28351ACB"/>
    <w:rsid w:val="283602B3"/>
    <w:rsid w:val="28477E36"/>
    <w:rsid w:val="28671123"/>
    <w:rsid w:val="2891351D"/>
    <w:rsid w:val="28A47EA8"/>
    <w:rsid w:val="28B00F91"/>
    <w:rsid w:val="28B364A2"/>
    <w:rsid w:val="28F72F97"/>
    <w:rsid w:val="28FB31CE"/>
    <w:rsid w:val="294044CE"/>
    <w:rsid w:val="29546686"/>
    <w:rsid w:val="29583F6E"/>
    <w:rsid w:val="299E1C1A"/>
    <w:rsid w:val="29B165B4"/>
    <w:rsid w:val="2A052FD4"/>
    <w:rsid w:val="2A0E0598"/>
    <w:rsid w:val="2A185859"/>
    <w:rsid w:val="2A376D36"/>
    <w:rsid w:val="2A386D9D"/>
    <w:rsid w:val="2A7B6971"/>
    <w:rsid w:val="2A8252F5"/>
    <w:rsid w:val="2A905451"/>
    <w:rsid w:val="2A9769E6"/>
    <w:rsid w:val="2AE3364E"/>
    <w:rsid w:val="2B0D6D78"/>
    <w:rsid w:val="2B563166"/>
    <w:rsid w:val="2B632E76"/>
    <w:rsid w:val="2B6340F6"/>
    <w:rsid w:val="2B9730E9"/>
    <w:rsid w:val="2C14760E"/>
    <w:rsid w:val="2C157FEC"/>
    <w:rsid w:val="2C646B3B"/>
    <w:rsid w:val="2C6A1786"/>
    <w:rsid w:val="2C9269DA"/>
    <w:rsid w:val="2CAD5E46"/>
    <w:rsid w:val="2CAF5C93"/>
    <w:rsid w:val="2CBF6E53"/>
    <w:rsid w:val="2CC43190"/>
    <w:rsid w:val="2CCF34B2"/>
    <w:rsid w:val="2CE67DB8"/>
    <w:rsid w:val="2D23596E"/>
    <w:rsid w:val="2D2B7FB1"/>
    <w:rsid w:val="2DD33BEA"/>
    <w:rsid w:val="2DF753F3"/>
    <w:rsid w:val="2E263827"/>
    <w:rsid w:val="2E2D5263"/>
    <w:rsid w:val="2E513836"/>
    <w:rsid w:val="2E627140"/>
    <w:rsid w:val="2E7E6A5A"/>
    <w:rsid w:val="2EC41BF2"/>
    <w:rsid w:val="2EDA3ED6"/>
    <w:rsid w:val="2EDB1C96"/>
    <w:rsid w:val="2F335142"/>
    <w:rsid w:val="2F490323"/>
    <w:rsid w:val="2F5E167A"/>
    <w:rsid w:val="2F715E9F"/>
    <w:rsid w:val="2FD72124"/>
    <w:rsid w:val="30D01D12"/>
    <w:rsid w:val="30D53BBD"/>
    <w:rsid w:val="31012C04"/>
    <w:rsid w:val="31142525"/>
    <w:rsid w:val="31483744"/>
    <w:rsid w:val="316D784E"/>
    <w:rsid w:val="31723557"/>
    <w:rsid w:val="31D449D0"/>
    <w:rsid w:val="325952C7"/>
    <w:rsid w:val="32AC24D8"/>
    <w:rsid w:val="32DD3D3F"/>
    <w:rsid w:val="32E10588"/>
    <w:rsid w:val="32FA4BA9"/>
    <w:rsid w:val="330F2495"/>
    <w:rsid w:val="331704BD"/>
    <w:rsid w:val="334D5700"/>
    <w:rsid w:val="335D646E"/>
    <w:rsid w:val="33742515"/>
    <w:rsid w:val="3389284D"/>
    <w:rsid w:val="33EE62FB"/>
    <w:rsid w:val="33F027C8"/>
    <w:rsid w:val="33FF66AE"/>
    <w:rsid w:val="34AB779F"/>
    <w:rsid w:val="34E42621"/>
    <w:rsid w:val="34FA4956"/>
    <w:rsid w:val="34FD1935"/>
    <w:rsid w:val="3523075C"/>
    <w:rsid w:val="354B30DE"/>
    <w:rsid w:val="35511742"/>
    <w:rsid w:val="35522719"/>
    <w:rsid w:val="35814314"/>
    <w:rsid w:val="35970E48"/>
    <w:rsid w:val="35CE0770"/>
    <w:rsid w:val="35DF65E3"/>
    <w:rsid w:val="35EE4B17"/>
    <w:rsid w:val="36813CC6"/>
    <w:rsid w:val="368D2CCB"/>
    <w:rsid w:val="36E7211F"/>
    <w:rsid w:val="37347096"/>
    <w:rsid w:val="37477BDB"/>
    <w:rsid w:val="37534696"/>
    <w:rsid w:val="376936DD"/>
    <w:rsid w:val="3823671E"/>
    <w:rsid w:val="383C4372"/>
    <w:rsid w:val="386D0811"/>
    <w:rsid w:val="38DA75AB"/>
    <w:rsid w:val="3914549F"/>
    <w:rsid w:val="393D176B"/>
    <w:rsid w:val="394762CF"/>
    <w:rsid w:val="396B4D78"/>
    <w:rsid w:val="39727BE4"/>
    <w:rsid w:val="39A6259B"/>
    <w:rsid w:val="39CB0253"/>
    <w:rsid w:val="39D466BC"/>
    <w:rsid w:val="3A0C753E"/>
    <w:rsid w:val="3AF31E77"/>
    <w:rsid w:val="3AFD61EB"/>
    <w:rsid w:val="3B0A0213"/>
    <w:rsid w:val="3B2F187C"/>
    <w:rsid w:val="3B622378"/>
    <w:rsid w:val="3BC60920"/>
    <w:rsid w:val="3BDE3B98"/>
    <w:rsid w:val="3BE93C0B"/>
    <w:rsid w:val="3C4348B5"/>
    <w:rsid w:val="3C7F2B87"/>
    <w:rsid w:val="3CD607F5"/>
    <w:rsid w:val="3CDC194B"/>
    <w:rsid w:val="3CDD62DF"/>
    <w:rsid w:val="3E0456AB"/>
    <w:rsid w:val="3E210442"/>
    <w:rsid w:val="3E351992"/>
    <w:rsid w:val="3E497999"/>
    <w:rsid w:val="3EC219BE"/>
    <w:rsid w:val="3ECE2606"/>
    <w:rsid w:val="3EDD33CB"/>
    <w:rsid w:val="3F7144BD"/>
    <w:rsid w:val="3F782176"/>
    <w:rsid w:val="3F85610C"/>
    <w:rsid w:val="3FDE2142"/>
    <w:rsid w:val="3FFC0435"/>
    <w:rsid w:val="40541616"/>
    <w:rsid w:val="40774C27"/>
    <w:rsid w:val="407C248E"/>
    <w:rsid w:val="407E0F2B"/>
    <w:rsid w:val="408323EF"/>
    <w:rsid w:val="408C0AD5"/>
    <w:rsid w:val="409E221E"/>
    <w:rsid w:val="40BE1D32"/>
    <w:rsid w:val="41517290"/>
    <w:rsid w:val="42442951"/>
    <w:rsid w:val="426E3E72"/>
    <w:rsid w:val="42AF7DD4"/>
    <w:rsid w:val="42C849F8"/>
    <w:rsid w:val="42DF46B3"/>
    <w:rsid w:val="42EB1A12"/>
    <w:rsid w:val="43701287"/>
    <w:rsid w:val="43AE7B35"/>
    <w:rsid w:val="43BB47FB"/>
    <w:rsid w:val="44337740"/>
    <w:rsid w:val="443A1120"/>
    <w:rsid w:val="443A6796"/>
    <w:rsid w:val="444B6D06"/>
    <w:rsid w:val="445A0C15"/>
    <w:rsid w:val="447801E6"/>
    <w:rsid w:val="44802648"/>
    <w:rsid w:val="448F0B5E"/>
    <w:rsid w:val="44A27E03"/>
    <w:rsid w:val="44B11448"/>
    <w:rsid w:val="44E159CF"/>
    <w:rsid w:val="44E6046C"/>
    <w:rsid w:val="44EB4B04"/>
    <w:rsid w:val="44FB6886"/>
    <w:rsid w:val="453D457F"/>
    <w:rsid w:val="45483559"/>
    <w:rsid w:val="45557231"/>
    <w:rsid w:val="456D52CF"/>
    <w:rsid w:val="4570034C"/>
    <w:rsid w:val="45A52CD8"/>
    <w:rsid w:val="45D72D19"/>
    <w:rsid w:val="464B6221"/>
    <w:rsid w:val="46B03CA8"/>
    <w:rsid w:val="46F304F7"/>
    <w:rsid w:val="470F421E"/>
    <w:rsid w:val="4712708C"/>
    <w:rsid w:val="47300ED3"/>
    <w:rsid w:val="479B4674"/>
    <w:rsid w:val="47D84B60"/>
    <w:rsid w:val="47DE73A4"/>
    <w:rsid w:val="4801359D"/>
    <w:rsid w:val="480B2645"/>
    <w:rsid w:val="48AD0B9F"/>
    <w:rsid w:val="48B06AE9"/>
    <w:rsid w:val="48C324D1"/>
    <w:rsid w:val="48FE39E5"/>
    <w:rsid w:val="4919739A"/>
    <w:rsid w:val="493703AF"/>
    <w:rsid w:val="493F5E50"/>
    <w:rsid w:val="49550A5F"/>
    <w:rsid w:val="498D7405"/>
    <w:rsid w:val="49D4280C"/>
    <w:rsid w:val="49E47230"/>
    <w:rsid w:val="4A174E78"/>
    <w:rsid w:val="4A315949"/>
    <w:rsid w:val="4A43603B"/>
    <w:rsid w:val="4A8A3813"/>
    <w:rsid w:val="4AAD5637"/>
    <w:rsid w:val="4B0C07A1"/>
    <w:rsid w:val="4B225EDD"/>
    <w:rsid w:val="4B3901B0"/>
    <w:rsid w:val="4B3E0C8C"/>
    <w:rsid w:val="4B8D0140"/>
    <w:rsid w:val="4BB96379"/>
    <w:rsid w:val="4BDF7FC3"/>
    <w:rsid w:val="4C1A13B7"/>
    <w:rsid w:val="4C2555A1"/>
    <w:rsid w:val="4C411CB0"/>
    <w:rsid w:val="4C7262D2"/>
    <w:rsid w:val="4C903268"/>
    <w:rsid w:val="4CA27D90"/>
    <w:rsid w:val="4CF64455"/>
    <w:rsid w:val="4DC94E1C"/>
    <w:rsid w:val="4DC97008"/>
    <w:rsid w:val="4E2F77AC"/>
    <w:rsid w:val="4E455463"/>
    <w:rsid w:val="4E8923E9"/>
    <w:rsid w:val="4EC1731D"/>
    <w:rsid w:val="4F12003F"/>
    <w:rsid w:val="4F1307D5"/>
    <w:rsid w:val="4F371C8D"/>
    <w:rsid w:val="4F8E6B2F"/>
    <w:rsid w:val="50385EA1"/>
    <w:rsid w:val="50647DD8"/>
    <w:rsid w:val="508A3423"/>
    <w:rsid w:val="50A373DC"/>
    <w:rsid w:val="50AD25A8"/>
    <w:rsid w:val="50B74D8C"/>
    <w:rsid w:val="50B85EFA"/>
    <w:rsid w:val="50F87728"/>
    <w:rsid w:val="5155243B"/>
    <w:rsid w:val="51757C4B"/>
    <w:rsid w:val="517D5B5C"/>
    <w:rsid w:val="518A1021"/>
    <w:rsid w:val="51B92038"/>
    <w:rsid w:val="51F45050"/>
    <w:rsid w:val="52140EE5"/>
    <w:rsid w:val="522022C0"/>
    <w:rsid w:val="522352C6"/>
    <w:rsid w:val="525B350F"/>
    <w:rsid w:val="52886750"/>
    <w:rsid w:val="52AF77D3"/>
    <w:rsid w:val="52EC292D"/>
    <w:rsid w:val="52F43F1F"/>
    <w:rsid w:val="52F636BC"/>
    <w:rsid w:val="5348780F"/>
    <w:rsid w:val="53502299"/>
    <w:rsid w:val="53641748"/>
    <w:rsid w:val="536A211B"/>
    <w:rsid w:val="53A53FF8"/>
    <w:rsid w:val="53B02F92"/>
    <w:rsid w:val="53D63625"/>
    <w:rsid w:val="53EC197D"/>
    <w:rsid w:val="53F81B57"/>
    <w:rsid w:val="53F87569"/>
    <w:rsid w:val="54071E21"/>
    <w:rsid w:val="541D6890"/>
    <w:rsid w:val="542E7A48"/>
    <w:rsid w:val="546B1CB7"/>
    <w:rsid w:val="54754273"/>
    <w:rsid w:val="54871BF4"/>
    <w:rsid w:val="54CF0BBD"/>
    <w:rsid w:val="55074BC5"/>
    <w:rsid w:val="555A3306"/>
    <w:rsid w:val="5567366E"/>
    <w:rsid w:val="556857A4"/>
    <w:rsid w:val="55975D69"/>
    <w:rsid w:val="55B13BDB"/>
    <w:rsid w:val="55C220B3"/>
    <w:rsid w:val="56044770"/>
    <w:rsid w:val="56065296"/>
    <w:rsid w:val="56133F49"/>
    <w:rsid w:val="56314853"/>
    <w:rsid w:val="563D0A12"/>
    <w:rsid w:val="564E0B56"/>
    <w:rsid w:val="565019CA"/>
    <w:rsid w:val="56555344"/>
    <w:rsid w:val="56972E93"/>
    <w:rsid w:val="569A0F45"/>
    <w:rsid w:val="569F233C"/>
    <w:rsid w:val="56D81418"/>
    <w:rsid w:val="575B5275"/>
    <w:rsid w:val="576D288D"/>
    <w:rsid w:val="579721BE"/>
    <w:rsid w:val="57BF7092"/>
    <w:rsid w:val="57E22FDF"/>
    <w:rsid w:val="58306A9F"/>
    <w:rsid w:val="58542B90"/>
    <w:rsid w:val="5874501F"/>
    <w:rsid w:val="58871675"/>
    <w:rsid w:val="590043B0"/>
    <w:rsid w:val="59117612"/>
    <w:rsid w:val="59613991"/>
    <w:rsid w:val="59702F38"/>
    <w:rsid w:val="597B7D0E"/>
    <w:rsid w:val="59C503C4"/>
    <w:rsid w:val="59C510BE"/>
    <w:rsid w:val="5A032094"/>
    <w:rsid w:val="5AF4189E"/>
    <w:rsid w:val="5B2146B7"/>
    <w:rsid w:val="5B44565B"/>
    <w:rsid w:val="5BA10B81"/>
    <w:rsid w:val="5BB751BD"/>
    <w:rsid w:val="5BCB5AAD"/>
    <w:rsid w:val="5C0C1F9E"/>
    <w:rsid w:val="5C2C48EB"/>
    <w:rsid w:val="5C6C74ED"/>
    <w:rsid w:val="5C9A739D"/>
    <w:rsid w:val="5CF42237"/>
    <w:rsid w:val="5D0C147C"/>
    <w:rsid w:val="5D1F42CF"/>
    <w:rsid w:val="5D283106"/>
    <w:rsid w:val="5D745BF0"/>
    <w:rsid w:val="5D7A7F7C"/>
    <w:rsid w:val="5D8030A5"/>
    <w:rsid w:val="5D804D2D"/>
    <w:rsid w:val="5D8E24E9"/>
    <w:rsid w:val="5D9352A1"/>
    <w:rsid w:val="5DA53C27"/>
    <w:rsid w:val="5DC770F6"/>
    <w:rsid w:val="5DD24E50"/>
    <w:rsid w:val="5DFD2AEC"/>
    <w:rsid w:val="5DFE302A"/>
    <w:rsid w:val="5E2C064D"/>
    <w:rsid w:val="5E607C20"/>
    <w:rsid w:val="5E6442C2"/>
    <w:rsid w:val="5E8C3CE0"/>
    <w:rsid w:val="5E8F33E0"/>
    <w:rsid w:val="5EEB68C8"/>
    <w:rsid w:val="5F006EED"/>
    <w:rsid w:val="5F2B7797"/>
    <w:rsid w:val="5F520003"/>
    <w:rsid w:val="5F592028"/>
    <w:rsid w:val="5F703451"/>
    <w:rsid w:val="5F8E0A77"/>
    <w:rsid w:val="5F8E0F70"/>
    <w:rsid w:val="5F9A3C70"/>
    <w:rsid w:val="5FA04CCE"/>
    <w:rsid w:val="5FB6714D"/>
    <w:rsid w:val="5FCF027B"/>
    <w:rsid w:val="5FD636D0"/>
    <w:rsid w:val="5FE546DC"/>
    <w:rsid w:val="5FE64056"/>
    <w:rsid w:val="605215A2"/>
    <w:rsid w:val="606C3DD1"/>
    <w:rsid w:val="607250C6"/>
    <w:rsid w:val="607F080D"/>
    <w:rsid w:val="6104697A"/>
    <w:rsid w:val="61097A32"/>
    <w:rsid w:val="61897F29"/>
    <w:rsid w:val="61BB026E"/>
    <w:rsid w:val="61CE7046"/>
    <w:rsid w:val="61D45C62"/>
    <w:rsid w:val="620C773C"/>
    <w:rsid w:val="62125F22"/>
    <w:rsid w:val="62193B44"/>
    <w:rsid w:val="62640EAB"/>
    <w:rsid w:val="627A21BD"/>
    <w:rsid w:val="627A5E06"/>
    <w:rsid w:val="628D7B5A"/>
    <w:rsid w:val="62953E80"/>
    <w:rsid w:val="62BD26A8"/>
    <w:rsid w:val="62F7703F"/>
    <w:rsid w:val="62F95946"/>
    <w:rsid w:val="62FD2091"/>
    <w:rsid w:val="630F2E44"/>
    <w:rsid w:val="63EF661E"/>
    <w:rsid w:val="64235377"/>
    <w:rsid w:val="6436261C"/>
    <w:rsid w:val="64412D3D"/>
    <w:rsid w:val="644219A8"/>
    <w:rsid w:val="64F51A13"/>
    <w:rsid w:val="65B46E32"/>
    <w:rsid w:val="65C85707"/>
    <w:rsid w:val="65D30F4A"/>
    <w:rsid w:val="65F065A9"/>
    <w:rsid w:val="65F35C48"/>
    <w:rsid w:val="65F67978"/>
    <w:rsid w:val="65FE20EE"/>
    <w:rsid w:val="660217B4"/>
    <w:rsid w:val="66444454"/>
    <w:rsid w:val="66620352"/>
    <w:rsid w:val="668C0EC9"/>
    <w:rsid w:val="66CD0DD8"/>
    <w:rsid w:val="66DA5008"/>
    <w:rsid w:val="66E77112"/>
    <w:rsid w:val="67434A37"/>
    <w:rsid w:val="678269D9"/>
    <w:rsid w:val="67961B57"/>
    <w:rsid w:val="67C57B1C"/>
    <w:rsid w:val="67F01FAF"/>
    <w:rsid w:val="680D77CC"/>
    <w:rsid w:val="6831369E"/>
    <w:rsid w:val="683C7AA3"/>
    <w:rsid w:val="684F4452"/>
    <w:rsid w:val="685F31A0"/>
    <w:rsid w:val="6860521B"/>
    <w:rsid w:val="68672A17"/>
    <w:rsid w:val="68692B4B"/>
    <w:rsid w:val="693D4AE1"/>
    <w:rsid w:val="69456CF1"/>
    <w:rsid w:val="69CE3337"/>
    <w:rsid w:val="69EE108F"/>
    <w:rsid w:val="69FE2589"/>
    <w:rsid w:val="6A1810E4"/>
    <w:rsid w:val="6A2E2D28"/>
    <w:rsid w:val="6A4C758C"/>
    <w:rsid w:val="6A5F5CCB"/>
    <w:rsid w:val="6A885221"/>
    <w:rsid w:val="6A9836A1"/>
    <w:rsid w:val="6AC44964"/>
    <w:rsid w:val="6AE4546E"/>
    <w:rsid w:val="6AEA365D"/>
    <w:rsid w:val="6B264E17"/>
    <w:rsid w:val="6B4F053D"/>
    <w:rsid w:val="6B5812C5"/>
    <w:rsid w:val="6B735C79"/>
    <w:rsid w:val="6B7635C5"/>
    <w:rsid w:val="6BB52E77"/>
    <w:rsid w:val="6BE45604"/>
    <w:rsid w:val="6BE50451"/>
    <w:rsid w:val="6BF80C10"/>
    <w:rsid w:val="6C6770B8"/>
    <w:rsid w:val="6CA33C37"/>
    <w:rsid w:val="6CC60283"/>
    <w:rsid w:val="6CE22D84"/>
    <w:rsid w:val="6D121E3F"/>
    <w:rsid w:val="6D152BEB"/>
    <w:rsid w:val="6D434431"/>
    <w:rsid w:val="6D666D7B"/>
    <w:rsid w:val="6DBF6998"/>
    <w:rsid w:val="6E2A4841"/>
    <w:rsid w:val="6E2C5628"/>
    <w:rsid w:val="6E393B4B"/>
    <w:rsid w:val="6E5B202B"/>
    <w:rsid w:val="6E7431E9"/>
    <w:rsid w:val="6E8E0466"/>
    <w:rsid w:val="6E8F40DC"/>
    <w:rsid w:val="6E9817AB"/>
    <w:rsid w:val="6EA812D3"/>
    <w:rsid w:val="6ECE01AC"/>
    <w:rsid w:val="6EDC1FE0"/>
    <w:rsid w:val="6F172E68"/>
    <w:rsid w:val="6FBE6DF9"/>
    <w:rsid w:val="6FCB6A78"/>
    <w:rsid w:val="6FFE3215"/>
    <w:rsid w:val="704232A8"/>
    <w:rsid w:val="70905FDB"/>
    <w:rsid w:val="7097772E"/>
    <w:rsid w:val="70AA79C1"/>
    <w:rsid w:val="712B1068"/>
    <w:rsid w:val="71537418"/>
    <w:rsid w:val="71566079"/>
    <w:rsid w:val="71950224"/>
    <w:rsid w:val="71AD4849"/>
    <w:rsid w:val="71C4522A"/>
    <w:rsid w:val="722B357C"/>
    <w:rsid w:val="724C2CE1"/>
    <w:rsid w:val="72706158"/>
    <w:rsid w:val="72916C3D"/>
    <w:rsid w:val="730356A9"/>
    <w:rsid w:val="733E19BE"/>
    <w:rsid w:val="733F48EB"/>
    <w:rsid w:val="739A4CCC"/>
    <w:rsid w:val="73A164AE"/>
    <w:rsid w:val="73CE5348"/>
    <w:rsid w:val="73D72D76"/>
    <w:rsid w:val="74441A16"/>
    <w:rsid w:val="746F2FAE"/>
    <w:rsid w:val="74E00A25"/>
    <w:rsid w:val="74EE70DF"/>
    <w:rsid w:val="7576277D"/>
    <w:rsid w:val="75D073C6"/>
    <w:rsid w:val="76155B1D"/>
    <w:rsid w:val="76204C69"/>
    <w:rsid w:val="764D3A7B"/>
    <w:rsid w:val="76826E52"/>
    <w:rsid w:val="76AE22C2"/>
    <w:rsid w:val="76B8550B"/>
    <w:rsid w:val="76D442C8"/>
    <w:rsid w:val="775540C7"/>
    <w:rsid w:val="77DF5765"/>
    <w:rsid w:val="788B7B69"/>
    <w:rsid w:val="78F61EF0"/>
    <w:rsid w:val="7915648F"/>
    <w:rsid w:val="79414954"/>
    <w:rsid w:val="799D76BB"/>
    <w:rsid w:val="79B60B3B"/>
    <w:rsid w:val="7A0D1EB5"/>
    <w:rsid w:val="7A2053AC"/>
    <w:rsid w:val="7A694E90"/>
    <w:rsid w:val="7A6A0CFC"/>
    <w:rsid w:val="7A943E42"/>
    <w:rsid w:val="7A9457ED"/>
    <w:rsid w:val="7AB5589B"/>
    <w:rsid w:val="7AD40992"/>
    <w:rsid w:val="7AF661D7"/>
    <w:rsid w:val="7B291956"/>
    <w:rsid w:val="7B483060"/>
    <w:rsid w:val="7BA2336B"/>
    <w:rsid w:val="7BA6343F"/>
    <w:rsid w:val="7BBE0E7E"/>
    <w:rsid w:val="7BD209F2"/>
    <w:rsid w:val="7BD945C5"/>
    <w:rsid w:val="7C6232FA"/>
    <w:rsid w:val="7CA11A25"/>
    <w:rsid w:val="7CFA3D6A"/>
    <w:rsid w:val="7D11190D"/>
    <w:rsid w:val="7D1A4715"/>
    <w:rsid w:val="7D2E4DCE"/>
    <w:rsid w:val="7D3237C2"/>
    <w:rsid w:val="7D514FC1"/>
    <w:rsid w:val="7DC266CD"/>
    <w:rsid w:val="7E88735D"/>
    <w:rsid w:val="7E8B6C36"/>
    <w:rsid w:val="7EBC562D"/>
    <w:rsid w:val="7ED52422"/>
    <w:rsid w:val="7F0C3E47"/>
    <w:rsid w:val="7F2301A8"/>
    <w:rsid w:val="7F2964B5"/>
    <w:rsid w:val="7F4C286A"/>
    <w:rsid w:val="7F864898"/>
    <w:rsid w:val="7F911EB1"/>
    <w:rsid w:val="7F961D37"/>
    <w:rsid w:val="7FCC37E3"/>
    <w:rsid w:val="7FE00E7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name="List Number"/>
    <w:lsdException w:uiPriority="0" w:name="List 2"/>
    <w:lsdException w:uiPriority="0" w:name="List 3"/>
    <w:lsdException w:unhideWhenUsed="0" w:uiPriority="0" w:name="List 4"/>
    <w:lsdException w:unhideWhenUsed="0"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iPriority="0" w:name="FollowedHyperlink"/>
    <w:lsdException w:qFormat="1" w:unhideWhenUsed="0" w:uiPriority="0" w:semiHidden="0" w:name="Strong"/>
    <w:lsdException w:qFormat="1" w:unhideWhenUsed="0" w:uiPriority="0" w:semiHidden="0" w:name="Emphasis"/>
    <w:lsdException w:qFormat="1"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qFormat="1"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200" w:firstLineChars="200"/>
      <w:jc w:val="both"/>
    </w:pPr>
    <w:rPr>
      <w:rFonts w:ascii="Times New Roman" w:hAnsi="Times New Roman" w:eastAsia="宋体" w:cs="Times New Roman"/>
      <w:color w:val="000000"/>
      <w:kern w:val="2"/>
      <w:sz w:val="28"/>
      <w:szCs w:val="24"/>
      <w:lang w:val="en-US" w:eastAsia="zh-CN" w:bidi="ar-SA"/>
    </w:rPr>
  </w:style>
  <w:style w:type="paragraph" w:styleId="2">
    <w:name w:val="heading 1"/>
    <w:basedOn w:val="1"/>
    <w:next w:val="1"/>
    <w:qFormat/>
    <w:uiPriority w:val="0"/>
    <w:pPr>
      <w:keepNext/>
      <w:keepLines/>
      <w:pageBreakBefore/>
      <w:ind w:firstLine="0" w:firstLineChars="0"/>
      <w:jc w:val="center"/>
      <w:outlineLvl w:val="0"/>
    </w:pPr>
    <w:rPr>
      <w:rFonts w:ascii="黑体" w:hAnsi="黑体" w:eastAsia="黑体"/>
      <w:bCs/>
      <w:kern w:val="44"/>
      <w:sz w:val="32"/>
      <w:szCs w:val="32"/>
    </w:rPr>
  </w:style>
  <w:style w:type="paragraph" w:styleId="3">
    <w:name w:val="heading 2"/>
    <w:basedOn w:val="1"/>
    <w:next w:val="1"/>
    <w:link w:val="55"/>
    <w:qFormat/>
    <w:uiPriority w:val="0"/>
    <w:pPr>
      <w:keepNext/>
      <w:keepLines/>
      <w:outlineLvl w:val="1"/>
    </w:pPr>
    <w:rPr>
      <w:rFonts w:ascii="宋体" w:hAnsi="宋体"/>
      <w:b/>
      <w:bCs/>
      <w:color w:val="auto"/>
      <w:szCs w:val="28"/>
    </w:rPr>
  </w:style>
  <w:style w:type="paragraph" w:styleId="4">
    <w:name w:val="heading 3"/>
    <w:basedOn w:val="1"/>
    <w:next w:val="1"/>
    <w:link w:val="53"/>
    <w:qFormat/>
    <w:uiPriority w:val="0"/>
    <w:pPr>
      <w:keepNext/>
      <w:keepLines/>
      <w:outlineLvl w:val="2"/>
    </w:pPr>
    <w:rPr>
      <w:rFonts w:ascii="宋体" w:hAnsi="宋体"/>
      <w:b/>
      <w:bCs/>
      <w:color w:val="000000" w:themeColor="text1"/>
      <w:szCs w:val="28"/>
    </w:rPr>
  </w:style>
  <w:style w:type="paragraph" w:styleId="5">
    <w:name w:val="heading 4"/>
    <w:basedOn w:val="1"/>
    <w:next w:val="1"/>
    <w:qFormat/>
    <w:uiPriority w:val="0"/>
    <w:pPr>
      <w:keepNext/>
      <w:ind w:firstLine="560"/>
      <w:outlineLvl w:val="3"/>
    </w:pPr>
    <w:rPr>
      <w:rFonts w:ascii="宋体" w:hAnsi="宋体"/>
      <w:b/>
      <w:color w:val="auto"/>
    </w:rPr>
  </w:style>
  <w:style w:type="paragraph" w:styleId="6">
    <w:name w:val="heading 5"/>
    <w:basedOn w:val="1"/>
    <w:next w:val="1"/>
    <w:unhideWhenUsed/>
    <w:qFormat/>
    <w:uiPriority w:val="9"/>
    <w:pPr>
      <w:keepNext/>
      <w:keepLines/>
      <w:kinsoku w:val="0"/>
      <w:autoSpaceDE w:val="0"/>
      <w:autoSpaceDN w:val="0"/>
      <w:spacing w:before="280" w:after="290" w:line="376" w:lineRule="atLeast"/>
      <w:outlineLvl w:val="4"/>
    </w:pPr>
    <w:rPr>
      <w:b/>
      <w:bCs/>
      <w:szCs w:val="28"/>
      <w:lang w:val="zh-CN"/>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1680"/>
      <w:jc w:val="left"/>
    </w:pPr>
    <w:rPr>
      <w:rFonts w:asciiTheme="minorHAnsi" w:hAnsiTheme="minorHAnsi" w:cstheme="minorHAnsi"/>
      <w:sz w:val="18"/>
      <w:szCs w:val="18"/>
    </w:rPr>
  </w:style>
  <w:style w:type="paragraph" w:styleId="8">
    <w:name w:val="Normal Indent"/>
    <w:basedOn w:val="1"/>
    <w:qFormat/>
    <w:uiPriority w:val="0"/>
    <w:pPr>
      <w:ind w:firstLine="420"/>
    </w:pPr>
    <w:rPr>
      <w:rFonts w:ascii="等线" w:hAnsi="等线" w:eastAsia="等线"/>
      <w:color w:val="auto"/>
      <w:sz w:val="21"/>
      <w:szCs w:val="20"/>
    </w:rPr>
  </w:style>
  <w:style w:type="paragraph" w:styleId="9">
    <w:name w:val="caption"/>
    <w:basedOn w:val="1"/>
    <w:next w:val="1"/>
    <w:qFormat/>
    <w:uiPriority w:val="0"/>
    <w:rPr>
      <w:rFonts w:ascii="Arial" w:hAnsi="Arial" w:eastAsia="黑体" w:cs="Arial"/>
      <w:sz w:val="20"/>
      <w:szCs w:val="20"/>
    </w:rPr>
  </w:style>
  <w:style w:type="paragraph" w:styleId="10">
    <w:name w:val="Document Map"/>
    <w:basedOn w:val="1"/>
    <w:link w:val="97"/>
    <w:semiHidden/>
    <w:unhideWhenUsed/>
    <w:qFormat/>
    <w:uiPriority w:val="0"/>
    <w:rPr>
      <w:rFonts w:ascii="宋体"/>
      <w:sz w:val="18"/>
      <w:szCs w:val="18"/>
    </w:rPr>
  </w:style>
  <w:style w:type="paragraph" w:styleId="11">
    <w:name w:val="annotation text"/>
    <w:basedOn w:val="1"/>
    <w:link w:val="57"/>
    <w:qFormat/>
    <w:uiPriority w:val="99"/>
    <w:pPr>
      <w:jc w:val="left"/>
    </w:pPr>
  </w:style>
  <w:style w:type="paragraph" w:styleId="12">
    <w:name w:val="Body Text"/>
    <w:basedOn w:val="1"/>
    <w:next w:val="1"/>
    <w:link w:val="58"/>
    <w:qFormat/>
    <w:uiPriority w:val="0"/>
    <w:pPr>
      <w:spacing w:after="120"/>
    </w:pPr>
    <w:rPr>
      <w:rFonts w:ascii="等线" w:hAnsi="等线" w:eastAsia="等线"/>
      <w:color w:val="auto"/>
      <w:sz w:val="21"/>
    </w:rPr>
  </w:style>
  <w:style w:type="paragraph" w:styleId="13">
    <w:name w:val="Body Text Indent"/>
    <w:basedOn w:val="1"/>
    <w:qFormat/>
    <w:uiPriority w:val="0"/>
    <w:pPr>
      <w:widowControl/>
      <w:ind w:left="720" w:leftChars="300"/>
    </w:pPr>
    <w:rPr>
      <w:kern w:val="0"/>
      <w:sz w:val="24"/>
    </w:rPr>
  </w:style>
  <w:style w:type="paragraph" w:styleId="14">
    <w:name w:val="toc 5"/>
    <w:basedOn w:val="1"/>
    <w:next w:val="1"/>
    <w:unhideWhenUsed/>
    <w:qFormat/>
    <w:uiPriority w:val="39"/>
    <w:pPr>
      <w:ind w:left="1120"/>
      <w:jc w:val="left"/>
    </w:pPr>
    <w:rPr>
      <w:rFonts w:asciiTheme="minorHAnsi" w:hAnsiTheme="minorHAnsi" w:cstheme="minorHAnsi"/>
      <w:sz w:val="18"/>
      <w:szCs w:val="18"/>
    </w:rPr>
  </w:style>
  <w:style w:type="paragraph" w:styleId="15">
    <w:name w:val="toc 3"/>
    <w:basedOn w:val="1"/>
    <w:next w:val="1"/>
    <w:unhideWhenUsed/>
    <w:qFormat/>
    <w:uiPriority w:val="39"/>
    <w:pPr>
      <w:ind w:left="560"/>
      <w:jc w:val="left"/>
    </w:pPr>
    <w:rPr>
      <w:rFonts w:asciiTheme="minorHAnsi" w:hAnsiTheme="minorHAnsi" w:cstheme="minorHAnsi"/>
      <w:i/>
      <w:iCs/>
      <w:sz w:val="20"/>
      <w:szCs w:val="20"/>
    </w:rPr>
  </w:style>
  <w:style w:type="paragraph" w:styleId="16">
    <w:name w:val="Plain Text"/>
    <w:basedOn w:val="1"/>
    <w:qFormat/>
    <w:uiPriority w:val="0"/>
    <w:rPr>
      <w:rFonts w:ascii="宋体" w:hAnsi="Courier New"/>
      <w:szCs w:val="21"/>
    </w:rPr>
  </w:style>
  <w:style w:type="paragraph" w:styleId="17">
    <w:name w:val="toc 8"/>
    <w:basedOn w:val="1"/>
    <w:next w:val="1"/>
    <w:unhideWhenUsed/>
    <w:qFormat/>
    <w:uiPriority w:val="39"/>
    <w:pPr>
      <w:ind w:left="1960"/>
      <w:jc w:val="left"/>
    </w:pPr>
    <w:rPr>
      <w:rFonts w:asciiTheme="minorHAnsi" w:hAnsiTheme="minorHAnsi" w:cstheme="minorHAnsi"/>
      <w:sz w:val="18"/>
      <w:szCs w:val="18"/>
    </w:rPr>
  </w:style>
  <w:style w:type="paragraph" w:styleId="18">
    <w:name w:val="Date"/>
    <w:basedOn w:val="1"/>
    <w:next w:val="1"/>
    <w:link w:val="68"/>
    <w:qFormat/>
    <w:uiPriority w:val="0"/>
    <w:pPr>
      <w:ind w:left="100" w:leftChars="2500"/>
    </w:pPr>
  </w:style>
  <w:style w:type="paragraph" w:styleId="19">
    <w:name w:val="Body Text Indent 2"/>
    <w:basedOn w:val="1"/>
    <w:qFormat/>
    <w:uiPriority w:val="0"/>
    <w:pPr>
      <w:spacing w:line="600" w:lineRule="atLeast"/>
      <w:ind w:firstLine="560"/>
    </w:pPr>
    <w:rPr>
      <w:snapToGrid w:val="0"/>
      <w:kern w:val="0"/>
    </w:rPr>
  </w:style>
  <w:style w:type="paragraph" w:styleId="20">
    <w:name w:val="Balloon Text"/>
    <w:basedOn w:val="1"/>
    <w:link w:val="67"/>
    <w:qFormat/>
    <w:uiPriority w:val="0"/>
    <w:pPr>
      <w:spacing w:line="240" w:lineRule="auto"/>
    </w:pPr>
    <w:rPr>
      <w:sz w:val="18"/>
      <w:szCs w:val="18"/>
    </w:rPr>
  </w:style>
  <w:style w:type="paragraph" w:styleId="21">
    <w:name w:val="footer"/>
    <w:basedOn w:val="1"/>
    <w:link w:val="59"/>
    <w:qFormat/>
    <w:uiPriority w:val="99"/>
    <w:pPr>
      <w:tabs>
        <w:tab w:val="center" w:pos="4153"/>
        <w:tab w:val="right" w:pos="8306"/>
      </w:tabs>
      <w:jc w:val="left"/>
    </w:pPr>
    <w:rPr>
      <w:rFonts w:ascii="等线" w:hAnsi="等线"/>
      <w:color w:val="auto"/>
      <w:sz w:val="18"/>
      <w:szCs w:val="18"/>
    </w:rPr>
  </w:style>
  <w:style w:type="paragraph" w:styleId="22">
    <w:name w:val="header"/>
    <w:basedOn w:val="1"/>
    <w:qFormat/>
    <w:uiPriority w:val="0"/>
    <w:pPr>
      <w:pBdr>
        <w:bottom w:val="single" w:color="auto" w:sz="6" w:space="1"/>
      </w:pBdr>
      <w:tabs>
        <w:tab w:val="center" w:pos="4153"/>
        <w:tab w:val="right" w:pos="8306"/>
      </w:tabs>
      <w:jc w:val="center"/>
    </w:pPr>
    <w:rPr>
      <w:rFonts w:ascii="等线" w:hAnsi="等线"/>
      <w:color w:val="auto"/>
      <w:sz w:val="18"/>
      <w:szCs w:val="18"/>
    </w:rPr>
  </w:style>
  <w:style w:type="paragraph" w:styleId="23">
    <w:name w:val="toc 1"/>
    <w:basedOn w:val="1"/>
    <w:next w:val="1"/>
    <w:qFormat/>
    <w:uiPriority w:val="39"/>
    <w:pPr>
      <w:spacing w:before="120" w:after="120"/>
      <w:jc w:val="left"/>
    </w:pPr>
    <w:rPr>
      <w:rFonts w:asciiTheme="minorHAnsi" w:hAnsiTheme="minorHAnsi" w:cstheme="minorHAnsi"/>
      <w:b/>
      <w:bCs/>
      <w:caps/>
      <w:sz w:val="20"/>
      <w:szCs w:val="20"/>
    </w:rPr>
  </w:style>
  <w:style w:type="paragraph" w:styleId="24">
    <w:name w:val="toc 4"/>
    <w:basedOn w:val="1"/>
    <w:next w:val="1"/>
    <w:unhideWhenUsed/>
    <w:qFormat/>
    <w:uiPriority w:val="39"/>
    <w:pPr>
      <w:ind w:left="840"/>
      <w:jc w:val="left"/>
    </w:pPr>
    <w:rPr>
      <w:rFonts w:asciiTheme="minorHAnsi" w:hAnsiTheme="minorHAnsi" w:cstheme="minorHAnsi"/>
      <w:sz w:val="18"/>
      <w:szCs w:val="18"/>
    </w:rPr>
  </w:style>
  <w:style w:type="paragraph" w:styleId="25">
    <w:name w:val="index heading"/>
    <w:basedOn w:val="1"/>
    <w:next w:val="26"/>
    <w:qFormat/>
    <w:uiPriority w:val="0"/>
  </w:style>
  <w:style w:type="paragraph" w:styleId="26">
    <w:name w:val="index 1"/>
    <w:basedOn w:val="1"/>
    <w:next w:val="1"/>
    <w:qFormat/>
    <w:uiPriority w:val="0"/>
    <w:pPr>
      <w:spacing w:line="260" w:lineRule="exact"/>
    </w:pPr>
    <w:rPr>
      <w:snapToGrid w:val="0"/>
      <w:kern w:val="0"/>
    </w:rPr>
  </w:style>
  <w:style w:type="paragraph" w:styleId="27">
    <w:name w:val="toc 6"/>
    <w:basedOn w:val="1"/>
    <w:next w:val="1"/>
    <w:unhideWhenUsed/>
    <w:qFormat/>
    <w:uiPriority w:val="39"/>
    <w:pPr>
      <w:ind w:left="1400"/>
      <w:jc w:val="left"/>
    </w:pPr>
    <w:rPr>
      <w:rFonts w:asciiTheme="minorHAnsi" w:hAnsiTheme="minorHAnsi" w:cstheme="minorHAnsi"/>
      <w:sz w:val="18"/>
      <w:szCs w:val="18"/>
    </w:rPr>
  </w:style>
  <w:style w:type="paragraph" w:styleId="28">
    <w:name w:val="Body Text Indent 3"/>
    <w:basedOn w:val="1"/>
    <w:qFormat/>
    <w:uiPriority w:val="0"/>
    <w:pPr>
      <w:ind w:firstLine="520"/>
    </w:pPr>
    <w:rPr>
      <w:spacing w:val="10"/>
      <w:sz w:val="24"/>
      <w:szCs w:val="30"/>
    </w:rPr>
  </w:style>
  <w:style w:type="paragraph" w:styleId="29">
    <w:name w:val="toc 2"/>
    <w:basedOn w:val="1"/>
    <w:next w:val="1"/>
    <w:qFormat/>
    <w:uiPriority w:val="39"/>
    <w:pPr>
      <w:ind w:left="280"/>
      <w:jc w:val="left"/>
    </w:pPr>
    <w:rPr>
      <w:rFonts w:asciiTheme="minorHAnsi" w:hAnsiTheme="minorHAnsi" w:cstheme="minorHAnsi"/>
      <w:smallCaps/>
      <w:sz w:val="20"/>
      <w:szCs w:val="20"/>
    </w:rPr>
  </w:style>
  <w:style w:type="paragraph" w:styleId="30">
    <w:name w:val="toc 9"/>
    <w:basedOn w:val="1"/>
    <w:next w:val="1"/>
    <w:unhideWhenUsed/>
    <w:qFormat/>
    <w:uiPriority w:val="39"/>
    <w:pPr>
      <w:ind w:left="2240"/>
      <w:jc w:val="left"/>
    </w:pPr>
    <w:rPr>
      <w:rFonts w:asciiTheme="minorHAnsi" w:hAnsiTheme="minorHAnsi" w:cstheme="minorHAnsi"/>
      <w:sz w:val="18"/>
      <w:szCs w:val="18"/>
    </w:rPr>
  </w:style>
  <w:style w:type="paragraph" w:styleId="31">
    <w:name w:val="Body Text 2"/>
    <w:basedOn w:val="1"/>
    <w:qFormat/>
    <w:uiPriority w:val="0"/>
    <w:rPr>
      <w:szCs w:val="20"/>
    </w:rPr>
  </w:style>
  <w:style w:type="paragraph" w:styleId="32">
    <w:name w:val="Normal (Web)"/>
    <w:basedOn w:val="1"/>
    <w:qFormat/>
    <w:uiPriority w:val="99"/>
    <w:pPr>
      <w:widowControl/>
      <w:jc w:val="left"/>
    </w:pPr>
    <w:rPr>
      <w:rFonts w:ascii="仿宋_GB2312" w:hAnsi="宋体" w:eastAsia="仿宋_GB2312"/>
      <w:kern w:val="0"/>
      <w:szCs w:val="28"/>
    </w:rPr>
  </w:style>
  <w:style w:type="paragraph" w:styleId="33">
    <w:name w:val="annotation subject"/>
    <w:basedOn w:val="11"/>
    <w:next w:val="11"/>
    <w:link w:val="69"/>
    <w:qFormat/>
    <w:uiPriority w:val="0"/>
    <w:rPr>
      <w:b/>
      <w:bCs/>
    </w:rPr>
  </w:style>
  <w:style w:type="paragraph" w:styleId="34">
    <w:name w:val="Body Text First Indent"/>
    <w:basedOn w:val="12"/>
    <w:next w:val="35"/>
    <w:link w:val="70"/>
    <w:qFormat/>
    <w:uiPriority w:val="0"/>
    <w:pPr>
      <w:ind w:firstLine="420" w:firstLineChars="100"/>
    </w:pPr>
    <w:rPr>
      <w:rFonts w:ascii="Times New Roman" w:hAnsi="Times New Roman" w:eastAsia="宋体"/>
      <w:color w:val="000000"/>
      <w:sz w:val="28"/>
    </w:rPr>
  </w:style>
  <w:style w:type="paragraph" w:customStyle="1" w:styleId="35">
    <w:name w:val="样式 正文首行缩进 + 段前: 0.5 行"/>
    <w:basedOn w:val="1"/>
    <w:next w:val="36"/>
    <w:qFormat/>
    <w:uiPriority w:val="0"/>
    <w:pPr>
      <w:spacing w:before="156"/>
      <w:ind w:firstLine="567"/>
    </w:pPr>
  </w:style>
  <w:style w:type="paragraph" w:styleId="36">
    <w:name w:val="List Paragraph"/>
    <w:basedOn w:val="1"/>
    <w:unhideWhenUsed/>
    <w:qFormat/>
    <w:uiPriority w:val="99"/>
    <w:pPr>
      <w:ind w:firstLine="420"/>
    </w:pPr>
  </w:style>
  <w:style w:type="paragraph" w:styleId="37">
    <w:name w:val="Body Text First Indent 2"/>
    <w:basedOn w:val="1"/>
    <w:next w:val="1"/>
    <w:qFormat/>
    <w:uiPriority w:val="99"/>
    <w:pPr>
      <w:ind w:firstLine="420"/>
    </w:pPr>
  </w:style>
  <w:style w:type="table" w:styleId="39">
    <w:name w:val="Table Grid"/>
    <w:basedOn w:val="3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1">
    <w:name w:val="Strong"/>
    <w:qFormat/>
    <w:uiPriority w:val="0"/>
    <w:rPr>
      <w:b/>
      <w:bCs/>
    </w:rPr>
  </w:style>
  <w:style w:type="character" w:styleId="42">
    <w:name w:val="page number"/>
    <w:basedOn w:val="40"/>
    <w:qFormat/>
    <w:uiPriority w:val="0"/>
  </w:style>
  <w:style w:type="character" w:styleId="43">
    <w:name w:val="FollowedHyperlink"/>
    <w:basedOn w:val="40"/>
    <w:semiHidden/>
    <w:unhideWhenUsed/>
    <w:qFormat/>
    <w:uiPriority w:val="0"/>
    <w:rPr>
      <w:color w:val="222222"/>
      <w:sz w:val="21"/>
      <w:szCs w:val="21"/>
      <w:u w:val="none"/>
    </w:rPr>
  </w:style>
  <w:style w:type="character" w:styleId="44">
    <w:name w:val="Emphasis"/>
    <w:basedOn w:val="40"/>
    <w:qFormat/>
    <w:uiPriority w:val="0"/>
  </w:style>
  <w:style w:type="character" w:styleId="45">
    <w:name w:val="HTML Definition"/>
    <w:basedOn w:val="40"/>
    <w:semiHidden/>
    <w:unhideWhenUsed/>
    <w:qFormat/>
    <w:uiPriority w:val="0"/>
    <w:rPr>
      <w:i/>
      <w:iCs/>
    </w:rPr>
  </w:style>
  <w:style w:type="character" w:styleId="46">
    <w:name w:val="HTML Variable"/>
    <w:basedOn w:val="40"/>
    <w:semiHidden/>
    <w:unhideWhenUsed/>
    <w:qFormat/>
    <w:uiPriority w:val="0"/>
  </w:style>
  <w:style w:type="character" w:styleId="47">
    <w:name w:val="Hyperlink"/>
    <w:basedOn w:val="40"/>
    <w:qFormat/>
    <w:uiPriority w:val="99"/>
    <w:rPr>
      <w:color w:val="000000"/>
      <w:u w:val="none"/>
    </w:rPr>
  </w:style>
  <w:style w:type="character" w:styleId="48">
    <w:name w:val="HTML Code"/>
    <w:basedOn w:val="40"/>
    <w:semiHidden/>
    <w:unhideWhenUsed/>
    <w:qFormat/>
    <w:uiPriority w:val="0"/>
    <w:rPr>
      <w:rFonts w:hint="default" w:ascii="Consolas" w:hAnsi="Consolas" w:eastAsia="Consolas" w:cs="Consolas"/>
      <w:color w:val="C7254E"/>
      <w:sz w:val="21"/>
      <w:szCs w:val="21"/>
      <w:shd w:val="clear" w:color="auto" w:fill="F9F2F4"/>
    </w:rPr>
  </w:style>
  <w:style w:type="character" w:styleId="49">
    <w:name w:val="annotation reference"/>
    <w:basedOn w:val="40"/>
    <w:qFormat/>
    <w:uiPriority w:val="0"/>
    <w:rPr>
      <w:sz w:val="21"/>
      <w:szCs w:val="21"/>
    </w:rPr>
  </w:style>
  <w:style w:type="character" w:styleId="50">
    <w:name w:val="HTML Cite"/>
    <w:basedOn w:val="40"/>
    <w:semiHidden/>
    <w:unhideWhenUsed/>
    <w:qFormat/>
    <w:uiPriority w:val="0"/>
  </w:style>
  <w:style w:type="character" w:styleId="51">
    <w:name w:val="HTML Keyboard"/>
    <w:basedOn w:val="40"/>
    <w:semiHidden/>
    <w:unhideWhenUsed/>
    <w:qFormat/>
    <w:uiPriority w:val="0"/>
    <w:rPr>
      <w:rFonts w:ascii="Consolas" w:hAnsi="Consolas" w:eastAsia="Consolas" w:cs="Consolas"/>
      <w:color w:val="FFFFFF"/>
      <w:sz w:val="21"/>
      <w:szCs w:val="21"/>
      <w:shd w:val="clear" w:color="auto" w:fill="333333"/>
    </w:rPr>
  </w:style>
  <w:style w:type="character" w:styleId="52">
    <w:name w:val="HTML Sample"/>
    <w:basedOn w:val="40"/>
    <w:semiHidden/>
    <w:unhideWhenUsed/>
    <w:qFormat/>
    <w:uiPriority w:val="0"/>
    <w:rPr>
      <w:rFonts w:hint="default" w:ascii="Consolas" w:hAnsi="Consolas" w:eastAsia="Consolas" w:cs="Consolas"/>
      <w:sz w:val="21"/>
      <w:szCs w:val="21"/>
    </w:rPr>
  </w:style>
  <w:style w:type="character" w:customStyle="1" w:styleId="53">
    <w:name w:val="标题 3 Char"/>
    <w:link w:val="4"/>
    <w:qFormat/>
    <w:uiPriority w:val="0"/>
    <w:rPr>
      <w:rFonts w:ascii="宋体" w:hAnsi="宋体"/>
      <w:b/>
      <w:bCs/>
      <w:color w:val="000000" w:themeColor="text1"/>
      <w:szCs w:val="28"/>
    </w:rPr>
  </w:style>
  <w:style w:type="paragraph" w:customStyle="1" w:styleId="54">
    <w:name w:val="Default1"/>
    <w:unhideWhenUsed/>
    <w:qFormat/>
    <w:uiPriority w:val="99"/>
    <w:pPr>
      <w:widowControl w:val="0"/>
      <w:autoSpaceDE w:val="0"/>
      <w:autoSpaceDN w:val="0"/>
      <w:adjustRightInd w:val="0"/>
    </w:pPr>
    <w:rPr>
      <w:rFonts w:hint="eastAsia" w:ascii="Calibri" w:hAnsi="Calibri" w:eastAsia="宋体" w:cs="Times New Roman"/>
      <w:color w:val="000000"/>
      <w:sz w:val="24"/>
      <w:szCs w:val="22"/>
      <w:lang w:val="en-US" w:eastAsia="zh-CN" w:bidi="ar-SA"/>
    </w:rPr>
  </w:style>
  <w:style w:type="character" w:customStyle="1" w:styleId="55">
    <w:name w:val="标题 2 Char"/>
    <w:basedOn w:val="40"/>
    <w:link w:val="3"/>
    <w:qFormat/>
    <w:uiPriority w:val="0"/>
    <w:rPr>
      <w:rFonts w:ascii="宋体" w:hAnsi="宋体"/>
      <w:b/>
      <w:bCs/>
      <w:kern w:val="2"/>
      <w:sz w:val="28"/>
      <w:szCs w:val="28"/>
    </w:rPr>
  </w:style>
  <w:style w:type="paragraph" w:customStyle="1" w:styleId="56">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character" w:customStyle="1" w:styleId="57">
    <w:name w:val="批注文字 Char"/>
    <w:basedOn w:val="40"/>
    <w:link w:val="11"/>
    <w:qFormat/>
    <w:uiPriority w:val="99"/>
    <w:rPr>
      <w:rFonts w:ascii="Times New Roman" w:hAnsi="Times New Roman" w:eastAsia="宋体"/>
      <w:color w:val="000000"/>
      <w:kern w:val="2"/>
      <w:sz w:val="28"/>
      <w:szCs w:val="24"/>
    </w:rPr>
  </w:style>
  <w:style w:type="character" w:customStyle="1" w:styleId="58">
    <w:name w:val="正文文本 Char"/>
    <w:basedOn w:val="40"/>
    <w:link w:val="12"/>
    <w:qFormat/>
    <w:uiPriority w:val="0"/>
    <w:rPr>
      <w:kern w:val="2"/>
      <w:sz w:val="21"/>
      <w:szCs w:val="24"/>
    </w:rPr>
  </w:style>
  <w:style w:type="character" w:customStyle="1" w:styleId="59">
    <w:name w:val="页脚 Char"/>
    <w:basedOn w:val="40"/>
    <w:link w:val="21"/>
    <w:qFormat/>
    <w:uiPriority w:val="99"/>
    <w:rPr>
      <w:rFonts w:eastAsia="宋体"/>
      <w:kern w:val="2"/>
      <w:sz w:val="18"/>
      <w:szCs w:val="18"/>
    </w:rPr>
  </w:style>
  <w:style w:type="paragraph" w:customStyle="1" w:styleId="60">
    <w:name w:val="WPSOffice手动目录 1"/>
    <w:qFormat/>
    <w:uiPriority w:val="0"/>
    <w:rPr>
      <w:rFonts w:ascii="Times New Roman" w:hAnsi="Times New Roman" w:eastAsia="宋体" w:cs="Times New Roman"/>
      <w:lang w:val="en-US" w:eastAsia="zh-CN" w:bidi="ar-SA"/>
    </w:rPr>
  </w:style>
  <w:style w:type="paragraph" w:customStyle="1" w:styleId="61">
    <w:name w:val="!正文"/>
    <w:link w:val="74"/>
    <w:qFormat/>
    <w:uiPriority w:val="0"/>
    <w:pPr>
      <w:widowControl w:val="0"/>
      <w:adjustRightInd w:val="0"/>
      <w:snapToGrid w:val="0"/>
      <w:spacing w:line="360" w:lineRule="auto"/>
      <w:ind w:firstLine="200" w:firstLineChars="200"/>
      <w:jc w:val="both"/>
    </w:pPr>
    <w:rPr>
      <w:rFonts w:ascii="Times New Roman" w:hAnsi="Times New Roman" w:eastAsia="等线" w:cs="Times New Roman"/>
      <w:kern w:val="2"/>
      <w:sz w:val="28"/>
      <w:lang w:val="en-US" w:eastAsia="zh-CN" w:bidi="ar-SA"/>
    </w:rPr>
  </w:style>
  <w:style w:type="paragraph" w:customStyle="1" w:styleId="62">
    <w:name w:val="_Style 2"/>
    <w:basedOn w:val="1"/>
    <w:qFormat/>
    <w:uiPriority w:val="34"/>
    <w:pPr>
      <w:ind w:firstLine="420"/>
    </w:pPr>
  </w:style>
  <w:style w:type="paragraph" w:customStyle="1" w:styleId="63">
    <w:name w:val="美高SB4/1.5"/>
    <w:basedOn w:val="1"/>
    <w:qFormat/>
    <w:uiPriority w:val="0"/>
    <w:pPr>
      <w:topLinePunct/>
    </w:pPr>
    <w:rPr>
      <w:rFonts w:ascii="宋体" w:hAnsi="宋体"/>
      <w:color w:val="auto"/>
      <w:szCs w:val="28"/>
    </w:rPr>
  </w:style>
  <w:style w:type="paragraph" w:customStyle="1" w:styleId="64">
    <w:name w:val="+正文"/>
    <w:basedOn w:val="1"/>
    <w:qFormat/>
    <w:uiPriority w:val="0"/>
    <w:rPr>
      <w:sz w:val="24"/>
      <w:szCs w:val="28"/>
    </w:rPr>
  </w:style>
  <w:style w:type="paragraph" w:customStyle="1" w:styleId="65">
    <w:name w:val="表图 宋4/1.5"/>
    <w:next w:val="1"/>
    <w:qFormat/>
    <w:uiPriority w:val="0"/>
    <w:pPr>
      <w:topLinePunct/>
      <w:adjustRightInd w:val="0"/>
      <w:snapToGrid w:val="0"/>
      <w:spacing w:line="360" w:lineRule="auto"/>
      <w:jc w:val="center"/>
      <w:textAlignment w:val="center"/>
    </w:pPr>
    <w:rPr>
      <w:rFonts w:ascii="宋体" w:hAnsi="宋体" w:eastAsia="宋体" w:cs="Times New Roman"/>
      <w:snapToGrid w:val="0"/>
      <w:color w:val="000000"/>
      <w:sz w:val="28"/>
      <w:szCs w:val="21"/>
      <w:lang w:val="en-US" w:eastAsia="zh-CN" w:bidi="ar-SA"/>
    </w:rPr>
  </w:style>
  <w:style w:type="paragraph" w:customStyle="1" w:styleId="66">
    <w:name w:val="表内容宋5"/>
    <w:qFormat/>
    <w:uiPriority w:val="0"/>
    <w:pPr>
      <w:spacing w:line="240" w:lineRule="atLeast"/>
    </w:pPr>
    <w:rPr>
      <w:rFonts w:ascii="Times New Roman" w:hAnsi="Times New Roman" w:eastAsia="宋体" w:cs="Times New Roman"/>
      <w:sz w:val="21"/>
      <w:szCs w:val="21"/>
      <w:lang w:val="en-US" w:eastAsia="zh-CN" w:bidi="ar-SA"/>
    </w:rPr>
  </w:style>
  <w:style w:type="character" w:customStyle="1" w:styleId="67">
    <w:name w:val="批注框文本 Char"/>
    <w:basedOn w:val="40"/>
    <w:link w:val="20"/>
    <w:qFormat/>
    <w:uiPriority w:val="0"/>
    <w:rPr>
      <w:rFonts w:ascii="Times New Roman" w:hAnsi="Times New Roman" w:eastAsia="宋体"/>
      <w:color w:val="000000"/>
      <w:kern w:val="2"/>
      <w:sz w:val="18"/>
      <w:szCs w:val="18"/>
    </w:rPr>
  </w:style>
  <w:style w:type="character" w:customStyle="1" w:styleId="68">
    <w:name w:val="日期 Char"/>
    <w:basedOn w:val="40"/>
    <w:link w:val="18"/>
    <w:qFormat/>
    <w:uiPriority w:val="0"/>
    <w:rPr>
      <w:rFonts w:ascii="Times New Roman" w:hAnsi="Times New Roman" w:eastAsia="宋体"/>
      <w:color w:val="000000"/>
      <w:kern w:val="2"/>
      <w:sz w:val="28"/>
      <w:szCs w:val="24"/>
    </w:rPr>
  </w:style>
  <w:style w:type="character" w:customStyle="1" w:styleId="69">
    <w:name w:val="批注主题 Char"/>
    <w:basedOn w:val="57"/>
    <w:link w:val="33"/>
    <w:qFormat/>
    <w:uiPriority w:val="0"/>
    <w:rPr>
      <w:rFonts w:ascii="Times New Roman" w:hAnsi="Times New Roman" w:eastAsia="宋体"/>
      <w:b/>
      <w:bCs/>
      <w:color w:val="000000"/>
      <w:kern w:val="2"/>
      <w:sz w:val="28"/>
      <w:szCs w:val="24"/>
    </w:rPr>
  </w:style>
  <w:style w:type="character" w:customStyle="1" w:styleId="70">
    <w:name w:val="正文首行缩进 Char"/>
    <w:basedOn w:val="58"/>
    <w:link w:val="34"/>
    <w:qFormat/>
    <w:uiPriority w:val="0"/>
    <w:rPr>
      <w:rFonts w:ascii="Times New Roman" w:hAnsi="Times New Roman" w:eastAsia="宋体"/>
      <w:color w:val="000000"/>
      <w:kern w:val="2"/>
      <w:sz w:val="28"/>
      <w:szCs w:val="24"/>
    </w:rPr>
  </w:style>
  <w:style w:type="paragraph" w:customStyle="1" w:styleId="71">
    <w:name w:val="表格"/>
    <w:basedOn w:val="1"/>
    <w:qFormat/>
    <w:uiPriority w:val="0"/>
    <w:pPr>
      <w:adjustRightInd/>
      <w:snapToGrid/>
      <w:spacing w:before="50" w:after="50" w:line="500" w:lineRule="exact"/>
      <w:ind w:firstLine="640"/>
      <w:jc w:val="center"/>
    </w:pPr>
    <w:rPr>
      <w:rFonts w:ascii="宋体" w:hAnsi="宋体" w:cs="宋体"/>
      <w:color w:val="auto"/>
      <w:sz w:val="21"/>
    </w:rPr>
  </w:style>
  <w:style w:type="character" w:customStyle="1" w:styleId="72">
    <w:name w:val="NormalCharacter"/>
    <w:qFormat/>
    <w:uiPriority w:val="0"/>
  </w:style>
  <w:style w:type="paragraph" w:customStyle="1" w:styleId="73">
    <w:name w:val="首行缩进"/>
    <w:basedOn w:val="1"/>
    <w:qFormat/>
    <w:uiPriority w:val="0"/>
    <w:pPr>
      <w:ind w:firstLine="482"/>
    </w:pPr>
    <w:rPr>
      <w:rFonts w:ascii="宋体" w:cs="宋体"/>
    </w:rPr>
  </w:style>
  <w:style w:type="character" w:customStyle="1" w:styleId="74">
    <w:name w:val="!正文 Char"/>
    <w:link w:val="61"/>
    <w:qFormat/>
    <w:uiPriority w:val="0"/>
    <w:rPr>
      <w:rFonts w:ascii="Times New Roman" w:hAnsi="Times New Roman" w:eastAsia="等线" w:cs="Times New Roman"/>
      <w:kern w:val="2"/>
      <w:sz w:val="28"/>
      <w:lang w:val="en-US" w:eastAsia="zh-CN" w:bidi="ar-SA"/>
    </w:rPr>
  </w:style>
  <w:style w:type="paragraph" w:customStyle="1" w:styleId="75">
    <w:name w:val="填表5中"/>
    <w:basedOn w:val="1"/>
    <w:next w:val="1"/>
    <w:qFormat/>
    <w:uiPriority w:val="0"/>
    <w:pPr>
      <w:spacing w:line="240" w:lineRule="exact"/>
      <w:jc w:val="center"/>
    </w:pPr>
    <w:rPr>
      <w:rFonts w:ascii="宋体"/>
      <w:szCs w:val="21"/>
    </w:rPr>
  </w:style>
  <w:style w:type="paragraph" w:customStyle="1" w:styleId="76">
    <w:name w:val="表头"/>
    <w:basedOn w:val="1"/>
    <w:next w:val="1"/>
    <w:qFormat/>
    <w:uiPriority w:val="0"/>
    <w:pPr>
      <w:ind w:firstLine="0" w:firstLineChars="0"/>
      <w:jc w:val="center"/>
    </w:pPr>
    <w:rPr>
      <w:rFonts w:ascii="宋体" w:hAnsi="宋体"/>
      <w:b/>
      <w:szCs w:val="28"/>
    </w:rPr>
  </w:style>
  <w:style w:type="paragraph" w:customStyle="1" w:styleId="77">
    <w:name w:val="填表5"/>
    <w:basedOn w:val="1"/>
    <w:next w:val="1"/>
    <w:qFormat/>
    <w:uiPriority w:val="0"/>
    <w:pPr>
      <w:spacing w:line="300" w:lineRule="exact"/>
      <w:jc w:val="left"/>
    </w:pPr>
    <w:rPr>
      <w:rFonts w:ascii="宋体"/>
      <w:sz w:val="24"/>
      <w:szCs w:val="21"/>
    </w:rPr>
  </w:style>
  <w:style w:type="character" w:customStyle="1" w:styleId="78">
    <w:name w:val="zw1"/>
    <w:basedOn w:val="40"/>
    <w:qFormat/>
    <w:uiPriority w:val="0"/>
    <w:rPr>
      <w:rFonts w:hint="eastAsia" w:ascii="宋体" w:hAnsi="宋体" w:eastAsia="宋体"/>
      <w:sz w:val="22"/>
      <w:szCs w:val="22"/>
    </w:rPr>
  </w:style>
  <w:style w:type="paragraph" w:customStyle="1" w:styleId="79">
    <w:name w:val="新正文样式"/>
    <w:basedOn w:val="1"/>
    <w:qFormat/>
    <w:uiPriority w:val="0"/>
    <w:pPr>
      <w:tabs>
        <w:tab w:val="left" w:pos="567"/>
      </w:tabs>
      <w:ind w:firstLine="567"/>
    </w:pPr>
    <w:rPr>
      <w:spacing w:val="20"/>
      <w:sz w:val="24"/>
    </w:rPr>
  </w:style>
  <w:style w:type="paragraph" w:customStyle="1" w:styleId="80">
    <w:name w:val="表格文字样式"/>
    <w:basedOn w:val="79"/>
    <w:qFormat/>
    <w:uiPriority w:val="0"/>
    <w:pPr>
      <w:spacing w:line="240" w:lineRule="auto"/>
      <w:ind w:firstLine="0"/>
      <w:jc w:val="center"/>
    </w:pPr>
  </w:style>
  <w:style w:type="paragraph" w:customStyle="1" w:styleId="81">
    <w:name w:val="表格1"/>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character" w:customStyle="1" w:styleId="82">
    <w:name w:val="swiper-active-switch"/>
    <w:basedOn w:val="40"/>
    <w:qFormat/>
    <w:uiPriority w:val="0"/>
    <w:rPr>
      <w:shd w:val="clear" w:color="auto" w:fill="172733"/>
    </w:rPr>
  </w:style>
  <w:style w:type="paragraph" w:customStyle="1" w:styleId="83">
    <w:name w:val="样式 宋体 首行缩进:  1.11 厘米"/>
    <w:basedOn w:val="1"/>
    <w:qFormat/>
    <w:uiPriority w:val="0"/>
    <w:pPr>
      <w:spacing w:line="600" w:lineRule="exact"/>
      <w:ind w:firstLine="629"/>
    </w:pPr>
    <w:rPr>
      <w:rFonts w:ascii="宋体" w:hAnsi="宋体"/>
      <w:szCs w:val="20"/>
    </w:rPr>
  </w:style>
  <w:style w:type="paragraph" w:customStyle="1" w:styleId="84">
    <w:name w:val="BodyTextIndent2"/>
    <w:basedOn w:val="1"/>
    <w:qFormat/>
    <w:uiPriority w:val="0"/>
    <w:pPr>
      <w:widowControl/>
      <w:spacing w:line="600" w:lineRule="atLeast"/>
      <w:ind w:firstLine="560"/>
      <w:textAlignment w:val="baseline"/>
    </w:pPr>
    <w:rPr>
      <w:kern w:val="0"/>
    </w:rPr>
  </w:style>
  <w:style w:type="paragraph" w:customStyle="1" w:styleId="85">
    <w:name w:val="List Paragraph1"/>
    <w:basedOn w:val="1"/>
    <w:qFormat/>
    <w:uiPriority w:val="0"/>
    <w:pPr>
      <w:ind w:firstLine="420"/>
    </w:pPr>
    <w:rPr>
      <w:rFonts w:ascii="Calibri" w:hAnsi="Calibri"/>
      <w:szCs w:val="22"/>
    </w:rPr>
  </w:style>
  <w:style w:type="character" w:customStyle="1" w:styleId="86">
    <w:name w:val="不明显强调2"/>
    <w:qFormat/>
    <w:uiPriority w:val="19"/>
    <w:rPr>
      <w:rFonts w:ascii="宋体" w:hAnsi="宋体" w:eastAsia="宋体"/>
      <w:kern w:val="2"/>
      <w:sz w:val="24"/>
      <w:szCs w:val="21"/>
    </w:rPr>
  </w:style>
  <w:style w:type="character" w:customStyle="1" w:styleId="87">
    <w:name w:val="bt21"/>
    <w:basedOn w:val="40"/>
    <w:qFormat/>
    <w:uiPriority w:val="0"/>
    <w:rPr>
      <w:rFonts w:hint="eastAsia" w:ascii="黑体" w:eastAsia="黑体"/>
      <w:sz w:val="24"/>
      <w:szCs w:val="24"/>
    </w:rPr>
  </w:style>
  <w:style w:type="paragraph" w:customStyle="1" w:styleId="88">
    <w:name w:val="样式 宋体 黑色"/>
    <w:basedOn w:val="1"/>
    <w:qFormat/>
    <w:uiPriority w:val="0"/>
    <w:rPr>
      <w:rFonts w:ascii="宋体" w:hAnsi="宋体" w:cs="宋体"/>
      <w:szCs w:val="20"/>
    </w:rPr>
  </w:style>
  <w:style w:type="table" w:customStyle="1" w:styleId="89">
    <w:name w:val="Table Normal"/>
    <w:basedOn w:val="38"/>
    <w:semiHidden/>
    <w:qFormat/>
    <w:uiPriority w:val="0"/>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90">
    <w:name w:val="表格内容"/>
    <w:basedOn w:val="1"/>
    <w:qFormat/>
    <w:uiPriority w:val="0"/>
    <w:pPr>
      <w:overflowPunct w:val="0"/>
      <w:spacing w:before="40" w:after="60" w:line="200" w:lineRule="atLeast"/>
      <w:textAlignment w:val="baseline"/>
    </w:pPr>
    <w:rPr>
      <w:rFonts w:ascii="Arial" w:hAnsi="Arial" w:eastAsia="仿宋_GB2312"/>
      <w:kern w:val="0"/>
      <w:sz w:val="24"/>
      <w:szCs w:val="20"/>
    </w:rPr>
  </w:style>
  <w:style w:type="paragraph" w:customStyle="1" w:styleId="91">
    <w:name w:val="Char Char Char Char"/>
    <w:basedOn w:val="1"/>
    <w:semiHidden/>
    <w:qFormat/>
    <w:uiPriority w:val="0"/>
    <w:rPr>
      <w:szCs w:val="21"/>
    </w:rPr>
  </w:style>
  <w:style w:type="paragraph" w:customStyle="1" w:styleId="92">
    <w:name w:val="样式1"/>
    <w:basedOn w:val="1"/>
    <w:qFormat/>
    <w:uiPriority w:val="0"/>
    <w:pPr>
      <w:ind w:firstLine="0" w:firstLineChars="0"/>
      <w:jc w:val="center"/>
    </w:pPr>
    <w:rPr>
      <w:b/>
      <w:szCs w:val="20"/>
    </w:rPr>
  </w:style>
  <w:style w:type="paragraph" w:customStyle="1" w:styleId="93">
    <w:name w:val="样式2"/>
    <w:basedOn w:val="1"/>
    <w:qFormat/>
    <w:uiPriority w:val="0"/>
    <w:pPr>
      <w:autoSpaceDE w:val="0"/>
      <w:autoSpaceDN w:val="0"/>
      <w:spacing w:line="500" w:lineRule="exact"/>
      <w:ind w:firstLine="560"/>
      <w:jc w:val="left"/>
    </w:pPr>
    <w:rPr>
      <w:color w:val="FF0000"/>
      <w:szCs w:val="28"/>
      <w:lang w:val="zh-CN"/>
    </w:rPr>
  </w:style>
  <w:style w:type="character" w:customStyle="1" w:styleId="94">
    <w:name w:val="wx-space"/>
    <w:basedOn w:val="40"/>
    <w:qFormat/>
    <w:uiPriority w:val="0"/>
  </w:style>
  <w:style w:type="character" w:customStyle="1" w:styleId="95">
    <w:name w:val="wx-space1"/>
    <w:basedOn w:val="40"/>
    <w:qFormat/>
    <w:uiPriority w:val="0"/>
    <w:rPr>
      <w:vanish/>
    </w:rPr>
  </w:style>
  <w:style w:type="paragraph" w:customStyle="1" w:styleId="96">
    <w:name w:val="列出段落1"/>
    <w:basedOn w:val="1"/>
    <w:unhideWhenUsed/>
    <w:qFormat/>
    <w:uiPriority w:val="34"/>
    <w:pPr>
      <w:ind w:firstLine="420"/>
    </w:pPr>
  </w:style>
  <w:style w:type="character" w:customStyle="1" w:styleId="97">
    <w:name w:val="文档结构图 Char"/>
    <w:basedOn w:val="40"/>
    <w:link w:val="10"/>
    <w:semiHidden/>
    <w:qFormat/>
    <w:uiPriority w:val="0"/>
    <w:rPr>
      <w:rFonts w:ascii="宋体"/>
      <w:color w:val="000000"/>
      <w:kern w:val="2"/>
      <w:sz w:val="18"/>
      <w:szCs w:val="18"/>
    </w:rPr>
  </w:style>
  <w:style w:type="character" w:customStyle="1" w:styleId="98">
    <w:name w:val="bt11"/>
    <w:qFormat/>
    <w:uiPriority w:val="0"/>
    <w:rPr>
      <w:rFonts w:hint="eastAsia" w:ascii="黑体" w:eastAsia="黑体"/>
      <w:color w:val="000000"/>
      <w:sz w:val="28"/>
      <w:szCs w:val="28"/>
    </w:rPr>
  </w:style>
  <w:style w:type="character" w:customStyle="1" w:styleId="99">
    <w:name w:val="ca-52"/>
    <w:basedOn w:val="40"/>
    <w:qFormat/>
    <w:uiPriority w:val="0"/>
  </w:style>
  <w:style w:type="paragraph" w:customStyle="1" w:styleId="100">
    <w:name w:val="pa-3"/>
    <w:basedOn w:val="1"/>
    <w:qFormat/>
    <w:uiPriority w:val="0"/>
    <w:pPr>
      <w:widowControl/>
      <w:spacing w:beforeAutospacing="1" w:afterAutospacing="1"/>
      <w:jc w:val="left"/>
    </w:pPr>
    <w:rPr>
      <w:rFonts w:ascii="宋体" w:hAnsi="宋体" w:cs="宋体"/>
      <w:kern w:val="0"/>
      <w:sz w:val="24"/>
    </w:rPr>
  </w:style>
  <w:style w:type="character" w:customStyle="1" w:styleId="101">
    <w:name w:val="ca-62"/>
    <w:basedOn w:val="40"/>
    <w:qFormat/>
    <w:uiPriority w:val="0"/>
  </w:style>
  <w:style w:type="paragraph" w:customStyle="1" w:styleId="102">
    <w:name w:val="zw"/>
    <w:basedOn w:val="1"/>
    <w:qFormat/>
    <w:uiPriority w:val="0"/>
    <w:pPr>
      <w:widowControl/>
      <w:spacing w:beforeAutospacing="1" w:afterAutospacing="1" w:line="440" w:lineRule="atLeast"/>
      <w:jc w:val="left"/>
    </w:pPr>
    <w:rPr>
      <w:rFonts w:ascii="宋体" w:hAnsi="宋体" w:cs="宋体"/>
      <w:kern w:val="0"/>
      <w:sz w:val="22"/>
      <w:szCs w:val="22"/>
    </w:rPr>
  </w:style>
  <w:style w:type="paragraph" w:customStyle="1" w:styleId="103">
    <w:name w:val="pa-26"/>
    <w:basedOn w:val="1"/>
    <w:qFormat/>
    <w:uiPriority w:val="0"/>
    <w:pPr>
      <w:widowControl/>
      <w:spacing w:beforeAutospacing="1" w:afterAutospacing="1"/>
      <w:jc w:val="left"/>
    </w:pPr>
    <w:rPr>
      <w:rFonts w:ascii="宋体" w:hAnsi="宋体" w:cs="宋体"/>
      <w:kern w:val="0"/>
      <w:sz w:val="24"/>
    </w:rPr>
  </w:style>
  <w:style w:type="character" w:customStyle="1" w:styleId="104">
    <w:name w:val="ca-42"/>
    <w:basedOn w:val="40"/>
    <w:qFormat/>
    <w:uiPriority w:val="0"/>
  </w:style>
  <w:style w:type="character" w:customStyle="1" w:styleId="105">
    <w:name w:val="ca-72"/>
    <w:basedOn w:val="40"/>
    <w:qFormat/>
    <w:uiPriority w:val="0"/>
  </w:style>
  <w:style w:type="paragraph" w:customStyle="1" w:styleId="106">
    <w:name w:val="样式3"/>
    <w:basedOn w:val="1"/>
    <w:qFormat/>
    <w:uiPriority w:val="0"/>
    <w:pPr>
      <w:jc w:val="center"/>
    </w:pPr>
    <w:rPr>
      <w:rFonts w:hint="eastAsia"/>
    </w:rPr>
  </w:style>
  <w:style w:type="character" w:customStyle="1" w:styleId="107">
    <w:name w:val="ul_li_a_1"/>
    <w:basedOn w:val="40"/>
    <w:qFormat/>
    <w:uiPriority w:val="0"/>
    <w:rPr>
      <w:b/>
      <w:bCs/>
      <w:color w:val="FFFFFF"/>
    </w:rPr>
  </w:style>
  <w:style w:type="character" w:customStyle="1" w:styleId="108">
    <w:name w:val="a_p_2"/>
    <w:basedOn w:val="40"/>
    <w:qFormat/>
    <w:uiPriority w:val="0"/>
  </w:style>
  <w:style w:type="character" w:customStyle="1" w:styleId="109">
    <w:name w:val="a_p_21"/>
    <w:basedOn w:val="40"/>
    <w:qFormat/>
    <w:uiPriority w:val="0"/>
    <w:rPr>
      <w:sz w:val="27"/>
      <w:szCs w:val="27"/>
    </w:rPr>
  </w:style>
  <w:style w:type="character" w:customStyle="1" w:styleId="110">
    <w:name w:val="a_p_1"/>
    <w:basedOn w:val="40"/>
    <w:qFormat/>
    <w:uiPriority w:val="0"/>
    <w:rPr>
      <w:sz w:val="27"/>
      <w:szCs w:val="27"/>
    </w:rPr>
  </w:style>
  <w:style w:type="character" w:customStyle="1" w:styleId="111">
    <w:name w:val="exap"/>
    <w:basedOn w:val="40"/>
    <w:qFormat/>
    <w:uiPriority w:val="0"/>
    <w:rPr>
      <w:sz w:val="27"/>
      <w:szCs w:val="27"/>
    </w:rPr>
  </w:style>
  <w:style w:type="character" w:customStyle="1" w:styleId="112">
    <w:name w:val="a_p_3"/>
    <w:basedOn w:val="40"/>
    <w:qFormat/>
    <w:uiPriority w:val="0"/>
    <w:rPr>
      <w:sz w:val="27"/>
      <w:szCs w:val="27"/>
    </w:rPr>
  </w:style>
  <w:style w:type="character" w:customStyle="1" w:styleId="113">
    <w:name w:val="layui-this"/>
    <w:basedOn w:val="40"/>
    <w:qFormat/>
    <w:uiPriority w:val="0"/>
    <w:rPr>
      <w:bdr w:val="single" w:color="EEEEEE" w:sz="6" w:space="0"/>
      <w:shd w:val="clear" w:color="auto" w:fill="FFFFFF"/>
    </w:rPr>
  </w:style>
  <w:style w:type="character" w:customStyle="1" w:styleId="114">
    <w:name w:val="first-child"/>
    <w:basedOn w:val="40"/>
    <w:qFormat/>
    <w:uiPriority w:val="0"/>
  </w:style>
  <w:style w:type="paragraph" w:customStyle="1" w:styleId="115">
    <w:name w:val="info"/>
    <w:basedOn w:val="1"/>
    <w:qFormat/>
    <w:uiPriority w:val="0"/>
    <w:pPr>
      <w:pBdr>
        <w:bottom w:val="single" w:color="CCCCCC" w:sz="6" w:space="15"/>
      </w:pBdr>
      <w:spacing w:after="150" w:line="360" w:lineRule="atLeast"/>
      <w:jc w:val="center"/>
    </w:pPr>
    <w:rPr>
      <w:color w:val="CCCCCC"/>
      <w:kern w:val="0"/>
    </w:rPr>
  </w:style>
  <w:style w:type="paragraph" w:customStyle="1" w:styleId="116">
    <w:name w:val="普通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9" Type="http://schemas.openxmlformats.org/officeDocument/2006/relationships/fontTable" Target="fontTable.xml"/><Relationship Id="rId58" Type="http://schemas.openxmlformats.org/officeDocument/2006/relationships/customXml" Target="../customXml/item2.xml"/><Relationship Id="rId57" Type="http://schemas.openxmlformats.org/officeDocument/2006/relationships/numbering" Target="numbering.xml"/><Relationship Id="rId56" Type="http://schemas.openxmlformats.org/officeDocument/2006/relationships/customXml" Target="../customXml/item1.xml"/><Relationship Id="rId55" Type="http://schemas.openxmlformats.org/officeDocument/2006/relationships/image" Target="media/image38.png"/><Relationship Id="rId54" Type="http://schemas.openxmlformats.org/officeDocument/2006/relationships/image" Target="media/image37.GIF"/><Relationship Id="rId53" Type="http://schemas.openxmlformats.org/officeDocument/2006/relationships/image" Target="media/image36.jpeg"/><Relationship Id="rId52" Type="http://schemas.openxmlformats.org/officeDocument/2006/relationships/image" Target="media/image35.jpeg"/><Relationship Id="rId51" Type="http://schemas.openxmlformats.org/officeDocument/2006/relationships/image" Target="media/image34.jpeg"/><Relationship Id="rId50" Type="http://schemas.openxmlformats.org/officeDocument/2006/relationships/image" Target="media/image33.jpeg"/><Relationship Id="rId5" Type="http://schemas.openxmlformats.org/officeDocument/2006/relationships/header" Target="header3.xml"/><Relationship Id="rId49" Type="http://schemas.openxmlformats.org/officeDocument/2006/relationships/image" Target="media/image32.jpeg"/><Relationship Id="rId48" Type="http://schemas.openxmlformats.org/officeDocument/2006/relationships/image" Target="media/image31.jpeg"/><Relationship Id="rId47" Type="http://schemas.openxmlformats.org/officeDocument/2006/relationships/image" Target="media/image30.jpeg"/><Relationship Id="rId46" Type="http://schemas.openxmlformats.org/officeDocument/2006/relationships/image" Target="media/image29.jpeg"/><Relationship Id="rId45" Type="http://schemas.openxmlformats.org/officeDocument/2006/relationships/image" Target="media/image28.jpeg"/><Relationship Id="rId44" Type="http://schemas.openxmlformats.org/officeDocument/2006/relationships/image" Target="media/image27.jpeg"/><Relationship Id="rId43" Type="http://schemas.openxmlformats.org/officeDocument/2006/relationships/image" Target="media/image26.png"/><Relationship Id="rId42" Type="http://schemas.openxmlformats.org/officeDocument/2006/relationships/image" Target="media/image25.jpeg"/><Relationship Id="rId41" Type="http://schemas.openxmlformats.org/officeDocument/2006/relationships/image" Target="media/image24.jpeg"/><Relationship Id="rId40" Type="http://schemas.openxmlformats.org/officeDocument/2006/relationships/image" Target="media/image23.jpeg"/><Relationship Id="rId4" Type="http://schemas.openxmlformats.org/officeDocument/2006/relationships/header" Target="header2.xml"/><Relationship Id="rId39" Type="http://schemas.openxmlformats.org/officeDocument/2006/relationships/image" Target="media/image22.jpeg"/><Relationship Id="rId38" Type="http://schemas.openxmlformats.org/officeDocument/2006/relationships/image" Target="media/image21.jpeg"/><Relationship Id="rId37" Type="http://schemas.openxmlformats.org/officeDocument/2006/relationships/image" Target="media/image20.jpeg"/><Relationship Id="rId36" Type="http://schemas.openxmlformats.org/officeDocument/2006/relationships/image" Target="media/image19.jpeg"/><Relationship Id="rId35" Type="http://schemas.openxmlformats.org/officeDocument/2006/relationships/image" Target="media/image18.jpeg"/><Relationship Id="rId34" Type="http://schemas.openxmlformats.org/officeDocument/2006/relationships/image" Target="media/image17.jpeg"/><Relationship Id="rId33" Type="http://schemas.openxmlformats.org/officeDocument/2006/relationships/image" Target="media/image16.jpe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header" Target="header1.xml"/><Relationship Id="rId29" Type="http://schemas.openxmlformats.org/officeDocument/2006/relationships/image" Target="media/image12.png"/><Relationship Id="rId28" Type="http://schemas.openxmlformats.org/officeDocument/2006/relationships/image" Target="media/image11.wmf"/><Relationship Id="rId27" Type="http://schemas.openxmlformats.org/officeDocument/2006/relationships/oleObject" Target="embeddings/oleObject1.bin"/><Relationship Id="rId26" Type="http://schemas.openxmlformats.org/officeDocument/2006/relationships/image" Target="media/image10.jpeg"/><Relationship Id="rId25" Type="http://schemas.openxmlformats.org/officeDocument/2006/relationships/image" Target="media/image9.jpeg"/><Relationship Id="rId24" Type="http://schemas.openxmlformats.org/officeDocument/2006/relationships/image" Target="media/image8.jpeg"/><Relationship Id="rId23" Type="http://schemas.openxmlformats.org/officeDocument/2006/relationships/image" Target="media/image7.jpeg"/><Relationship Id="rId22" Type="http://schemas.openxmlformats.org/officeDocument/2006/relationships/image" Target="media/image6.jpeg"/><Relationship Id="rId21" Type="http://schemas.openxmlformats.org/officeDocument/2006/relationships/image" Target="media/image5.jpeg"/><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jpeg"/><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30"/>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9B4F40-FF19-413E-BB16-9DAF8220650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360</Pages>
  <Words>21977</Words>
  <Characters>125272</Characters>
  <Lines>1043</Lines>
  <Paragraphs>293</Paragraphs>
  <TotalTime>3</TotalTime>
  <ScaleCrop>false</ScaleCrop>
  <LinksUpToDate>false</LinksUpToDate>
  <CharactersWithSpaces>146956</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2024-03-01T13:38:00Z</dcterms:created>
  <dc:creator>admin</dc:creator>
  <cp:lastModifiedBy>Administrator</cp:lastModifiedBy>
  <cp:lastPrinted>2024-04-07T09:31:00Z</cp:lastPrinted>
  <dcterms:modified xsi:type="dcterms:W3CDTF">2024-05-23T03:56:54Z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FB971192BEC74BC4978C6CF3B753FFBB_13</vt:lpwstr>
  </property>
</Properties>
</file>